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rPr>
          <w:rFonts w:ascii="Times New Roman" w:hAnsi="Times New Roman"/>
          <w:b/>
          <w:i w:val="0"/>
          <w:color w:val="333333"/>
          <w:sz w:val="32"/>
        </w:rPr>
        <w:t>THE GLG TRAINING SYSTEM</w:t>
      </w:r>
    </w:p>
    <w:p>
      <w:pPr>
        <w:spacing w:before="0" w:after="40" w:line="240" w:lineRule="auto"/>
        <w:jc w:val="center"/>
      </w:pPr>
      <w:r>
        <w:rPr>
          <w:rFonts w:ascii="Times New Roman" w:hAnsi="Times New Roman"/>
          <w:b w:val="0"/>
          <w:i/>
          <w:color w:val="333333"/>
          <w:sz w:val="24"/>
        </w:rPr>
        <w:t>Proprietary Training Methodology</w:t>
      </w:r>
    </w:p>
    <w:p>
      <w:pPr>
        <w:spacing w:before="0" w:after="240" w:line="240" w:lineRule="auto"/>
        <w:jc w:val="center"/>
      </w:pPr>
      <w:r>
        <w:rPr>
          <w:rFonts w:ascii="Times New Roman" w:hAnsi="Times New Roman"/>
          <w:b w:val="0"/>
          <w:i w:val="0"/>
          <w:color w:val="333333"/>
          <w:sz w:val="20"/>
        </w:rPr>
        <w:t>Gunn Law Group  |  Leadership Document  |  June 2026</w:t>
      </w:r>
    </w:p>
    <w:p>
      <w:pPr>
        <w:spacing w:before="240" w:after="120" w:line="240" w:lineRule="auto"/>
      </w:pPr>
      <w:r>
        <w:rPr>
          <w:rFonts w:ascii="Times New Roman" w:hAnsi="Times New Roman"/>
          <w:b/>
          <w:i w:val="0"/>
          <w:color w:val="333333"/>
          <w:sz w:val="26"/>
        </w:rPr>
        <w:t>WHY THIS EXISTS</w:t>
      </w:r>
    </w:p>
    <w:p>
      <w:pPr>
        <w:spacing w:before="0" w:after="160" w:line="240" w:lineRule="auto"/>
      </w:pPr>
      <w:r>
        <w:rPr>
          <w:rFonts w:ascii="Times New Roman" w:hAnsi="Times New Roman"/>
          <w:b w:val="0"/>
          <w:i w:val="0"/>
          <w:color w:val="333333"/>
          <w:sz w:val="22"/>
        </w:rPr>
        <w:t>Most law firms train by handing someone a stack of documents and saying 'read this.' The employee reads it, retains maybe 20%, and learns the rest through mistakes that cost clients money and the firm reputation. We built something better.</w:t>
      </w:r>
    </w:p>
    <w:p>
      <w:pPr>
        <w:spacing w:before="0" w:after="160" w:line="240" w:lineRule="auto"/>
      </w:pPr>
      <w:r>
        <w:rPr>
          <w:rFonts w:ascii="Times New Roman" w:hAnsi="Times New Roman"/>
          <w:b w:val="0"/>
          <w:i w:val="0"/>
          <w:color w:val="333333"/>
          <w:sz w:val="22"/>
        </w:rPr>
        <w:t>The GLG Training System is designed around how people actually learn, not how we wish they learned. It is built on research into cognitive science, engagement design, and competence-based training. The result: staff who can DO the job, not just describe it.</w:t>
      </w:r>
    </w:p>
    <w:p>
      <w:pPr>
        <w:spacing w:before="240" w:after="120" w:line="240" w:lineRule="auto"/>
      </w:pPr>
      <w:r>
        <w:rPr>
          <w:rFonts w:ascii="Times New Roman" w:hAnsi="Times New Roman"/>
          <w:b/>
          <w:i w:val="0"/>
          <w:color w:val="333333"/>
          <w:sz w:val="26"/>
        </w:rPr>
        <w:t>HOW THE GLG SYSTEM IS DIFFERENT</w:t>
      </w:r>
    </w:p>
    <w:p>
      <w:pPr>
        <w:spacing w:before="160" w:after="80" w:line="240" w:lineRule="auto"/>
      </w:pPr>
      <w:r>
        <w:rPr>
          <w:rFonts w:ascii="Times New Roman" w:hAnsi="Times New Roman"/>
          <w:b/>
          <w:i w:val="0"/>
          <w:color w:val="333333"/>
          <w:sz w:val="22"/>
        </w:rPr>
        <w:t>TRADITIONAL LAW FIRM TRAINING:</w:t>
      </w:r>
    </w:p>
    <w:p>
      <w:pPr>
        <w:spacing w:before="0" w:after="40" w:line="240" w:lineRule="auto"/>
      </w:pPr>
      <w:r>
        <w:rPr>
          <w:rFonts w:ascii="Times New Roman" w:hAnsi="Times New Roman"/>
          <w:b w:val="0"/>
          <w:i w:val="0"/>
          <w:color w:val="333333"/>
          <w:sz w:val="22"/>
        </w:rPr>
        <w:t xml:space="preserve">  •  Hand employee a stack of SOPs and say 'read these'</w:t>
      </w:r>
    </w:p>
    <w:p>
      <w:pPr>
        <w:spacing w:before="0" w:after="40" w:line="240" w:lineRule="auto"/>
      </w:pPr>
      <w:r>
        <w:rPr>
          <w:rFonts w:ascii="Times New Roman" w:hAnsi="Times New Roman"/>
          <w:b w:val="0"/>
          <w:i w:val="0"/>
          <w:color w:val="333333"/>
          <w:sz w:val="22"/>
        </w:rPr>
        <w:t xml:space="preserve">  •  One-time orientation meeting with a PowerPoint</w:t>
      </w:r>
    </w:p>
    <w:p>
      <w:pPr>
        <w:spacing w:before="0" w:after="40" w:line="240" w:lineRule="auto"/>
      </w:pPr>
      <w:r>
        <w:rPr>
          <w:rFonts w:ascii="Times New Roman" w:hAnsi="Times New Roman"/>
          <w:b w:val="0"/>
          <w:i w:val="0"/>
          <w:color w:val="333333"/>
          <w:sz w:val="22"/>
        </w:rPr>
        <w:t xml:space="preserve">  •  Shadow someone for a day, then you're on your own</w:t>
      </w:r>
    </w:p>
    <w:p>
      <w:pPr>
        <w:spacing w:before="0" w:after="40" w:line="240" w:lineRule="auto"/>
      </w:pPr>
      <w:r>
        <w:rPr>
          <w:rFonts w:ascii="Times New Roman" w:hAnsi="Times New Roman"/>
          <w:b w:val="0"/>
          <w:i w:val="0"/>
          <w:color w:val="333333"/>
          <w:sz w:val="22"/>
        </w:rPr>
        <w:t xml:space="preserve">  •  Learn by making mistakes on real cases</w:t>
      </w:r>
    </w:p>
    <w:p>
      <w:pPr>
        <w:spacing w:before="0" w:after="40" w:line="240" w:lineRule="auto"/>
      </w:pPr>
      <w:r>
        <w:rPr>
          <w:rFonts w:ascii="Times New Roman" w:hAnsi="Times New Roman"/>
          <w:b w:val="0"/>
          <w:i w:val="0"/>
          <w:color w:val="333333"/>
          <w:sz w:val="22"/>
        </w:rPr>
        <w:t xml:space="preserve">  •  No way to verify if anyone actually learned anything</w:t>
      </w:r>
    </w:p>
    <w:p>
      <w:pPr>
        <w:spacing w:before="0" w:after="40" w:line="240" w:lineRule="auto"/>
      </w:pPr>
      <w:r>
        <w:rPr>
          <w:rFonts w:ascii="Times New Roman" w:hAnsi="Times New Roman"/>
          <w:b w:val="0"/>
          <w:i w:val="0"/>
          <w:color w:val="333333"/>
          <w:sz w:val="22"/>
        </w:rPr>
        <w:t xml:space="preserve">  •  Reactive: training happens after a problem, not before</w:t>
      </w:r>
    </w:p>
    <w:p>
      <w:pPr>
        <w:spacing w:before="0" w:after="120" w:line="240" w:lineRule="auto"/>
      </w:pPr>
      <w:r>
        <w:rPr>
          <w:rFonts w:ascii="Times New Roman" w:hAnsi="Times New Roman"/>
          <w:b w:val="0"/>
          <w:i w:val="0"/>
          <w:color w:val="333333"/>
          <w:sz w:val="22"/>
        </w:rPr>
        <w:t xml:space="preserve">  •  Same approach for everyone regardless of role or experience</w:t>
      </w:r>
    </w:p>
    <w:p>
      <w:pPr>
        <w:spacing w:before="160" w:after="80" w:line="240" w:lineRule="auto"/>
      </w:pPr>
      <w:r>
        <w:rPr>
          <w:rFonts w:ascii="Times New Roman" w:hAnsi="Times New Roman"/>
          <w:b/>
          <w:i w:val="0"/>
          <w:color w:val="333333"/>
          <w:sz w:val="22"/>
        </w:rPr>
        <w:t>THE GLG SYSTEM:</w:t>
      </w:r>
    </w:p>
    <w:p>
      <w:pPr>
        <w:spacing w:before="0" w:after="40" w:line="240" w:lineRule="auto"/>
      </w:pPr>
      <w:r>
        <w:rPr>
          <w:rFonts w:ascii="Times New Roman" w:hAnsi="Times New Roman"/>
          <w:b w:val="0"/>
          <w:i w:val="0"/>
          <w:color w:val="333333"/>
          <w:sz w:val="22"/>
        </w:rPr>
        <w:t xml:space="preserve">  •  Interactive scenario-based modules that simulate real case situations</w:t>
      </w:r>
    </w:p>
    <w:p>
      <w:pPr>
        <w:spacing w:before="0" w:after="40" w:line="240" w:lineRule="auto"/>
      </w:pPr>
      <w:r>
        <w:rPr>
          <w:rFonts w:ascii="Times New Roman" w:hAnsi="Times New Roman"/>
          <w:b w:val="0"/>
          <w:i w:val="0"/>
          <w:color w:val="333333"/>
          <w:sz w:val="22"/>
        </w:rPr>
        <w:t xml:space="preserve">  •  The trainee makes decisions and sees real consequences before getting feedback</w:t>
      </w:r>
    </w:p>
    <w:p>
      <w:pPr>
        <w:spacing w:before="0" w:after="40" w:line="240" w:lineRule="auto"/>
      </w:pPr>
      <w:r>
        <w:rPr>
          <w:rFonts w:ascii="Times New Roman" w:hAnsi="Times New Roman"/>
          <w:b w:val="0"/>
          <w:i w:val="0"/>
          <w:color w:val="333333"/>
          <w:sz w:val="22"/>
        </w:rPr>
        <w:t xml:space="preserve">  •  Knowledge is tested through recall, not recognition — you have to generate the answer, not pick from a list</w:t>
      </w:r>
    </w:p>
    <w:p>
      <w:pPr>
        <w:spacing w:before="0" w:after="40" w:line="240" w:lineRule="auto"/>
      </w:pPr>
      <w:r>
        <w:rPr>
          <w:rFonts w:ascii="Times New Roman" w:hAnsi="Times New Roman"/>
          <w:b w:val="0"/>
          <w:i w:val="0"/>
          <w:color w:val="333333"/>
          <w:sz w:val="22"/>
        </w:rPr>
        <w:t xml:space="preserve">  •  Topics are mixed across modules so the brain builds flexible connections, not isolated facts</w:t>
      </w:r>
    </w:p>
    <w:p>
      <w:pPr>
        <w:spacing w:before="0" w:after="40" w:line="240" w:lineRule="auto"/>
      </w:pPr>
      <w:r>
        <w:rPr>
          <w:rFonts w:ascii="Times New Roman" w:hAnsi="Times New Roman"/>
          <w:b w:val="0"/>
          <w:i w:val="0"/>
          <w:color w:val="333333"/>
          <w:sz w:val="22"/>
        </w:rPr>
        <w:t xml:space="preserve">  •  Progressive difficulty: simple recall builds to complex multi-step case scenarios</w:t>
      </w:r>
    </w:p>
    <w:p>
      <w:pPr>
        <w:spacing w:before="0" w:after="40" w:line="240" w:lineRule="auto"/>
      </w:pPr>
      <w:r>
        <w:rPr>
          <w:rFonts w:ascii="Times New Roman" w:hAnsi="Times New Roman"/>
          <w:b w:val="0"/>
          <w:i w:val="0"/>
          <w:color w:val="333333"/>
          <w:sz w:val="22"/>
        </w:rPr>
        <w:t xml:space="preserve">  •  Achievement system with points, badges, and levels that make progress visible and motivating</w:t>
      </w:r>
    </w:p>
    <w:p>
      <w:pPr>
        <w:spacing w:before="0" w:after="40" w:line="240" w:lineRule="auto"/>
      </w:pPr>
      <w:r>
        <w:rPr>
          <w:rFonts w:ascii="Times New Roman" w:hAnsi="Times New Roman"/>
          <w:b w:val="0"/>
          <w:i w:val="0"/>
          <w:color w:val="333333"/>
          <w:sz w:val="22"/>
        </w:rPr>
        <w:t xml:space="preserve">  •  Immediate feedback after every answer explaining WHY it matters and what happens in real life if you get it wrong</w:t>
      </w:r>
    </w:p>
    <w:p>
      <w:pPr>
        <w:spacing w:before="0" w:after="40" w:line="240" w:lineRule="auto"/>
      </w:pPr>
      <w:r>
        <w:rPr>
          <w:rFonts w:ascii="Times New Roman" w:hAnsi="Times New Roman"/>
          <w:b w:val="0"/>
          <w:i w:val="0"/>
          <w:color w:val="333333"/>
          <w:sz w:val="22"/>
        </w:rPr>
        <w:t xml:space="preserve">  •  Every module is mobile-friendly — staff can train from their phone</w:t>
      </w:r>
    </w:p>
    <w:p>
      <w:pPr>
        <w:spacing w:before="0" w:after="40" w:line="240" w:lineRule="auto"/>
      </w:pPr>
      <w:r>
        <w:rPr>
          <w:rFonts w:ascii="Times New Roman" w:hAnsi="Times New Roman"/>
          <w:b w:val="0"/>
          <w:i w:val="0"/>
          <w:color w:val="333333"/>
          <w:sz w:val="22"/>
        </w:rPr>
        <w:t xml:space="preserve">  •  Completion tracked in a scoresheet. Quiz scores feed into performance reviews.</w:t>
      </w:r>
    </w:p>
    <w:p>
      <w:pPr>
        <w:spacing w:before="0" w:after="160" w:line="240" w:lineRule="auto"/>
      </w:pPr>
      <w:r>
        <w:rPr>
          <w:rFonts w:ascii="Times New Roman" w:hAnsi="Times New Roman"/>
          <w:b w:val="0"/>
          <w:i w:val="0"/>
          <w:color w:val="333333"/>
          <w:sz w:val="22"/>
        </w:rPr>
        <w:t xml:space="preserve">  •  Monthly quiz competitions with real rewards ($100 gift card)</w:t>
      </w:r>
    </w:p>
    <w:p>
      <w:pPr>
        <w:spacing w:before="240" w:after="120" w:line="240" w:lineRule="auto"/>
      </w:pPr>
      <w:r>
        <w:rPr>
          <w:rFonts w:ascii="Times New Roman" w:hAnsi="Times New Roman"/>
          <w:b/>
          <w:i w:val="0"/>
          <w:color w:val="333333"/>
          <w:sz w:val="26"/>
        </w:rPr>
        <w:t>THE 7 DESIGN PRINCIPLES</w:t>
      </w:r>
    </w:p>
    <w:p>
      <w:pPr>
        <w:spacing w:before="0" w:after="120" w:line="240" w:lineRule="auto"/>
      </w:pPr>
      <w:r>
        <w:rPr>
          <w:rFonts w:ascii="Times New Roman" w:hAnsi="Times New Roman"/>
          <w:b w:val="0"/>
          <w:i w:val="0"/>
          <w:color w:val="333333"/>
          <w:sz w:val="22"/>
        </w:rPr>
        <w:t>Every GLG training module is built on these principles:</w:t>
      </w:r>
    </w:p>
    <w:p>
      <w:pPr>
        <w:spacing w:before="120" w:after="40" w:line="240" w:lineRule="auto"/>
      </w:pPr>
      <w:r>
        <w:rPr>
          <w:rFonts w:ascii="Times New Roman" w:hAnsi="Times New Roman"/>
          <w:b/>
          <w:i w:val="0"/>
          <w:color w:val="333333"/>
          <w:sz w:val="22"/>
        </w:rPr>
        <w:t>1. Test before you teach.</w:t>
      </w:r>
    </w:p>
    <w:p>
      <w:pPr>
        <w:spacing w:before="0" w:after="120" w:line="240" w:lineRule="auto"/>
      </w:pPr>
      <w:r>
        <w:rPr>
          <w:rFonts w:ascii="Times New Roman" w:hAnsi="Times New Roman"/>
          <w:b w:val="0"/>
          <w:i w:val="0"/>
          <w:color w:val="333333"/>
          <w:sz w:val="22"/>
        </w:rPr>
        <w:t>The brain remembers what it struggles to recall. Our modules ask the question FIRST, let the trainee try to answer, then provide feedback. This is more effective than reading the answer and trying to remember it later.</w:t>
      </w:r>
    </w:p>
    <w:p>
      <w:pPr>
        <w:spacing w:before="120" w:after="40" w:line="240" w:lineRule="auto"/>
      </w:pPr>
      <w:r>
        <w:rPr>
          <w:rFonts w:ascii="Times New Roman" w:hAnsi="Times New Roman"/>
          <w:b/>
          <w:i w:val="0"/>
          <w:color w:val="333333"/>
          <w:sz w:val="22"/>
        </w:rPr>
        <w:t>2. Mix it up.</w:t>
      </w:r>
    </w:p>
    <w:p>
      <w:pPr>
        <w:spacing w:before="0" w:after="120" w:line="240" w:lineRule="auto"/>
      </w:pPr>
      <w:r>
        <w:rPr>
          <w:rFonts w:ascii="Times New Roman" w:hAnsi="Times New Roman"/>
          <w:b w:val="0"/>
          <w:i w:val="0"/>
          <w:color w:val="333333"/>
          <w:sz w:val="22"/>
        </w:rPr>
        <w:t>Instead of grouping all insurance questions together and all template questions together, we interleave topics. One question about CasePeer, then one about liability, then one about templates. This forces the brain to discriminate between different types of knowledge and builds flexible problem-solving.</w:t>
      </w:r>
    </w:p>
    <w:p>
      <w:pPr>
        <w:spacing w:before="120" w:after="40" w:line="240" w:lineRule="auto"/>
      </w:pPr>
      <w:r>
        <w:rPr>
          <w:rFonts w:ascii="Times New Roman" w:hAnsi="Times New Roman"/>
          <w:b/>
          <w:i w:val="0"/>
          <w:color w:val="333333"/>
          <w:sz w:val="22"/>
        </w:rPr>
        <w:t>3. Make them DO it, not just know it.</w:t>
      </w:r>
    </w:p>
    <w:p>
      <w:pPr>
        <w:spacing w:before="0" w:after="120" w:line="240" w:lineRule="auto"/>
      </w:pPr>
      <w:r>
        <w:rPr>
          <w:rFonts w:ascii="Times New Roman" w:hAnsi="Times New Roman"/>
          <w:b w:val="0"/>
          <w:i w:val="0"/>
          <w:color w:val="333333"/>
          <w:sz w:val="22"/>
        </w:rPr>
        <w:t>There is a difference between knowing what an LOR is and being able to send one correctly under time pressure. Our modules test performance, not knowledge. The question is never 'What does LOR stand for?' It is 'Your client just signed 20 minutes ago. What do you send, to whom, and what is the deadline?'</w:t>
      </w:r>
    </w:p>
    <w:p>
      <w:pPr>
        <w:spacing w:before="120" w:after="40" w:line="240" w:lineRule="auto"/>
      </w:pPr>
      <w:r>
        <w:rPr>
          <w:rFonts w:ascii="Times New Roman" w:hAnsi="Times New Roman"/>
          <w:b/>
          <w:i w:val="0"/>
          <w:color w:val="333333"/>
          <w:sz w:val="22"/>
        </w:rPr>
        <w:t>4. Create real stakes.</w:t>
      </w:r>
    </w:p>
    <w:p>
      <w:pPr>
        <w:spacing w:before="0" w:after="120" w:line="240" w:lineRule="auto"/>
      </w:pPr>
      <w:r>
        <w:rPr>
          <w:rFonts w:ascii="Times New Roman" w:hAnsi="Times New Roman"/>
          <w:b w:val="0"/>
          <w:i w:val="0"/>
          <w:color w:val="333333"/>
          <w:sz w:val="22"/>
        </w:rPr>
        <w:t>Flat multiple-choice questions do not engage anyone. Our scenarios create emotional engagement: 'Your client's statute of limitations expires in 5 months and you just realized this is a government case. What do you need to do RIGHT NOW?' When the trainee feels urgency, they remember the answer.</w:t>
      </w:r>
    </w:p>
    <w:p>
      <w:pPr>
        <w:spacing w:before="120" w:after="40" w:line="240" w:lineRule="auto"/>
      </w:pPr>
      <w:r>
        <w:rPr>
          <w:rFonts w:ascii="Times New Roman" w:hAnsi="Times New Roman"/>
          <w:b/>
          <w:i w:val="0"/>
          <w:color w:val="333333"/>
          <w:sz w:val="22"/>
        </w:rPr>
        <w:t>5. Progressive difficulty.</w:t>
      </w:r>
    </w:p>
    <w:p>
      <w:pPr>
        <w:spacing w:before="0" w:after="120" w:line="240" w:lineRule="auto"/>
      </w:pPr>
      <w:r>
        <w:rPr>
          <w:rFonts w:ascii="Times New Roman" w:hAnsi="Times New Roman"/>
          <w:b w:val="0"/>
          <w:i w:val="0"/>
          <w:color w:val="333333"/>
          <w:sz w:val="22"/>
        </w:rPr>
        <w:t>Each module starts with straightforward questions, builds to application, and ends with a 'Boss Challenge' that requires combining knowledge from every prior module. The Boss Challenge is where competence is proven.</w:t>
      </w:r>
    </w:p>
    <w:p>
      <w:pPr>
        <w:spacing w:before="120" w:after="40" w:line="240" w:lineRule="auto"/>
      </w:pPr>
      <w:r>
        <w:rPr>
          <w:rFonts w:ascii="Times New Roman" w:hAnsi="Times New Roman"/>
          <w:b/>
          <w:i w:val="0"/>
          <w:color w:val="333333"/>
          <w:sz w:val="22"/>
        </w:rPr>
        <w:t>6. Immediate feedback with consequences.</w:t>
      </w:r>
    </w:p>
    <w:p>
      <w:pPr>
        <w:spacing w:before="0" w:after="120" w:line="240" w:lineRule="auto"/>
      </w:pPr>
      <w:r>
        <w:rPr>
          <w:rFonts w:ascii="Times New Roman" w:hAnsi="Times New Roman"/>
          <w:b w:val="0"/>
          <w:i w:val="0"/>
          <w:color w:val="333333"/>
          <w:sz w:val="22"/>
        </w:rPr>
        <w:t>After every answer, the trainee sees whether they got it right AND what happens in real life. Wrong answer on an ante litem deadline? 'The client's case is now dead. They cannot sue. This is a potential malpractice claim.' That feedback sticks because it connects to a real outcome.</w:t>
      </w:r>
    </w:p>
    <w:p>
      <w:pPr>
        <w:spacing w:before="120" w:after="40" w:line="240" w:lineRule="auto"/>
      </w:pPr>
      <w:r>
        <w:rPr>
          <w:rFonts w:ascii="Times New Roman" w:hAnsi="Times New Roman"/>
          <w:b/>
          <w:i w:val="0"/>
          <w:color w:val="333333"/>
          <w:sz w:val="22"/>
        </w:rPr>
        <w:t>7. Visible progress and rewards.</w:t>
      </w:r>
    </w:p>
    <w:p>
      <w:pPr>
        <w:spacing w:before="0" w:after="160" w:line="240" w:lineRule="auto"/>
      </w:pPr>
      <w:r>
        <w:rPr>
          <w:rFonts w:ascii="Times New Roman" w:hAnsi="Times New Roman"/>
          <w:b w:val="0"/>
          <w:i w:val="0"/>
          <w:color w:val="333333"/>
          <w:sz w:val="22"/>
        </w:rPr>
        <w:t>Points accumulate. Badges are earned. Levels are achieved. A leaderboard shows where you stand. Monthly quiz winners get $100. This transforms training from an obligation into a competition. Staff want to complete modules because it feels like winning, not homework.</w:t>
      </w:r>
    </w:p>
    <w:p>
      <w:pPr>
        <w:spacing w:before="240" w:after="120" w:line="240" w:lineRule="auto"/>
      </w:pPr>
      <w:r>
        <w:rPr>
          <w:rFonts w:ascii="Times New Roman" w:hAnsi="Times New Roman"/>
          <w:b/>
          <w:i w:val="0"/>
          <w:color w:val="333333"/>
          <w:sz w:val="26"/>
        </w:rPr>
        <w:t>HOW THE SYSTEM CONNECTS TO EVERYTHING ELSE</w:t>
      </w:r>
    </w:p>
    <w:p>
      <w:pPr>
        <w:spacing w:before="0" w:after="120" w:line="240" w:lineRule="auto"/>
      </w:pPr>
      <w:r>
        <w:rPr>
          <w:rFonts w:ascii="Times New Roman" w:hAnsi="Times New Roman"/>
          <w:b w:val="0"/>
          <w:i w:val="0"/>
          <w:color w:val="333333"/>
          <w:sz w:val="22"/>
        </w:rPr>
        <w:t>The training modules are not standalone. They are the delivery mechanism for every document in the Firm Bible:</w:t>
      </w:r>
    </w:p>
    <w:p>
      <w:pPr>
        <w:spacing w:before="0" w:after="40" w:line="240" w:lineRule="auto"/>
      </w:pPr>
      <w:r>
        <w:rPr>
          <w:rFonts w:ascii="Times New Roman" w:hAnsi="Times New Roman"/>
          <w:b w:val="0"/>
          <w:i w:val="0"/>
          <w:color w:val="333333"/>
          <w:sz w:val="22"/>
        </w:rPr>
        <w:t xml:space="preserve">  •  Modules TEACH the concept (interactive, scenario-based)</w:t>
      </w:r>
    </w:p>
    <w:p>
      <w:pPr>
        <w:spacing w:before="0" w:after="40" w:line="240" w:lineRule="auto"/>
      </w:pPr>
      <w:r>
        <w:rPr>
          <w:rFonts w:ascii="Times New Roman" w:hAnsi="Times New Roman"/>
          <w:b w:val="0"/>
          <w:i w:val="0"/>
          <w:color w:val="333333"/>
          <w:sz w:val="22"/>
        </w:rPr>
        <w:t xml:space="preserve">  •  SOPs and training docs REFERENCE the detail (the Bible on your desk)</w:t>
      </w:r>
    </w:p>
    <w:p>
      <w:pPr>
        <w:spacing w:before="0" w:after="40" w:line="240" w:lineRule="auto"/>
      </w:pPr>
      <w:r>
        <w:rPr>
          <w:rFonts w:ascii="Times New Roman" w:hAnsi="Times New Roman"/>
          <w:b w:val="0"/>
          <w:i w:val="0"/>
          <w:color w:val="333333"/>
          <w:sz w:val="22"/>
        </w:rPr>
        <w:t xml:space="preserve">  •  Call scripts GUIDE the conversation (word-for-word when needed)</w:t>
      </w:r>
    </w:p>
    <w:p>
      <w:pPr>
        <w:spacing w:before="0" w:after="40" w:line="240" w:lineRule="auto"/>
      </w:pPr>
      <w:r>
        <w:rPr>
          <w:rFonts w:ascii="Times New Roman" w:hAnsi="Times New Roman"/>
          <w:b w:val="0"/>
          <w:i w:val="0"/>
          <w:color w:val="333333"/>
          <w:sz w:val="22"/>
        </w:rPr>
        <w:t xml:space="preserve">  •  CasePeer templates EXECUTE the task (auto-filled documents)</w:t>
      </w:r>
    </w:p>
    <w:p>
      <w:pPr>
        <w:spacing w:before="0" w:after="40" w:line="240" w:lineRule="auto"/>
      </w:pPr>
      <w:r>
        <w:rPr>
          <w:rFonts w:ascii="Times New Roman" w:hAnsi="Times New Roman"/>
          <w:b w:val="0"/>
          <w:i w:val="0"/>
          <w:color w:val="333333"/>
          <w:sz w:val="22"/>
        </w:rPr>
        <w:t xml:space="preserve">  •  The scorecard MEASURES whether you are actually doing it</w:t>
      </w:r>
    </w:p>
    <w:p>
      <w:pPr>
        <w:spacing w:before="0" w:after="120" w:line="240" w:lineRule="auto"/>
      </w:pPr>
      <w:r>
        <w:rPr>
          <w:rFonts w:ascii="Times New Roman" w:hAnsi="Times New Roman"/>
          <w:b w:val="0"/>
          <w:i w:val="0"/>
          <w:color w:val="333333"/>
          <w:sz w:val="22"/>
        </w:rPr>
        <w:t xml:space="preserve">  •  The monthly quiz REINFORCES it over time</w:t>
      </w:r>
    </w:p>
    <w:p>
      <w:pPr>
        <w:spacing w:before="0" w:after="160" w:line="240" w:lineRule="auto"/>
      </w:pPr>
      <w:r>
        <w:rPr>
          <w:rFonts w:ascii="Times New Roman" w:hAnsi="Times New Roman"/>
          <w:b w:val="0"/>
          <w:i w:val="0"/>
          <w:color w:val="333333"/>
          <w:sz w:val="22"/>
        </w:rPr>
        <w:t>Learn it. Reference it. Do it. Prove it. That is the cycle.</w:t>
      </w:r>
    </w:p>
    <w:p>
      <w:pPr>
        <w:spacing w:before="240" w:after="120" w:line="240" w:lineRule="auto"/>
      </w:pPr>
      <w:r>
        <w:rPr>
          <w:rFonts w:ascii="Times New Roman" w:hAnsi="Times New Roman"/>
          <w:b/>
          <w:i w:val="0"/>
          <w:color w:val="333333"/>
          <w:sz w:val="26"/>
        </w:rPr>
        <w:t>WHAT MAKES THIS PROPRIETARY TO GLG</w:t>
      </w:r>
    </w:p>
    <w:p>
      <w:pPr>
        <w:spacing w:before="0" w:after="80" w:line="240" w:lineRule="auto"/>
      </w:pPr>
      <w:r>
        <w:rPr>
          <w:rFonts w:ascii="Times New Roman" w:hAnsi="Times New Roman"/>
          <w:b w:val="0"/>
          <w:i w:val="0"/>
          <w:color w:val="333333"/>
          <w:sz w:val="22"/>
        </w:rPr>
        <w:t>The design principles are grounded in cognitive science and engagement research. But the content is 100% Gunn Law Group:</w:t>
      </w:r>
    </w:p>
    <w:p>
      <w:pPr>
        <w:spacing w:before="0" w:after="40" w:line="240" w:lineRule="auto"/>
      </w:pPr>
      <w:r>
        <w:rPr>
          <w:rFonts w:ascii="Times New Roman" w:hAnsi="Times New Roman"/>
          <w:b w:val="0"/>
          <w:i w:val="0"/>
          <w:color w:val="333333"/>
          <w:sz w:val="22"/>
        </w:rPr>
        <w:t xml:space="preserve">  •  Every scenario uses realistic GLG case situations</w:t>
      </w:r>
    </w:p>
    <w:p>
      <w:pPr>
        <w:spacing w:before="0" w:after="40" w:line="240" w:lineRule="auto"/>
      </w:pPr>
      <w:r>
        <w:rPr>
          <w:rFonts w:ascii="Times New Roman" w:hAnsi="Times New Roman"/>
          <w:b w:val="0"/>
          <w:i w:val="0"/>
          <w:color w:val="333333"/>
          <w:sz w:val="22"/>
        </w:rPr>
        <w:t xml:space="preserve">  •  Every question references actual CasePeer templates by number</w:t>
      </w:r>
    </w:p>
    <w:p>
      <w:pPr>
        <w:spacing w:before="0" w:after="40" w:line="240" w:lineRule="auto"/>
      </w:pPr>
      <w:r>
        <w:rPr>
          <w:rFonts w:ascii="Times New Roman" w:hAnsi="Times New Roman"/>
          <w:b w:val="0"/>
          <w:i w:val="0"/>
          <w:color w:val="333333"/>
          <w:sz w:val="22"/>
        </w:rPr>
        <w:t xml:space="preserve">  •  Every feedback message connects to firm SOPs and policies</w:t>
      </w:r>
    </w:p>
    <w:p>
      <w:pPr>
        <w:spacing w:before="0" w:after="40" w:line="240" w:lineRule="auto"/>
      </w:pPr>
      <w:r>
        <w:rPr>
          <w:rFonts w:ascii="Times New Roman" w:hAnsi="Times New Roman"/>
          <w:b w:val="0"/>
          <w:i w:val="0"/>
          <w:color w:val="333333"/>
          <w:sz w:val="22"/>
        </w:rPr>
        <w:t xml:space="preserve">  •  Achievement badges are named after firm competencies</w:t>
      </w:r>
    </w:p>
    <w:p>
      <w:pPr>
        <w:spacing w:before="0" w:after="40" w:line="240" w:lineRule="auto"/>
      </w:pPr>
      <w:r>
        <w:rPr>
          <w:rFonts w:ascii="Times New Roman" w:hAnsi="Times New Roman"/>
          <w:b w:val="0"/>
          <w:i w:val="0"/>
          <w:color w:val="333333"/>
          <w:sz w:val="22"/>
        </w:rPr>
        <w:t xml:space="preserve">  •  The Boss Challenge is modeled on real cases the firm has handled</w:t>
      </w:r>
    </w:p>
    <w:p>
      <w:pPr>
        <w:spacing w:before="0" w:after="120" w:line="240" w:lineRule="auto"/>
      </w:pPr>
      <w:r>
        <w:rPr>
          <w:rFonts w:ascii="Times New Roman" w:hAnsi="Times New Roman"/>
          <w:b w:val="0"/>
          <w:i w:val="0"/>
          <w:color w:val="333333"/>
          <w:sz w:val="22"/>
        </w:rPr>
        <w:t xml:space="preserve">  •  Communication standards, callback policies, and scorecard tiers are embedded in the questions themselves</w:t>
      </w:r>
    </w:p>
    <w:p>
      <w:pPr>
        <w:spacing w:before="0" w:after="160" w:line="240" w:lineRule="auto"/>
      </w:pPr>
      <w:r>
        <w:rPr>
          <w:rFonts w:ascii="Times New Roman" w:hAnsi="Times New Roman"/>
          <w:b w:val="0"/>
          <w:i w:val="0"/>
          <w:color w:val="333333"/>
          <w:sz w:val="22"/>
        </w:rPr>
        <w:t>No other firm has this. It was built from our operations, our documents, our cases, and our standards. It cannot be replicated without our content.</w:t>
      </w:r>
    </w:p>
    <w:sectPr w:rsidR="00FC693F" w:rsidRPr="0006063C" w:rsidSect="00034616">
      <w:headerReference w:type="default" r:id="rId9"/>
      <w:footerReference w:type="default" r:id="rId10"/>
      <w:pgSz w:w="12240" w:h="15840"/>
      <w:pgMar w:top="1440" w:right="1440" w:bottom="1985" w:left="1440" w:header="720"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80"/>
      <w:jc w:val="center"/>
      <w:pBdr>
        <w:bottom w:val="single" w:sz="4" w:space="1" w:color="333333"/>
      </w:pBdr>
    </w:pPr>
    <w:r>
      <w:rPr>
        <w:rFonts w:ascii="Century Gothic" w:hAnsi="Century Gothic"/>
        <w:color w:val="333333"/>
        <w:sz w:val="16"/>
      </w:rPr>
      <w:t>G U N N   L A W   G R O U P</w:t>
    </w:r>
  </w:p>
  <w:p>
    <w:pPr>
      <w:spacing w:before="80" w:after="0"/>
      <w:jc w:val="center"/>
    </w:pPr>
    <w:r>
      <w:rPr>
        <w:rFonts w:ascii="Century Gothic" w:hAnsi="Century Gothic"/>
        <w:color w:val="555555"/>
        <w:sz w:val="14"/>
      </w:rPr>
      <w:t>950 E. Paces Ferry Rd, Suite 1550, Atlanta, GA 30326  ·  P: (770) 800-0945  ·  F: (678) 261-1511  ·  hgunn@thegunnlawgroup.com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drawing>
        <wp:inline xmlns:a="http://schemas.openxmlformats.org/drawingml/2006/main" xmlns:pic="http://schemas.openxmlformats.org/drawingml/2006/picture">
          <wp:extent cx="4572000" cy="631255"/>
          <wp:docPr id="1" name="Picture 1"/>
          <wp:cNvGraphicFramePr>
            <a:graphicFrameLocks noChangeAspect="1"/>
          </wp:cNvGraphicFramePr>
          <a:graphic>
            <a:graphicData uri="http://schemas.openxmlformats.org/drawingml/2006/picture">
              <pic:pic>
                <pic:nvPicPr>
                  <pic:cNvPr id="0" name="image1.png"/>
                  <pic:cNvPicPr/>
                </pic:nvPicPr>
                <pic:blipFill>
                  <a:blip r:embed="rId1"/>
                  <a:stretch>
                    <a:fillRect/>
                  </a:stretch>
                </pic:blipFill>
                <pic:spPr>
                  <a:xfrm>
                    <a:off x="0" y="0"/>
                    <a:ext cx="4572000" cy="63125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