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Black" w:hAnsi="Arial Black"/>
          <w:b/>
          <w:color w:val="141C2C"/>
          <w:sz w:val="40"/>
        </w:rPr>
        <w:t>GLG Staff Training Module System</w:t>
      </w:r>
    </w:p>
    <w:p>
      <w:pPr>
        <w:jc w:val="center"/>
      </w:pPr>
      <w:r>
        <w:rPr>
          <w:rFonts w:ascii="Arial" w:hAnsi="Arial"/>
          <w:color w:val="232E54"/>
          <w:sz w:val="28"/>
        </w:rPr>
        <w:t>Architecture Blueprint</w:t>
      </w:r>
    </w:p>
    <w:p>
      <w:pPr>
        <w:jc w:val="center"/>
      </w:pPr>
      <w:r>
        <w:rPr>
          <w:rFonts w:ascii="Arial" w:hAnsi="Arial"/>
          <w:b/>
          <w:color w:val="333333"/>
          <w:sz w:val="22"/>
        </w:rPr>
        <w:t>Gunn Law Group</w:t>
      </w:r>
    </w:p>
    <w:p>
      <w:pPr>
        <w:jc w:val="center"/>
      </w:pPr>
      <w:r>
        <w:rPr>
          <w:rFonts w:ascii="Arial" w:hAnsi="Arial"/>
          <w:color w:val="555555"/>
          <w:sz w:val="18"/>
        </w:rPr>
        <w:t>Updated: June 3, 2026  |  Leadership Document  |  Not for Staff Distribution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Arial Black" w:hAnsi="Arial Black"/>
          <w:b/>
          <w:color w:val="141C2C"/>
          <w:sz w:val="32"/>
        </w:rPr>
        <w:t>1.  ROLE MAP</w:t>
      </w:r>
    </w:p>
    <w:p>
      <w:r>
        <w:rPr>
          <w:rFonts w:ascii="Arial" w:hAnsi="Arial"/>
          <w:b w:val="0"/>
          <w:color w:val="333333"/>
          <w:sz w:val="20"/>
        </w:rPr>
        <w:t>Every role at the firm, organized by department, with the current person in each seat.</w:t>
      </w:r>
    </w:p>
    <w:p/>
    <w:p>
      <w:pPr>
        <w:jc w:val="left"/>
      </w:pPr>
      <w:r>
        <w:rPr>
          <w:rFonts w:ascii="Arial Black" w:hAnsi="Arial Black"/>
          <w:b/>
          <w:color w:val="232E54"/>
          <w:sz w:val="26"/>
        </w:rPr>
        <w:t>PRE-LITIGATION DEPARTMENT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Adriauna Gunn — Lead Pre-Litigation Attorney (supervises all pre-lit staff)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Skylar Davis — Case Manager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John Franklin — Case Manager (Paralegal)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Steve Beauvil — Case Manager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Ranysha Martin — Lead Paralegal / Case Manager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Sherita Terry — Case Manager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Sydney Johnson — Legal Assistant (in-office, started May 18) — PILOT TEST CASE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Jesus Leiton — Legal Assistant (remote, hired directly)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Raine — Legal Assistant (remote, hired directly)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Sara — Legal Assistant (remote, staffing company)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Eugene — Legal Assistant (remote, staffing company)</w:t>
      </w:r>
    </w:p>
    <w:p>
      <w:pPr>
        <w:jc w:val="left"/>
      </w:pPr>
      <w:r>
        <w:rPr>
          <w:rFonts w:ascii="Arial Black" w:hAnsi="Arial Black"/>
          <w:b/>
          <w:color w:val="232E54"/>
          <w:sz w:val="26"/>
        </w:rPr>
        <w:t>LITIGATION DEPARTMENT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Landon Crider — Lead Litigation Attorney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Laura Albarran — Litigation Paralegal (taking the bar)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Alexis Williams — Litigation Paralegal</w:t>
      </w:r>
    </w:p>
    <w:p>
      <w:pPr>
        <w:jc w:val="left"/>
      </w:pPr>
      <w:r>
        <w:rPr>
          <w:rFonts w:ascii="Arial Black" w:hAnsi="Arial Black"/>
          <w:b/>
          <w:color w:val="232E54"/>
          <w:sz w:val="26"/>
        </w:rPr>
        <w:t>ADMINISTRATION / SUPPORT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Victoria Morse — Intake Specialist (remote)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Jessica Ildenfonso — Receptionist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Harrell Gunn — Managing Attorney</w:t>
      </w:r>
    </w:p>
    <w:p>
      <w:pPr>
        <w:jc w:val="left"/>
      </w:pPr>
      <w:r>
        <w:rPr>
          <w:rFonts w:ascii="Arial Black" w:hAnsi="Arial Black"/>
          <w:b/>
          <w:color w:val="232E54"/>
          <w:sz w:val="26"/>
        </w:rPr>
        <w:t>CONTRACTORS (not employees, no module assignments)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Derek — Marketing (MJJ Market Capital)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Marley — Demand Writing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Arial Black" w:hAnsi="Arial Black"/>
          <w:b/>
          <w:color w:val="141C2C"/>
          <w:sz w:val="32"/>
        </w:rPr>
        <w:t>2.  COMPETENCY MATRIX</w:t>
      </w:r>
    </w:p>
    <w:p>
      <w:r>
        <w:rPr>
          <w:rFonts w:ascii="Arial" w:hAnsi="Arial"/>
          <w:b w:val="0"/>
          <w:color w:val="333333"/>
          <w:sz w:val="20"/>
        </w:rPr>
        <w:t>What each role needs to know. Modules marked as Required (R), Recommended (O), or Not Applicable (-).</w:t>
      </w:r>
    </w:p>
    <w:p>
      <w:r>
        <w:rPr>
          <w:rFonts w:ascii="Arial" w:hAnsi="Arial"/>
          <w:b/>
          <w:color w:val="333333"/>
          <w:sz w:val="20"/>
        </w:rPr>
        <w:t>R = Required  |  O = Recommended/Optional  |  - = Not Applicable</w:t>
      </w:r>
    </w:p>
    <w:p/>
    <w:p>
      <w:pPr>
        <w:jc w:val="left"/>
      </w:pPr>
      <w:r>
        <w:rPr>
          <w:rFonts w:ascii="Arial Black" w:hAnsi="Arial Black"/>
          <w:b/>
          <w:color w:val="232E54"/>
          <w:sz w:val="26"/>
        </w:rPr>
        <w:t>TRACK A — CASE LIFECYCLE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  <w:color w:val="141C2C"/>
              </w:rPr>
              <w:t>#</w:t>
            </w:r>
          </w:p>
        </w:tc>
        <w:tc>
          <w:tcPr>
            <w:tcW w:type="dxa" w:w="1170"/>
          </w:tcPr>
          <w:p>
            <w:r>
              <w:rPr>
                <w:b/>
                <w:color w:val="141C2C"/>
              </w:rPr>
              <w:t>Module</w:t>
            </w:r>
          </w:p>
        </w:tc>
        <w:tc>
          <w:tcPr>
            <w:tcW w:type="dxa" w:w="1170"/>
          </w:tcPr>
          <w:p>
            <w:r>
              <w:rPr>
                <w:b/>
                <w:color w:val="141C2C"/>
              </w:rPr>
              <w:t>CM</w:t>
            </w:r>
          </w:p>
        </w:tc>
        <w:tc>
          <w:tcPr>
            <w:tcW w:type="dxa" w:w="1170"/>
          </w:tcPr>
          <w:p>
            <w:r>
              <w:rPr>
                <w:b/>
                <w:color w:val="141C2C"/>
              </w:rPr>
              <w:t>LA</w:t>
            </w:r>
          </w:p>
        </w:tc>
        <w:tc>
          <w:tcPr>
            <w:tcW w:type="dxa" w:w="1170"/>
          </w:tcPr>
          <w:p>
            <w:r>
              <w:rPr>
                <w:b/>
                <w:color w:val="141C2C"/>
              </w:rPr>
              <w:t>Intake</w:t>
            </w:r>
          </w:p>
        </w:tc>
        <w:tc>
          <w:tcPr>
            <w:tcW w:type="dxa" w:w="1170"/>
          </w:tcPr>
          <w:p>
            <w:r>
              <w:rPr>
                <w:b/>
                <w:color w:val="141C2C"/>
              </w:rPr>
              <w:t>Reception</w:t>
            </w:r>
          </w:p>
        </w:tc>
        <w:tc>
          <w:tcPr>
            <w:tcW w:type="dxa" w:w="1170"/>
          </w:tcPr>
          <w:p>
            <w:r>
              <w:rPr>
                <w:b/>
                <w:color w:val="141C2C"/>
              </w:rPr>
              <w:t>Lit Para</w:t>
            </w:r>
          </w:p>
        </w:tc>
        <w:tc>
          <w:tcPr>
            <w:tcW w:type="dxa" w:w="1170"/>
          </w:tcPr>
          <w:p>
            <w:r>
              <w:rPr>
                <w:b/>
                <w:color w:val="141C2C"/>
              </w:rPr>
              <w:t>Attorney</w:t>
            </w:r>
          </w:p>
        </w:tc>
      </w:tr>
      <w:tr>
        <w:tc>
          <w:tcPr>
            <w:tcW w:type="dxa" w:w="1170"/>
          </w:tcPr>
          <w:p>
            <w:r>
              <w:t>A1</w:t>
            </w:r>
          </w:p>
        </w:tc>
        <w:tc>
          <w:tcPr>
            <w:tcW w:type="dxa" w:w="1170"/>
          </w:tcPr>
          <w:p>
            <w:r>
              <w:t>Firm Overview &amp; Culture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</w:tr>
      <w:tr>
        <w:tc>
          <w:tcPr>
            <w:tcW w:type="dxa" w:w="1170"/>
          </w:tcPr>
          <w:p>
            <w:r>
              <w:t>A2</w:t>
            </w:r>
          </w:p>
        </w:tc>
        <w:tc>
          <w:tcPr>
            <w:tcW w:type="dxa" w:w="1170"/>
          </w:tcPr>
          <w:p>
            <w:r>
              <w:t>CasePeer Fundamentals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O</w:t>
            </w:r>
          </w:p>
        </w:tc>
        <w:tc>
          <w:tcPr>
            <w:tcW w:type="dxa" w:w="1170"/>
          </w:tcPr>
          <w:p>
            <w:r>
              <w:t>R</w:t>
            </w:r>
          </w:p>
        </w:tc>
      </w:tr>
      <w:tr>
        <w:tc>
          <w:tcPr>
            <w:tcW w:type="dxa" w:w="1170"/>
          </w:tcPr>
          <w:p>
            <w:r>
              <w:t>A3</w:t>
            </w:r>
          </w:p>
        </w:tc>
        <w:tc>
          <w:tcPr>
            <w:tcW w:type="dxa" w:w="1170"/>
          </w:tcPr>
          <w:p>
            <w:r>
              <w:t>Intake &amp; Case Screening</w:t>
            </w:r>
          </w:p>
        </w:tc>
        <w:tc>
          <w:tcPr>
            <w:tcW w:type="dxa" w:w="1170"/>
          </w:tcPr>
          <w:p>
            <w:r>
              <w:t>O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</w:tr>
      <w:tr>
        <w:tc>
          <w:tcPr>
            <w:tcW w:type="dxa" w:w="1170"/>
          </w:tcPr>
          <w:p>
            <w:r>
              <w:t>A4</w:t>
            </w:r>
          </w:p>
        </w:tc>
        <w:tc>
          <w:tcPr>
            <w:tcW w:type="dxa" w:w="1170"/>
          </w:tcPr>
          <w:p>
            <w:r>
              <w:t>Insurance Investigation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O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</w:tr>
      <w:tr>
        <w:tc>
          <w:tcPr>
            <w:tcW w:type="dxa" w:w="1170"/>
          </w:tcPr>
          <w:p>
            <w:r>
              <w:t>A5</w:t>
            </w:r>
          </w:p>
        </w:tc>
        <w:tc>
          <w:tcPr>
            <w:tcW w:type="dxa" w:w="1170"/>
          </w:tcPr>
          <w:p>
            <w:r>
              <w:t>Client Communication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</w:tr>
      <w:tr>
        <w:tc>
          <w:tcPr>
            <w:tcW w:type="dxa" w:w="1170"/>
          </w:tcPr>
          <w:p>
            <w:r>
              <w:t>A6</w:t>
            </w:r>
          </w:p>
        </w:tc>
        <w:tc>
          <w:tcPr>
            <w:tcW w:type="dxa" w:w="1170"/>
          </w:tcPr>
          <w:p>
            <w:r>
              <w:t>Treatment Monitoring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O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</w:tr>
      <w:tr>
        <w:tc>
          <w:tcPr>
            <w:tcW w:type="dxa" w:w="1170"/>
          </w:tcPr>
          <w:p>
            <w:r>
              <w:t>A7</w:t>
            </w:r>
          </w:p>
        </w:tc>
        <w:tc>
          <w:tcPr>
            <w:tcW w:type="dxa" w:w="1170"/>
          </w:tcPr>
          <w:p>
            <w:r>
              <w:t>Records Retrieval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</w:tr>
      <w:tr>
        <w:tc>
          <w:tcPr>
            <w:tcW w:type="dxa" w:w="1170"/>
          </w:tcPr>
          <w:p>
            <w:r>
              <w:t>A8</w:t>
            </w:r>
          </w:p>
        </w:tc>
        <w:tc>
          <w:tcPr>
            <w:tcW w:type="dxa" w:w="1170"/>
          </w:tcPr>
          <w:p>
            <w:r>
              <w:t>Demand Preparation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O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</w:tr>
      <w:tr>
        <w:tc>
          <w:tcPr>
            <w:tcW w:type="dxa" w:w="1170"/>
          </w:tcPr>
          <w:p>
            <w:r>
              <w:t>A9</w:t>
            </w:r>
          </w:p>
        </w:tc>
        <w:tc>
          <w:tcPr>
            <w:tcW w:type="dxa" w:w="1170"/>
          </w:tcPr>
          <w:p>
            <w:r>
              <w:t>Government Claims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</w:tr>
      <w:tr>
        <w:tc>
          <w:tcPr>
            <w:tcW w:type="dxa" w:w="1170"/>
          </w:tcPr>
          <w:p>
            <w:r>
              <w:t>A10</w:t>
            </w:r>
          </w:p>
        </w:tc>
        <w:tc>
          <w:tcPr>
            <w:tcW w:type="dxa" w:w="1170"/>
          </w:tcPr>
          <w:p>
            <w:r>
              <w:t>Negotiation &amp; Settlement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O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</w:tr>
      <w:tr>
        <w:tc>
          <w:tcPr>
            <w:tcW w:type="dxa" w:w="1170"/>
          </w:tcPr>
          <w:p>
            <w:r>
              <w:t>A11</w:t>
            </w:r>
          </w:p>
        </w:tc>
        <w:tc>
          <w:tcPr>
            <w:tcW w:type="dxa" w:w="1170"/>
          </w:tcPr>
          <w:p>
            <w:r>
              <w:t>Litigation Handoff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O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</w:tr>
      <w:tr>
        <w:tc>
          <w:tcPr>
            <w:tcW w:type="dxa" w:w="1170"/>
          </w:tcPr>
          <w:p>
            <w:r>
              <w:t>A12</w:t>
            </w:r>
          </w:p>
        </w:tc>
        <w:tc>
          <w:tcPr>
            <w:tcW w:type="dxa" w:w="1170"/>
          </w:tcPr>
          <w:p>
            <w:r>
              <w:t>Liens &amp; Reductions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</w:tr>
      <w:tr>
        <w:tc>
          <w:tcPr>
            <w:tcW w:type="dxa" w:w="1170"/>
          </w:tcPr>
          <w:p>
            <w:r>
              <w:t>A13</w:t>
            </w:r>
          </w:p>
        </w:tc>
        <w:tc>
          <w:tcPr>
            <w:tcW w:type="dxa" w:w="1170"/>
          </w:tcPr>
          <w:p>
            <w:r>
              <w:t>Disbursement &amp; Closing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</w:tr>
      <w:tr>
        <w:tc>
          <w:tcPr>
            <w:tcW w:type="dxa" w:w="1170"/>
          </w:tcPr>
          <w:p>
            <w:r>
              <w:t>A14</w:t>
            </w:r>
          </w:p>
        </w:tc>
        <w:tc>
          <w:tcPr>
            <w:tcW w:type="dxa" w:w="1170"/>
          </w:tcPr>
          <w:p>
            <w:r>
              <w:t>Case Drop &amp; Decline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O</w:t>
            </w:r>
          </w:p>
        </w:tc>
        <w:tc>
          <w:tcPr>
            <w:tcW w:type="dxa" w:w="1170"/>
          </w:tcPr>
          <w:p>
            <w:r>
              <w:t>O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</w:tr>
    </w:tbl>
    <w:p/>
    <w:p>
      <w:pPr>
        <w:jc w:val="left"/>
      </w:pPr>
      <w:r>
        <w:rPr>
          <w:rFonts w:ascii="Arial Black" w:hAnsi="Arial Black"/>
          <w:b/>
          <w:color w:val="232E54"/>
          <w:sz w:val="26"/>
        </w:rPr>
        <w:t>TRACK B — SPECIALIZED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  <w:color w:val="141C2C"/>
              </w:rPr>
              <w:t>#</w:t>
            </w:r>
          </w:p>
        </w:tc>
        <w:tc>
          <w:tcPr>
            <w:tcW w:type="dxa" w:w="1170"/>
          </w:tcPr>
          <w:p>
            <w:r>
              <w:rPr>
                <w:b/>
                <w:color w:val="141C2C"/>
              </w:rPr>
              <w:t>Module</w:t>
            </w:r>
          </w:p>
        </w:tc>
        <w:tc>
          <w:tcPr>
            <w:tcW w:type="dxa" w:w="1170"/>
          </w:tcPr>
          <w:p>
            <w:r>
              <w:rPr>
                <w:b/>
                <w:color w:val="141C2C"/>
              </w:rPr>
              <w:t>CM</w:t>
            </w:r>
          </w:p>
        </w:tc>
        <w:tc>
          <w:tcPr>
            <w:tcW w:type="dxa" w:w="1170"/>
          </w:tcPr>
          <w:p>
            <w:r>
              <w:rPr>
                <w:b/>
                <w:color w:val="141C2C"/>
              </w:rPr>
              <w:t>LA</w:t>
            </w:r>
          </w:p>
        </w:tc>
        <w:tc>
          <w:tcPr>
            <w:tcW w:type="dxa" w:w="1170"/>
          </w:tcPr>
          <w:p>
            <w:r>
              <w:rPr>
                <w:b/>
                <w:color w:val="141C2C"/>
              </w:rPr>
              <w:t>Intake</w:t>
            </w:r>
          </w:p>
        </w:tc>
        <w:tc>
          <w:tcPr>
            <w:tcW w:type="dxa" w:w="1170"/>
          </w:tcPr>
          <w:p>
            <w:r>
              <w:rPr>
                <w:b/>
                <w:color w:val="141C2C"/>
              </w:rPr>
              <w:t>Reception</w:t>
            </w:r>
          </w:p>
        </w:tc>
        <w:tc>
          <w:tcPr>
            <w:tcW w:type="dxa" w:w="1170"/>
          </w:tcPr>
          <w:p>
            <w:r>
              <w:rPr>
                <w:b/>
                <w:color w:val="141C2C"/>
              </w:rPr>
              <w:t>Lit Para</w:t>
            </w:r>
          </w:p>
        </w:tc>
        <w:tc>
          <w:tcPr>
            <w:tcW w:type="dxa" w:w="1170"/>
          </w:tcPr>
          <w:p>
            <w:r>
              <w:rPr>
                <w:b/>
                <w:color w:val="141C2C"/>
              </w:rPr>
              <w:t>Attorney</w:t>
            </w:r>
          </w:p>
        </w:tc>
      </w:tr>
      <w:tr>
        <w:tc>
          <w:tcPr>
            <w:tcW w:type="dxa" w:w="1170"/>
          </w:tcPr>
          <w:p>
            <w:r>
              <w:t>B1</w:t>
            </w:r>
          </w:p>
        </w:tc>
        <w:tc>
          <w:tcPr>
            <w:tcW w:type="dxa" w:w="1170"/>
          </w:tcPr>
          <w:p>
            <w:r>
              <w:t>UM/UIM Coverage (BUILT)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</w:tr>
      <w:tr>
        <w:tc>
          <w:tcPr>
            <w:tcW w:type="dxa" w:w="1170"/>
          </w:tcPr>
          <w:p>
            <w:r>
              <w:t>B2</w:t>
            </w:r>
          </w:p>
        </w:tc>
        <w:tc>
          <w:tcPr>
            <w:tcW w:type="dxa" w:w="1170"/>
          </w:tcPr>
          <w:p>
            <w:r>
              <w:t>Hospital Liens &amp; Verification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</w:tr>
      <w:tr>
        <w:tc>
          <w:tcPr>
            <w:tcW w:type="dxa" w:w="1170"/>
          </w:tcPr>
          <w:p>
            <w:r>
              <w:t>B3</w:t>
            </w:r>
          </w:p>
        </w:tc>
        <w:tc>
          <w:tcPr>
            <w:tcW w:type="dxa" w:w="1170"/>
          </w:tcPr>
          <w:p>
            <w:r>
              <w:t>ERISA &amp; Made Whole Doctrine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O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</w:tr>
      <w:tr>
        <w:tc>
          <w:tcPr>
            <w:tcW w:type="dxa" w:w="1170"/>
          </w:tcPr>
          <w:p>
            <w:r>
              <w:t>B4</w:t>
            </w:r>
          </w:p>
        </w:tc>
        <w:tc>
          <w:tcPr>
            <w:tcW w:type="dxa" w:w="1170"/>
          </w:tcPr>
          <w:p>
            <w:r>
              <w:t>Adjuster Negotiation Tactics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</w:tr>
      <w:tr>
        <w:tc>
          <w:tcPr>
            <w:tcW w:type="dxa" w:w="1170"/>
          </w:tcPr>
          <w:p>
            <w:r>
              <w:t>B5</w:t>
            </w:r>
          </w:p>
        </w:tc>
        <w:tc>
          <w:tcPr>
            <w:tcW w:type="dxa" w:w="1170"/>
          </w:tcPr>
          <w:p>
            <w:r>
              <w:t>Difficult Client Conversations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O</w:t>
            </w:r>
          </w:p>
        </w:tc>
        <w:tc>
          <w:tcPr>
            <w:tcW w:type="dxa" w:w="1170"/>
          </w:tcPr>
          <w:p>
            <w:r>
              <w:t>R</w:t>
            </w:r>
          </w:p>
        </w:tc>
      </w:tr>
      <w:tr>
        <w:tc>
          <w:tcPr>
            <w:tcW w:type="dxa" w:w="1170"/>
          </w:tcPr>
          <w:p>
            <w:r>
              <w:t>B6</w:t>
            </w:r>
          </w:p>
        </w:tc>
        <w:tc>
          <w:tcPr>
            <w:tcW w:type="dxa" w:w="1170"/>
          </w:tcPr>
          <w:p>
            <w:r>
              <w:t>Trust Account Compliance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O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O</w:t>
            </w:r>
          </w:p>
        </w:tc>
        <w:tc>
          <w:tcPr>
            <w:tcW w:type="dxa" w:w="1170"/>
          </w:tcPr>
          <w:p>
            <w:r>
              <w:t>R</w:t>
            </w:r>
          </w:p>
        </w:tc>
      </w:tr>
      <w:tr>
        <w:tc>
          <w:tcPr>
            <w:tcW w:type="dxa" w:w="1170"/>
          </w:tcPr>
          <w:p>
            <w:r>
              <w:t>B7</w:t>
            </w:r>
          </w:p>
        </w:tc>
        <w:tc>
          <w:tcPr>
            <w:tcW w:type="dxa" w:w="1170"/>
          </w:tcPr>
          <w:p>
            <w:r>
              <w:t>HB 1344 Compliance (Jan 2027)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</w:tr>
      <w:tr>
        <w:tc>
          <w:tcPr>
            <w:tcW w:type="dxa" w:w="1170"/>
          </w:tcPr>
          <w:p>
            <w:r>
              <w:t>B8</w:t>
            </w:r>
          </w:p>
        </w:tc>
        <w:tc>
          <w:tcPr>
            <w:tcW w:type="dxa" w:w="1170"/>
          </w:tcPr>
          <w:p>
            <w:r>
              <w:t>Reception &amp; First Impressions</w:t>
            </w:r>
          </w:p>
        </w:tc>
        <w:tc>
          <w:tcPr>
            <w:tcW w:type="dxa" w:w="1170"/>
          </w:tcPr>
          <w:p>
            <w:r>
              <w:t>O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</w:tr>
    </w:tbl>
    <w:p/>
    <w:p>
      <w:pPr>
        <w:jc w:val="left"/>
      </w:pPr>
      <w:r>
        <w:rPr>
          <w:rFonts w:ascii="Arial Black" w:hAnsi="Arial Black"/>
          <w:b/>
          <w:color w:val="232E54"/>
          <w:sz w:val="26"/>
        </w:rPr>
        <w:t>TRACK C — LEADERSHIP &amp; ATTORNEY TRAINING</w:t>
      </w:r>
    </w:p>
    <w:p>
      <w:r>
        <w:rPr>
          <w:rFonts w:ascii="Arial" w:hAnsi="Arial"/>
          <w:b w:val="0"/>
          <w:color w:val="333333"/>
          <w:sz w:val="20"/>
        </w:rPr>
        <w:t>Modules for Adriauna, Landon, and firm administration. Not for general staff distribution.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color w:val="141C2C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color w:val="141C2C"/>
              </w:rPr>
              <w:t>Module</w:t>
            </w:r>
          </w:p>
        </w:tc>
        <w:tc>
          <w:tcPr>
            <w:tcW w:type="dxa" w:w="2340"/>
          </w:tcPr>
          <w:p>
            <w:r>
              <w:rPr>
                <w:b/>
                <w:color w:val="141C2C"/>
              </w:rPr>
              <w:t>Adriauna</w:t>
            </w:r>
          </w:p>
        </w:tc>
        <w:tc>
          <w:tcPr>
            <w:tcW w:type="dxa" w:w="2340"/>
          </w:tcPr>
          <w:p>
            <w:r>
              <w:rPr>
                <w:b/>
                <w:color w:val="141C2C"/>
              </w:rPr>
              <w:t>Landon</w:t>
            </w:r>
          </w:p>
        </w:tc>
      </w:tr>
      <w:tr>
        <w:tc>
          <w:tcPr>
            <w:tcW w:type="dxa" w:w="2340"/>
          </w:tcPr>
          <w:p>
            <w:r>
              <w:t>C1</w:t>
            </w:r>
          </w:p>
        </w:tc>
        <w:tc>
          <w:tcPr>
            <w:tcW w:type="dxa" w:w="2340"/>
          </w:tcPr>
          <w:p>
            <w:r>
              <w:t>GA Bar Rule 5.1 — Supervisory Responsibilities</w:t>
            </w:r>
          </w:p>
        </w:tc>
        <w:tc>
          <w:tcPr>
            <w:tcW w:type="dxa" w:w="2340"/>
          </w:tcPr>
          <w:p>
            <w:r>
              <w:t>R</w:t>
            </w:r>
          </w:p>
        </w:tc>
        <w:tc>
          <w:tcPr>
            <w:tcW w:type="dxa" w:w="2340"/>
          </w:tcPr>
          <w:p>
            <w:r>
              <w:t>R</w:t>
            </w:r>
          </w:p>
        </w:tc>
      </w:tr>
      <w:tr>
        <w:tc>
          <w:tcPr>
            <w:tcW w:type="dxa" w:w="2340"/>
          </w:tcPr>
          <w:p>
            <w:r>
              <w:t>C2</w:t>
            </w:r>
          </w:p>
        </w:tc>
        <w:tc>
          <w:tcPr>
            <w:tcW w:type="dxa" w:w="2340"/>
          </w:tcPr>
          <w:p>
            <w:r>
              <w:t>GA Bar Rule 5.3 — Supervision of Non-Attorney Staff</w:t>
            </w:r>
          </w:p>
        </w:tc>
        <w:tc>
          <w:tcPr>
            <w:tcW w:type="dxa" w:w="2340"/>
          </w:tcPr>
          <w:p>
            <w:r>
              <w:t>R</w:t>
            </w:r>
          </w:p>
        </w:tc>
        <w:tc>
          <w:tcPr>
            <w:tcW w:type="dxa" w:w="2340"/>
          </w:tcPr>
          <w:p>
            <w:r>
              <w:t>R</w:t>
            </w:r>
          </w:p>
        </w:tc>
      </w:tr>
      <w:tr>
        <w:tc>
          <w:tcPr>
            <w:tcW w:type="dxa" w:w="2340"/>
          </w:tcPr>
          <w:p>
            <w:r>
              <w:t>C3</w:t>
            </w:r>
          </w:p>
        </w:tc>
        <w:tc>
          <w:tcPr>
            <w:tcW w:type="dxa" w:w="2340"/>
          </w:tcPr>
          <w:p>
            <w:r>
              <w:t>Accountability Systems &amp; Performance Management</w:t>
            </w:r>
          </w:p>
        </w:tc>
        <w:tc>
          <w:tcPr>
            <w:tcW w:type="dxa" w:w="2340"/>
          </w:tcPr>
          <w:p>
            <w:r>
              <w:t>R</w:t>
            </w:r>
          </w:p>
        </w:tc>
        <w:tc>
          <w:tcPr>
            <w:tcW w:type="dxa" w:w="2340"/>
          </w:tcPr>
          <w:p>
            <w:r>
              <w:t>R</w:t>
            </w:r>
          </w:p>
        </w:tc>
      </w:tr>
      <w:tr>
        <w:tc>
          <w:tcPr>
            <w:tcW w:type="dxa" w:w="2340"/>
          </w:tcPr>
          <w:p>
            <w:r>
              <w:t>C4</w:t>
            </w:r>
          </w:p>
        </w:tc>
        <w:tc>
          <w:tcPr>
            <w:tcW w:type="dxa" w:w="2340"/>
          </w:tcPr>
          <w:p>
            <w:r>
              <w:t>Delegation &amp; Task Ownership (Landon Accountability)</w:t>
            </w:r>
          </w:p>
        </w:tc>
        <w:tc>
          <w:tcPr>
            <w:tcW w:type="dxa" w:w="2340"/>
          </w:tcPr>
          <w:p>
            <w:r>
              <w:t>O</w:t>
            </w:r>
          </w:p>
        </w:tc>
        <w:tc>
          <w:tcPr>
            <w:tcW w:type="dxa" w:w="2340"/>
          </w:tcPr>
          <w:p>
            <w:r>
              <w:t>R</w:t>
            </w:r>
          </w:p>
        </w:tc>
      </w:tr>
      <w:tr>
        <w:tc>
          <w:tcPr>
            <w:tcW w:type="dxa" w:w="2340"/>
          </w:tcPr>
          <w:p>
            <w:r>
              <w:t>C5</w:t>
            </w:r>
          </w:p>
        </w:tc>
        <w:tc>
          <w:tcPr>
            <w:tcW w:type="dxa" w:w="2340"/>
          </w:tcPr>
          <w:p>
            <w:r>
              <w:t>Firm KPI &amp; Scorecard Interpretation</w:t>
            </w:r>
          </w:p>
        </w:tc>
        <w:tc>
          <w:tcPr>
            <w:tcW w:type="dxa" w:w="2340"/>
          </w:tcPr>
          <w:p>
            <w:r>
              <w:t>R</w:t>
            </w:r>
          </w:p>
        </w:tc>
        <w:tc>
          <w:tcPr>
            <w:tcW w:type="dxa" w:w="2340"/>
          </w:tcPr>
          <w:p>
            <w:r>
              <w:t>R</w:t>
            </w:r>
          </w:p>
        </w:tc>
      </w:tr>
      <w:tr>
        <w:tc>
          <w:tcPr>
            <w:tcW w:type="dxa" w:w="2340"/>
          </w:tcPr>
          <w:p>
            <w:r>
              <w:t>C6</w:t>
            </w:r>
          </w:p>
        </w:tc>
        <w:tc>
          <w:tcPr>
            <w:tcW w:type="dxa" w:w="2340"/>
          </w:tcPr>
          <w:p>
            <w:r>
              <w:t>Case Quality Standards &amp; Demand Review</w:t>
            </w:r>
          </w:p>
        </w:tc>
        <w:tc>
          <w:tcPr>
            <w:tcW w:type="dxa" w:w="2340"/>
          </w:tcPr>
          <w:p>
            <w:r>
              <w:t>R</w:t>
            </w:r>
          </w:p>
        </w:tc>
        <w:tc>
          <w:tcPr>
            <w:tcW w:type="dxa" w:w="2340"/>
          </w:tcPr>
          <w:p>
            <w:r>
              <w:t>R</w:t>
            </w:r>
          </w:p>
        </w:tc>
      </w:tr>
      <w:tr>
        <w:tc>
          <w:tcPr>
            <w:tcW w:type="dxa" w:w="2340"/>
          </w:tcPr>
          <w:p>
            <w:r>
              <w:t>C7</w:t>
            </w:r>
          </w:p>
        </w:tc>
        <w:tc>
          <w:tcPr>
            <w:tcW w:type="dxa" w:w="2340"/>
          </w:tcPr>
          <w:p>
            <w:r>
              <w:t>Ethics in PI Practice — Conflicts &amp; Fee Splitting</w:t>
            </w:r>
          </w:p>
        </w:tc>
        <w:tc>
          <w:tcPr>
            <w:tcW w:type="dxa" w:w="2340"/>
          </w:tcPr>
          <w:p>
            <w:r>
              <w:t>R</w:t>
            </w:r>
          </w:p>
        </w:tc>
        <w:tc>
          <w:tcPr>
            <w:tcW w:type="dxa" w:w="2340"/>
          </w:tcPr>
          <w:p>
            <w:r>
              <w:t>R</w:t>
            </w:r>
          </w:p>
        </w:tc>
      </w:tr>
      <w:tr>
        <w:tc>
          <w:tcPr>
            <w:tcW w:type="dxa" w:w="2340"/>
          </w:tcPr>
          <w:p>
            <w:r>
              <w:t>C8</w:t>
            </w:r>
          </w:p>
        </w:tc>
        <w:tc>
          <w:tcPr>
            <w:tcW w:type="dxa" w:w="2340"/>
          </w:tcPr>
          <w:p>
            <w:r>
              <w:t>Managing Remote Staff &amp; Contractor Oversight</w:t>
            </w:r>
          </w:p>
        </w:tc>
        <w:tc>
          <w:tcPr>
            <w:tcW w:type="dxa" w:w="2340"/>
          </w:tcPr>
          <w:p>
            <w:r>
              <w:t>R</w:t>
            </w:r>
          </w:p>
        </w:tc>
        <w:tc>
          <w:tcPr>
            <w:tcW w:type="dxa" w:w="2340"/>
          </w:tcPr>
          <w:p>
            <w:r>
              <w:t>O</w:t>
            </w:r>
          </w:p>
        </w:tc>
      </w:tr>
    </w:tbl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Arial Black" w:hAnsi="Arial Black"/>
          <w:b/>
          <w:color w:val="141C2C"/>
          <w:sz w:val="32"/>
        </w:rPr>
        <w:t>3.  MODULE CATEGORIES</w:t>
      </w:r>
    </w:p>
    <w:p>
      <w:r>
        <w:rPr>
          <w:rFonts w:ascii="Arial" w:hAnsi="Arial"/>
          <w:b w:val="0"/>
          <w:color w:val="333333"/>
          <w:sz w:val="20"/>
        </w:rPr>
        <w:t>All modules fall into one of three categories (updated June 2026):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GLG Operations — How the firm runs: systems, tools, communication standards, CasePeer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Case Management — Substantive casework: intake through disbursement, government claims, liens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Legal Compliance — Ethics, bar rules, regulatory requirements (GA Bar, HB 1344, etc.)</w:t>
      </w:r>
    </w:p>
    <w:p/>
    <w:p>
      <w:pPr>
        <w:jc w:val="left"/>
      </w:pPr>
      <w:r>
        <w:rPr>
          <w:rFonts w:ascii="Arial Black" w:hAnsi="Arial Black"/>
          <w:b/>
          <w:color w:val="232E54"/>
          <w:sz w:val="26"/>
        </w:rPr>
        <w:t>Module-to-Category Map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GLG Operations: A1, A2, A5, B7, B8, C3, C4, C5, C8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Case Management: A3, A4, A6, A7, A8, A10, A11, A12, A13, A14, B1, B2, B3, B4, B5, B6, C6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Legal Compliance: A9, C1, C2, C7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Arial Black" w:hAnsi="Arial Black"/>
          <w:b/>
          <w:color w:val="141C2C"/>
          <w:sz w:val="32"/>
        </w:rPr>
        <w:t>4.  MODULE ASSIGNMENT LOGIC</w:t>
      </w:r>
    </w:p>
    <w:p>
      <w:r>
        <w:rPr>
          <w:rFonts w:ascii="Arial" w:hAnsi="Arial"/>
          <w:b w:val="0"/>
          <w:color w:val="333333"/>
          <w:sz w:val="20"/>
        </w:rPr>
        <w:t>When someone is hired, they are automatically assigned their required modules based on role.</w:t>
      </w:r>
    </w:p>
    <w:p/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New Hire: Case Manager: </w:t>
      </w:r>
      <w:r>
        <w:rPr>
          <w:rFonts w:ascii="Arial" w:hAnsi="Arial"/>
          <w:color w:val="333333"/>
          <w:sz w:val="20"/>
        </w:rPr>
        <w:t>A1 &gt; A2 &gt; A5 &gt; A9 &gt; A4 &gt; A7 &gt; A6 &gt; A8 &gt; A10 &gt; A11 &gt; A12 &gt; A13 &gt; A3 &gt; A14 then B1 &gt; B2 &gt; B3 &gt; B4 &gt; B5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New Hire: Legal Assistant: </w:t>
      </w:r>
      <w:r>
        <w:rPr>
          <w:rFonts w:ascii="Arial" w:hAnsi="Arial"/>
          <w:color w:val="333333"/>
          <w:sz w:val="20"/>
        </w:rPr>
        <w:t>A1 &gt; A2 &gt; A5 &gt; A9 &gt; A4 &gt; A7 &gt; A12 then B1 &gt; B2 &gt; B7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New Hire: Intake Specialist: </w:t>
      </w:r>
      <w:r>
        <w:rPr>
          <w:rFonts w:ascii="Arial" w:hAnsi="Arial"/>
          <w:color w:val="333333"/>
          <w:sz w:val="20"/>
        </w:rPr>
        <w:t>A1 &gt; A2 &gt; A3 &gt; A5 &gt; A9 then B7 &gt; B8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New Hire: Receptionist: </w:t>
      </w:r>
      <w:r>
        <w:rPr>
          <w:rFonts w:ascii="Arial" w:hAnsi="Arial"/>
          <w:color w:val="333333"/>
          <w:sz w:val="20"/>
        </w:rPr>
        <w:t>A1 &gt; A5 &gt; A9 then B7 &gt; B8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New Hire: Litigation Paralegal: </w:t>
      </w:r>
      <w:r>
        <w:rPr>
          <w:rFonts w:ascii="Arial" w:hAnsi="Arial"/>
          <w:color w:val="333333"/>
          <w:sz w:val="20"/>
        </w:rPr>
        <w:t>A1 &gt; A2 &gt; A5 &gt; A9 &gt; A11 then B5 &gt; B6 &gt; B7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New Hire: Attorney: </w:t>
      </w:r>
      <w:r>
        <w:rPr>
          <w:rFonts w:ascii="Arial" w:hAnsi="Arial"/>
          <w:color w:val="333333"/>
          <w:sz w:val="20"/>
        </w:rPr>
        <w:t>A1 &gt; A2 &gt; A5 &gt; A9 &gt; A11 then B5 &gt; B6 &gt; B7 then C1 &gt; C2 &gt; C3 &gt; C6 &gt; C7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Existing Staff: Gap-Fill: </w:t>
      </w:r>
      <w:r>
        <w:rPr>
          <w:rFonts w:ascii="Arial" w:hAnsi="Arial"/>
          <w:color w:val="333333"/>
          <w:sz w:val="20"/>
        </w:rPr>
        <w:t>A9 (mandatory) &gt; A5 (if compliance below 50%) &gt; others based on scorecard weaknesses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Arial Black" w:hAnsi="Arial Black"/>
          <w:b/>
          <w:color w:val="141C2C"/>
          <w:sz w:val="32"/>
        </w:rPr>
        <w:t>5.  PILOT TEST CASE — SYDNEY JOHNSON</w:t>
      </w:r>
    </w:p>
    <w:p>
      <w:r>
        <w:rPr>
          <w:rFonts w:ascii="Arial" w:hAnsi="Arial"/>
          <w:b w:val="0"/>
          <w:color w:val="333333"/>
          <w:sz w:val="20"/>
        </w:rPr>
        <w:t>Sydney Johnson (Legal Assistant, in-office, started May 18) is the designated pilot for the training module system.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Sydney completes modules first, before team-wide rollout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Her feedback directly shapes module revisions — if something is confusing, it gets fixed before others see it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Her 4-Week Onboarding Plan (on file) aligns with module sequence for Legal Assistant track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Sydney's quiz scores and completion data will establish baseline benchmarks for the scoring system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Status: pilot underway — modules released in sequence per onboarding plan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Arial Black" w:hAnsi="Arial Black"/>
          <w:b/>
          <w:color w:val="141C2C"/>
          <w:sz w:val="32"/>
        </w:rPr>
        <w:t>6.  GAMIFICATION &amp; SCORING SYSTEM</w:t>
      </w:r>
    </w:p>
    <w:p>
      <w:r>
        <w:rPr>
          <w:rFonts w:ascii="Arial" w:hAnsi="Arial"/>
          <w:b w:val="0"/>
          <w:color w:val="333333"/>
          <w:sz w:val="20"/>
        </w:rPr>
        <w:t>Implemented to drive engagement, accountability, and voluntary excellence.</w:t>
      </w:r>
    </w:p>
    <w:p/>
    <w:p>
      <w:pPr>
        <w:jc w:val="left"/>
      </w:pPr>
      <w:r>
        <w:rPr>
          <w:rFonts w:ascii="Arial Black" w:hAnsi="Arial Black"/>
          <w:b/>
          <w:color w:val="232E54"/>
          <w:sz w:val="26"/>
        </w:rPr>
        <w:t>Point Structure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Each completed module: 10 points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Perfect score (100%) on any quiz: +5 bonus points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Completion within assigned deadline: +2 bonus points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Retake after failed quiz (pass on 2nd attempt): 8 points</w:t>
      </w:r>
    </w:p>
    <w:p>
      <w:pPr>
        <w:jc w:val="left"/>
      </w:pPr>
      <w:r>
        <w:rPr>
          <w:rFonts w:ascii="Arial Black" w:hAnsi="Arial Black"/>
          <w:b/>
          <w:color w:val="232E54"/>
          <w:sz w:val="26"/>
        </w:rPr>
        <w:t>Monthly Quiz Competition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Every month, one open-to-all quiz is administered across the firm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Top scorer receives a $100 gift card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Ties broken by fastest completion time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Winners announced at monthly firm meeting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Participation is voluntary but all scores tracked</w:t>
      </w:r>
    </w:p>
    <w:p>
      <w:pPr>
        <w:jc w:val="left"/>
      </w:pPr>
      <w:r>
        <w:rPr>
          <w:rFonts w:ascii="Arial Black" w:hAnsi="Arial Black"/>
          <w:b/>
          <w:color w:val="232E54"/>
          <w:sz w:val="26"/>
        </w:rPr>
        <w:t>Tracking &amp; Scoring Database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System: Google Sheet (master tracking workbook, leadership access only)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Columns: Employee Name | Module | Date Completed | Score | Points Awarded | Cumulative Total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Monthly leaderboard tab updated after each quiz competition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Individual dashboards show each employee's progress toward required module completion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Annual review includes training completion as a performance metric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Arial Black" w:hAnsi="Arial Black"/>
          <w:b/>
          <w:color w:val="141C2C"/>
          <w:sz w:val="32"/>
        </w:rPr>
        <w:t>7.  SOP &amp; TEMPLATE MAPPING</w:t>
      </w:r>
    </w:p>
    <w:p>
      <w:r>
        <w:rPr>
          <w:rFonts w:ascii="Arial" w:hAnsi="Arial"/>
          <w:b w:val="0"/>
          <w:color w:val="333333"/>
          <w:sz w:val="20"/>
        </w:rPr>
        <w:t>Which existing documents feed into each module. Ensures modules are grounded in approved firm materials.</w:t>
      </w:r>
    </w:p>
    <w:p/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A1: Firm Overview: </w:t>
      </w:r>
      <w:r>
        <w:rPr>
          <w:rFonts w:ascii="Arial" w:hAnsi="Arial"/>
          <w:color w:val="333333"/>
          <w:sz w:val="20"/>
        </w:rPr>
        <w:t>Employee Handbook, Position Contracts, Chain of Command SOP, Org Chart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A2: CasePeer: </w:t>
      </w:r>
      <w:r>
        <w:rPr>
          <w:rFonts w:ascii="Arial" w:hAnsi="Arial"/>
          <w:color w:val="333333"/>
          <w:sz w:val="20"/>
        </w:rPr>
        <w:t>CasePeer Basics Training, Status Change Guide, Template Quick Reference, Self-Monitoring Guide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A3: Intake: </w:t>
      </w:r>
      <w:r>
        <w:rPr>
          <w:rFonts w:ascii="Arial" w:hAnsi="Arial"/>
          <w:color w:val="333333"/>
          <w:sz w:val="20"/>
        </w:rPr>
        <w:t>Intake SOP, Reception SOP, Conflict Check Procedure, Reception Phone Script, Welcome Call Script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A4: Insurance: </w:t>
      </w:r>
      <w:r>
        <w:rPr>
          <w:rFonts w:ascii="Arial" w:hAnsi="Arial"/>
          <w:color w:val="333333"/>
          <w:sz w:val="20"/>
        </w:rPr>
        <w:t>Coverage Maximization Checklist, UM/UIM Training Guide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A5: Communication: </w:t>
      </w:r>
      <w:r>
        <w:rPr>
          <w:rFonts w:ascii="Arial" w:hAnsi="Arial"/>
          <w:color w:val="333333"/>
          <w:sz w:val="20"/>
        </w:rPr>
        <w:t>Communication Standards Memo, Communication Logging Standards, All 10 Call Scripts, Callback Tracker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A6: Treatment: </w:t>
      </w:r>
      <w:r>
        <w:rPr>
          <w:rFonts w:ascii="Arial" w:hAnsi="Arial"/>
          <w:color w:val="333333"/>
          <w:sz w:val="20"/>
        </w:rPr>
        <w:t>Treatment Check-In Script, Treatment Gap Script, Client Communication SOP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A7: Records: </w:t>
      </w:r>
      <w:r>
        <w:rPr>
          <w:rFonts w:ascii="Arial" w:hAnsi="Arial"/>
          <w:color w:val="333333"/>
          <w:sz w:val="20"/>
        </w:rPr>
        <w:t>Legal Assistant SOP (records section), Pre-Lit Paralegal SOP (escalation ladder)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A8: Demand: </w:t>
      </w:r>
      <w:r>
        <w:rPr>
          <w:rFonts w:ascii="Arial" w:hAnsi="Arial"/>
          <w:color w:val="333333"/>
          <w:sz w:val="20"/>
        </w:rPr>
        <w:t>Demand Package Preparation Guide, Adjuster Negotiation Framework, Holt Demand Checklist, Settlement Value Worksheet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A9: Government: </w:t>
      </w:r>
      <w:r>
        <w:rPr>
          <w:rFonts w:ascii="Arial" w:hAnsi="Arial"/>
          <w:color w:val="333333"/>
          <w:sz w:val="20"/>
        </w:rPr>
        <w:t>Government Claims Quick Reference, Templates 58-60 + 121-123, Ante Litem Reference Guide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A10: Negotiation: </w:t>
      </w:r>
      <w:r>
        <w:rPr>
          <w:rFonts w:ascii="Arial" w:hAnsi="Arial"/>
          <w:color w:val="333333"/>
          <w:sz w:val="20"/>
        </w:rPr>
        <w:t>Adjuster Negotiation Framework, Settlement Offer Call Script, Settlement Value Worksheet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A11: Lit Handoff: </w:t>
      </w:r>
      <w:r>
        <w:rPr>
          <w:rFonts w:ascii="Arial" w:hAnsi="Arial"/>
          <w:color w:val="333333"/>
          <w:sz w:val="20"/>
        </w:rPr>
        <w:t>Intake-to-Litigation Handoff SOP, Templates 119-120, Litigation Handoff Call Script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A12: Liens: </w:t>
      </w:r>
      <w:r>
        <w:rPr>
          <w:rFonts w:ascii="Arial" w:hAnsi="Arial"/>
          <w:color w:val="333333"/>
          <w:sz w:val="20"/>
        </w:rPr>
        <w:t>ERISA/Made Whole Guide, Hospital Lien Guide v2, Lien Negotiation Guide, Health Insurance Reimbursement Guide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A13: Disbursement: </w:t>
      </w:r>
      <w:r>
        <w:rPr>
          <w:rFonts w:ascii="Arial" w:hAnsi="Arial"/>
          <w:color w:val="333333"/>
          <w:sz w:val="20"/>
        </w:rPr>
        <w:t>Post-Settlement SOP, Trust Account SOP, Settlement Acceptance Call Script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A14: Case Drop: </w:t>
      </w:r>
      <w:r>
        <w:rPr>
          <w:rFonts w:ascii="Arial" w:hAnsi="Arial"/>
          <w:color w:val="333333"/>
          <w:sz w:val="20"/>
        </w:rPr>
        <w:t>Case Drop Policy SOP, Case Drop Call Script, Template 29-30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C1/C2: GA Bar Rules 5.1/5.3: </w:t>
      </w:r>
      <w:r>
        <w:rPr>
          <w:rFonts w:ascii="Arial" w:hAnsi="Arial"/>
          <w:color w:val="333333"/>
          <w:sz w:val="20"/>
        </w:rPr>
        <w:t>GA Bar Rules &amp; Resources Reference, GA PI Law Reference Guide (Track C — Landon accountability issue)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Arial Black" w:hAnsi="Arial Black"/>
          <w:b/>
          <w:color w:val="141C2C"/>
          <w:sz w:val="32"/>
        </w:rPr>
        <w:t>8.  GLG BRAND COLORS FOR MODULES</w:t>
      </w:r>
    </w:p>
    <w:p>
      <w:r>
        <w:rPr>
          <w:rFonts w:ascii="Arial" w:hAnsi="Arial"/>
          <w:b w:val="0"/>
          <w:color w:val="333333"/>
          <w:sz w:val="20"/>
        </w:rPr>
        <w:t>All training modules must use these colors for consistency with the firm's website and branding.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#141c2c — Primary Navy (headers, progress bars)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#232e54 — Secondary Navy (section headers)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#333333 — Body Text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#188038 — Correct/Pass (green)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#d93025 — Incorrect/Fail (red)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#c1c1c1 background / #000000 text — Buttons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#ffffff — Background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Champion Gothic (or fallback: Arial Black) — Heading Font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Inter (or fallback: Arial) — Body Font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Arial Black" w:hAnsi="Arial Black"/>
          <w:b/>
          <w:color w:val="141C2C"/>
          <w:sz w:val="32"/>
        </w:rPr>
        <w:t>9.  MODULE FORMAT STANDARD</w:t>
      </w:r>
    </w:p>
    <w:p>
      <w:r>
        <w:rPr>
          <w:rFonts w:ascii="Arial" w:hAnsi="Arial"/>
          <w:b w:val="0"/>
          <w:color w:val="333333"/>
          <w:sz w:val="20"/>
        </w:rPr>
        <w:t>Every module follows this structure. Mobile-first design is required for all modules.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Interactive HTML file (single self-contained .html file)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Mobile-first responsive design — must render correctly on phones and tablets without zooming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GLG branded header with logo and navy background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Module title and estimated completion time (15-20 minutes)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Learning objectives (3-5 bullet points)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Content sections with real GLG scenarios (anonymized)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Key takeaway boxes after each section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Quiz at the end (8-10 questions, must score 80% to pass)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Completion certificate with employee name, date, and module title</w:t>
      </w:r>
    </w:p>
    <w:p>
      <w:pPr>
        <w:pStyle w:val="ListBullet"/>
        <w:ind w:left="432"/>
      </w:pPr>
      <w:r>
        <w:rPr>
          <w:rFonts w:ascii="Arial" w:hAnsi="Arial"/>
          <w:color w:val="333333"/>
          <w:sz w:val="20"/>
        </w:rPr>
        <w:t>Print-friendly version option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Arial Black" w:hAnsi="Arial Black"/>
          <w:b/>
          <w:color w:val="141C2C"/>
          <w:sz w:val="32"/>
        </w:rPr>
        <w:t>10.  BUILD PRIORITY ORDER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1. </w:t>
      </w:r>
      <w:r>
        <w:rPr>
          <w:rFonts w:ascii="Arial" w:hAnsi="Arial"/>
          <w:color w:val="333333"/>
          <w:sz w:val="20"/>
        </w:rPr>
        <w:t>A9: Government Claims — URGENT — systemic failure exposed by audit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2. </w:t>
      </w:r>
      <w:r>
        <w:rPr>
          <w:rFonts w:ascii="Arial" w:hAnsi="Arial"/>
          <w:color w:val="333333"/>
          <w:sz w:val="20"/>
        </w:rPr>
        <w:t>A5: Client Communication — CRITICAL — 19% compliance, #1 source of bad reviews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3. </w:t>
      </w:r>
      <w:r>
        <w:rPr>
          <w:rFonts w:ascii="Arial" w:hAnsi="Arial"/>
          <w:color w:val="333333"/>
          <w:sz w:val="20"/>
        </w:rPr>
        <w:t>A2: CasePeer Fundamentals — HIGH — cases in wrong status for months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4. </w:t>
      </w:r>
      <w:r>
        <w:rPr>
          <w:rFonts w:ascii="Arial" w:hAnsi="Arial"/>
          <w:color w:val="333333"/>
          <w:sz w:val="20"/>
        </w:rPr>
        <w:t>A4: Insurance Investigation — HIGH — coverage unconfirmed 3+ months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5. </w:t>
      </w:r>
      <w:r>
        <w:rPr>
          <w:rFonts w:ascii="Arial" w:hAnsi="Arial"/>
          <w:color w:val="333333"/>
          <w:sz w:val="20"/>
        </w:rPr>
        <w:t>A8: Demand Preparation — HIGH — demand quality issues (Abanifi)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6. </w:t>
      </w:r>
      <w:r>
        <w:rPr>
          <w:rFonts w:ascii="Arial" w:hAnsi="Arial"/>
          <w:color w:val="333333"/>
          <w:sz w:val="20"/>
        </w:rPr>
        <w:t>A12: Liens &amp; Reductions — HIGH — disbursement backlog 113 cases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7. </w:t>
      </w:r>
      <w:r>
        <w:rPr>
          <w:rFonts w:ascii="Arial" w:hAnsi="Arial"/>
          <w:color w:val="333333"/>
          <w:sz w:val="20"/>
        </w:rPr>
        <w:t>B1: UM/UIM Coverage — DONE — first module built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8. </w:t>
      </w:r>
      <w:r>
        <w:rPr>
          <w:rFonts w:ascii="Arial" w:hAnsi="Arial"/>
          <w:color w:val="333333"/>
          <w:sz w:val="20"/>
        </w:rPr>
        <w:t>A11: Litigation Handoff — HIGH — Tiffanie Hurt situation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9. </w:t>
      </w:r>
      <w:r>
        <w:rPr>
          <w:rFonts w:ascii="Arial" w:hAnsi="Arial"/>
          <w:color w:val="333333"/>
          <w:sz w:val="20"/>
        </w:rPr>
        <w:t>A1: Firm Overview — MEDIUM — needed for new hire onboarding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10. </w:t>
      </w:r>
      <w:r>
        <w:rPr>
          <w:rFonts w:ascii="Arial" w:hAnsi="Arial"/>
          <w:color w:val="333333"/>
          <w:sz w:val="20"/>
        </w:rPr>
        <w:t>B7: HB 1344 Compliance — MEDIUM — not effective until Jan 2027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11. </w:t>
      </w:r>
      <w:r>
        <w:rPr>
          <w:rFonts w:ascii="Arial" w:hAnsi="Arial"/>
          <w:color w:val="333333"/>
          <w:sz w:val="20"/>
        </w:rPr>
        <w:t>C1/C2: GA Bar Rules 5.1/5.3 — HIGH — Track C, Landon accountability issue — build next after pilot stable</w:t>
      </w:r>
    </w:p>
    <w:p>
      <w:pPr>
        <w:pStyle w:val="ListBullet"/>
        <w:ind w:left="432"/>
      </w:pPr>
      <w:r>
        <w:rPr>
          <w:rFonts w:ascii="Arial" w:hAnsi="Arial"/>
          <w:b/>
          <w:color w:val="333333"/>
          <w:sz w:val="20"/>
        </w:rPr>
        <w:t xml:space="preserve">12. </w:t>
      </w:r>
      <w:r>
        <w:rPr>
          <w:rFonts w:ascii="Arial" w:hAnsi="Arial"/>
          <w:color w:val="333333"/>
          <w:sz w:val="20"/>
        </w:rPr>
        <w:t>C3/C4: Accountability &amp; Delegation — MEDIUM — Track C leadership development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985" w:left="1440" w:header="72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80"/>
      <w:jc w:val="center"/>
      <w:pBdr>
        <w:bottom w:val="single" w:sz="4" w:space="1" w:color="333333"/>
      </w:pBdr>
    </w:pPr>
    <w:r>
      <w:rPr>
        <w:rFonts w:ascii="Century Gothic" w:hAnsi="Century Gothic"/>
        <w:color w:val="333333"/>
        <w:sz w:val="16"/>
      </w:rPr>
      <w:t>G U N N   L A W   G R O U P</w:t>
    </w:r>
  </w:p>
  <w:p>
    <w:pPr>
      <w:spacing w:before="80" w:after="0"/>
      <w:jc w:val="center"/>
    </w:pPr>
    <w:r>
      <w:rPr>
        <w:rFonts w:ascii="Century Gothic" w:hAnsi="Century Gothic"/>
        <w:color w:val="555555"/>
        <w:sz w:val="14"/>
      </w:rPr>
      <w:t>950 E. Paces Ferry Rd, Suite 1550, Atlanta, GA 30326  ·  P: (770) 800-0945  ·  F: (678) 261-1511  ·  hgunn@thegunnlawgroup.com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4572000" cy="63125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0" cy="63125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