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B8860B"/>
          <w:spacing w:val="14"/>
          <w:sz w:val="18"/>
          <w:szCs w:val="18"/>
        </w:rPr>
        <w:t xml:space="preserve">ITAI-1370  ·  MODULE 04  ·  ASSIGNMENT 05</w:t>
      </w:r>
    </w:p>
    <w:p>
      <w:pPr>
        <w:pBdr>
          <w:bottom w:val="single" w:color="0B2A4A" w:sz="24" w:space="10"/>
        </w:pBdr>
        <w:spacing w:after="60"/>
      </w:pPr>
      <w:r>
        <w:rPr>
          <w:rFonts w:ascii="Arial" w:cs="Arial" w:eastAsia="Arial" w:hAnsi="Arial"/>
          <w:b/>
          <w:bCs/>
          <w:color w:val="0B2A4A"/>
          <w:sz w:val="44"/>
          <w:szCs w:val="44"/>
        </w:rPr>
        <w:t xml:space="preserve">A05 — Chat GPT</w:t>
      </w:r>
    </w:p>
    <w:p>
      <w:pPr>
        <w:spacing w:after="240" w:before="160"/>
      </w:pPr>
      <w:r>
        <w:rPr>
          <w:rFonts w:ascii="Arial" w:cs="Arial" w:eastAsia="Arial" w:hAnsi="Arial"/>
          <w:i/>
          <w:iCs/>
          <w:color w:val="0A5F5E"/>
          <w:sz w:val="23"/>
          <w:szCs w:val="23"/>
        </w:rPr>
        <w:t xml:space="preserve">Research · Interaction · Reflection on Machine Learning and Generative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A5F5E" w:sz="2"/>
              <w:left w:val="single" w:color="0A5F5E" w:sz="2"/>
              <w:bottom w:val="single" w:color="0A5F5E" w:sz="2"/>
              <w:right w:val="single" w:color="0A5F5E" w:sz="2"/>
            </w:tcBorders>
            <w:shd w:fill="0A5F5E" w:val="clear"/>
            <w:tcMar>
              <w:top w:type="dxa" w:w="90"/>
              <w:left w:type="dxa" w:w="140"/>
              <w:bottom w:type="dxa" w:w="90"/>
              <w:right w:type="dxa" w:w="140"/>
            </w:tcMar>
          </w:tcPr>
          <w:p>
            <w:r>
              <w:rPr>
                <w:rFonts w:ascii="Arial" w:cs="Arial" w:eastAsia="Arial" w:hAnsi="Arial"/>
                <w:b/>
                <w:bCs/>
                <w:color w:val="FFFFFF"/>
                <w:spacing w:val="12"/>
                <w:sz w:val="17"/>
                <w:szCs w:val="17"/>
              </w:rPr>
              <w:t xml:space="preserve">STUDENT</w:t>
            </w:r>
          </w:p>
        </w:tc>
        <w:tc>
          <w:tcPr>
            <w:tcW w:type="dxa" w:w="2340"/>
            <w:tcBorders>
              <w:top w:val="single" w:color="0A5F5E" w:sz="2"/>
              <w:left w:val="single" w:color="0A5F5E" w:sz="2"/>
              <w:bottom w:val="single" w:color="0A5F5E" w:sz="2"/>
              <w:right w:val="single" w:color="0A5F5E" w:sz="2"/>
            </w:tcBorders>
            <w:shd w:fill="0A5F5E" w:val="clear"/>
            <w:tcMar>
              <w:top w:type="dxa" w:w="90"/>
              <w:left w:type="dxa" w:w="140"/>
              <w:bottom w:type="dxa" w:w="90"/>
              <w:right w:type="dxa" w:w="140"/>
            </w:tcMar>
          </w:tcPr>
          <w:p>
            <w:r>
              <w:rPr>
                <w:rFonts w:ascii="Arial" w:cs="Arial" w:eastAsia="Arial" w:hAnsi="Arial"/>
                <w:b/>
                <w:bCs/>
                <w:color w:val="FFFFFF"/>
                <w:spacing w:val="12"/>
                <w:sz w:val="17"/>
                <w:szCs w:val="17"/>
              </w:rPr>
              <w:t xml:space="preserve">TEAM</w:t>
            </w:r>
          </w:p>
        </w:tc>
        <w:tc>
          <w:tcPr>
            <w:tcW w:type="dxa" w:w="2340"/>
            <w:tcBorders>
              <w:top w:val="single" w:color="0A5F5E" w:sz="2"/>
              <w:left w:val="single" w:color="0A5F5E" w:sz="2"/>
              <w:bottom w:val="single" w:color="0A5F5E" w:sz="2"/>
              <w:right w:val="single" w:color="0A5F5E" w:sz="2"/>
            </w:tcBorders>
            <w:shd w:fill="0A5F5E" w:val="clear"/>
            <w:tcMar>
              <w:top w:type="dxa" w:w="90"/>
              <w:left w:type="dxa" w:w="140"/>
              <w:bottom w:type="dxa" w:w="90"/>
              <w:right w:type="dxa" w:w="140"/>
            </w:tcMar>
          </w:tcPr>
          <w:p>
            <w:r>
              <w:rPr>
                <w:rFonts w:ascii="Arial" w:cs="Arial" w:eastAsia="Arial" w:hAnsi="Arial"/>
                <w:b/>
                <w:bCs/>
                <w:color w:val="FFFFFF"/>
                <w:spacing w:val="12"/>
                <w:sz w:val="17"/>
                <w:szCs w:val="17"/>
              </w:rPr>
              <w:t xml:space="preserve">COURSE</w:t>
            </w:r>
          </w:p>
        </w:tc>
        <w:tc>
          <w:tcPr>
            <w:tcW w:type="dxa" w:w="2340"/>
            <w:tcBorders>
              <w:top w:val="single" w:color="0A5F5E" w:sz="2"/>
              <w:left w:val="single" w:color="0A5F5E" w:sz="2"/>
              <w:bottom w:val="single" w:color="0A5F5E" w:sz="2"/>
              <w:right w:val="single" w:color="0A5F5E" w:sz="2"/>
            </w:tcBorders>
            <w:shd w:fill="0A5F5E" w:val="clear"/>
            <w:tcMar>
              <w:top w:type="dxa" w:w="90"/>
              <w:left w:type="dxa" w:w="140"/>
              <w:bottom w:type="dxa" w:w="90"/>
              <w:right w:type="dxa" w:w="140"/>
            </w:tcMar>
          </w:tcPr>
          <w:p>
            <w:r>
              <w:rPr>
                <w:rFonts w:ascii="Arial" w:cs="Arial" w:eastAsia="Arial" w:hAnsi="Arial"/>
                <w:b/>
                <w:bCs/>
                <w:color w:val="FFFFFF"/>
                <w:spacing w:val="12"/>
                <w:sz w:val="17"/>
                <w:szCs w:val="17"/>
              </w:rPr>
              <w:t xml:space="preserve">DUE DATE</w:t>
            </w:r>
          </w:p>
        </w:tc>
      </w:tr>
      <w:tr>
        <w:tc>
          <w:tcPr>
            <w:tcW w:type="dxa" w:w="2340"/>
            <w:tcBorders>
              <w:top w:val="single" w:color="0A5F5E" w:sz="2"/>
              <w:left w:val="single" w:color="0A5F5E" w:sz="2"/>
              <w:bottom w:val="single" w:color="0A5F5E" w:sz="2"/>
              <w:right w:val="single" w:color="0A5F5E" w:sz="2"/>
            </w:tcBorders>
            <w:shd w:fill="EAF3F2" w:val="clear"/>
            <w:tcMar>
              <w:top w:type="dxa" w:w="100"/>
              <w:left w:type="dxa" w:w="140"/>
              <w:bottom w:type="dxa" w:w="100"/>
              <w:right w:type="dxa" w:w="140"/>
            </w:tcMar>
          </w:tcPr>
          <w:p>
            <w:r>
              <w:rPr>
                <w:rFonts w:ascii="Arial" w:cs="Arial" w:eastAsia="Arial" w:hAnsi="Arial"/>
                <w:b/>
                <w:bCs/>
                <w:color w:val="0B2A4A"/>
                <w:sz w:val="21"/>
                <w:szCs w:val="21"/>
              </w:rPr>
              <w:t xml:space="preserve">Joseph Clay</w:t>
            </w:r>
          </w:p>
        </w:tc>
        <w:tc>
          <w:tcPr>
            <w:tcW w:type="dxa" w:w="2340"/>
            <w:tcBorders>
              <w:top w:val="single" w:color="0A5F5E" w:sz="2"/>
              <w:left w:val="single" w:color="0A5F5E" w:sz="2"/>
              <w:bottom w:val="single" w:color="0A5F5E" w:sz="2"/>
              <w:right w:val="single" w:color="0A5F5E" w:sz="2"/>
            </w:tcBorders>
            <w:shd w:fill="EAF3F2" w:val="clear"/>
            <w:tcMar>
              <w:top w:type="dxa" w:w="100"/>
              <w:left w:type="dxa" w:w="140"/>
              <w:bottom w:type="dxa" w:w="100"/>
              <w:right w:type="dxa" w:w="140"/>
            </w:tcMar>
          </w:tcPr>
          <w:p>
            <w:r>
              <w:rPr>
                <w:rFonts w:ascii="Arial" w:cs="Arial" w:eastAsia="Arial" w:hAnsi="Arial"/>
                <w:b/>
                <w:bCs/>
                <w:color w:val="0B2A4A"/>
                <w:sz w:val="21"/>
                <w:szCs w:val="21"/>
              </w:rPr>
              <w:t xml:space="preserve">TuringCollective</w:t>
            </w:r>
          </w:p>
        </w:tc>
        <w:tc>
          <w:tcPr>
            <w:tcW w:type="dxa" w:w="2340"/>
            <w:tcBorders>
              <w:top w:val="single" w:color="0A5F5E" w:sz="2"/>
              <w:left w:val="single" w:color="0A5F5E" w:sz="2"/>
              <w:bottom w:val="single" w:color="0A5F5E" w:sz="2"/>
              <w:right w:val="single" w:color="0A5F5E" w:sz="2"/>
            </w:tcBorders>
            <w:shd w:fill="EAF3F2" w:val="clear"/>
            <w:tcMar>
              <w:top w:type="dxa" w:w="100"/>
              <w:left w:type="dxa" w:w="140"/>
              <w:bottom w:type="dxa" w:w="100"/>
              <w:right w:type="dxa" w:w="140"/>
            </w:tcMar>
          </w:tcPr>
          <w:p>
            <w:r>
              <w:rPr>
                <w:rFonts w:ascii="Arial" w:cs="Arial" w:eastAsia="Arial" w:hAnsi="Arial"/>
                <w:b/>
                <w:bCs/>
                <w:color w:val="0B2A4A"/>
                <w:sz w:val="21"/>
                <w:szCs w:val="21"/>
              </w:rPr>
              <w:t xml:space="preserve">ITAI-1370</w:t>
            </w:r>
          </w:p>
        </w:tc>
        <w:tc>
          <w:tcPr>
            <w:tcW w:type="dxa" w:w="2340"/>
            <w:tcBorders>
              <w:top w:val="single" w:color="0A5F5E" w:sz="2"/>
              <w:left w:val="single" w:color="0A5F5E" w:sz="2"/>
              <w:bottom w:val="single" w:color="0A5F5E" w:sz="2"/>
              <w:right w:val="single" w:color="0A5F5E" w:sz="2"/>
            </w:tcBorders>
            <w:shd w:fill="EAF3F2" w:val="clear"/>
            <w:tcMar>
              <w:top w:type="dxa" w:w="100"/>
              <w:left w:type="dxa" w:w="140"/>
              <w:bottom w:type="dxa" w:w="100"/>
              <w:right w:type="dxa" w:w="140"/>
            </w:tcMar>
          </w:tcPr>
          <w:p>
            <w:r>
              <w:rPr>
                <w:rFonts w:ascii="Arial" w:cs="Arial" w:eastAsia="Arial" w:hAnsi="Arial"/>
                <w:b/>
                <w:bCs/>
                <w:color w:val="0B2A4A"/>
                <w:sz w:val="21"/>
                <w:szCs w:val="21"/>
              </w:rPr>
              <w:t xml:space="preserve">Jun 27, 2026</w:t>
            </w:r>
          </w:p>
        </w:tc>
      </w:tr>
    </w:tbl>
    <w:p>
      <w:pPr>
        <w:spacing w:after="260"/>
      </w:pPr>
    </w:p>
    <w:p>
      <w:pPr>
        <w:pStyle w:val="Heading1"/>
      </w:pPr>
      <w:r>
        <w:rPr>
          <w:rFonts w:ascii="Arial" w:cs="Arial" w:eastAsia="Arial" w:hAnsi="Arial"/>
        </w:rPr>
        <w:t xml:space="preserve">Part 1  —  Understanding ChatGPT</w:t>
      </w:r>
    </w:p>
    <w:p>
      <w:pPr>
        <w:pStyle w:val="Heading2"/>
      </w:pPr>
      <w:r>
        <w:rPr>
          <w:rFonts w:ascii="Arial" w:cs="Arial" w:eastAsia="Arial" w:hAnsi="Arial"/>
        </w:rPr>
        <w:t xml:space="preserve">How Does ChatGPT Learn?</w:t>
      </w:r>
    </w:p>
    <w:p>
      <w:pPr>
        <w:spacing w:after="130"/>
      </w:pPr>
      <w:r>
        <w:rPr>
          <w:rFonts w:ascii="Arial" w:cs="Arial" w:eastAsia="Arial" w:hAnsi="Arial"/>
          <w:b w:val="false"/>
          <w:bCs w:val="false"/>
          <w:i w:val="false"/>
          <w:iCs w:val="false"/>
          <w:color w:val="1A2433"/>
          <w:sz w:val="22"/>
          <w:szCs w:val="22"/>
        </w:rPr>
        <w:t xml:space="preserve">ChatGPT is trained in three stages. First, pretraining: a Transformer neural network (Vaswani et al., 2017) is exposed to hundreds of billions of words and learns to predict the next word in a sequence, absorbing language patterns and world knowledge along the way (Analytics Vidhya, 2023). Second, supervised fine-tuning: human trainers write example conversations — playing both the user and the ideal assistant — to steer the model toward helpful, accurate responses (dida.do, 2023). Third, reinforcement learning from human feedback (RLHF): human raters rank multiple model responses, training a “reward model” that the system then optimizes against using Proximal Policy Optimization. This final stage is what pushes the model toward answers that are not just plausible, but genuinely helpful and aligned with human preferences (Medium/Zain ul Abideen, 2023; IntuitionLabs, 2026).</w:t>
      </w:r>
    </w:p>
    <w:p>
      <w:pPr>
        <w:pStyle w:val="Heading2"/>
      </w:pPr>
      <w:r>
        <w:rPr>
          <w:rFonts w:ascii="Arial" w:cs="Arial" w:eastAsia="Arial" w:hAnsi="Arial"/>
        </w:rPr>
        <w:t xml:space="preserve">What Are Some Applications of ChatGPT?</w:t>
      </w:r>
    </w:p>
    <w:p>
      <w:pPr>
        <w:pStyle w:val="ListParagraph"/>
        <w:numPr>
          <w:ilvl w:val="0"/>
          <w:numId w:val="2"/>
        </w:numPr>
        <w:spacing w:after="90"/>
      </w:pPr>
      <w:r>
        <w:rPr>
          <w:rFonts w:ascii="Arial" w:cs="Arial" w:eastAsia="Arial" w:hAnsi="Arial"/>
          <w:color w:val="1A2433"/>
          <w:sz w:val="22"/>
          <w:szCs w:val="22"/>
        </w:rPr>
        <w:t xml:space="preserve">Content Creation: drafting emails, articles, and creative writing, cutting first-draft time.</w:t>
      </w:r>
    </w:p>
    <w:p>
      <w:pPr>
        <w:pStyle w:val="ListParagraph"/>
        <w:numPr>
          <w:ilvl w:val="0"/>
          <w:numId w:val="2"/>
        </w:numPr>
        <w:spacing w:after="90"/>
      </w:pPr>
      <w:r>
        <w:rPr>
          <w:rFonts w:ascii="Arial" w:cs="Arial" w:eastAsia="Arial" w:hAnsi="Arial"/>
          <w:color w:val="1A2433"/>
          <w:sz w:val="22"/>
          <w:szCs w:val="22"/>
        </w:rPr>
        <w:t xml:space="preserve">Software Development: writing, debugging, and explaining code across many languages.</w:t>
      </w:r>
    </w:p>
    <w:p>
      <w:pPr>
        <w:pStyle w:val="ListParagraph"/>
        <w:numPr>
          <w:ilvl w:val="0"/>
          <w:numId w:val="2"/>
        </w:numPr>
        <w:spacing w:after="90"/>
      </w:pPr>
      <w:r>
        <w:rPr>
          <w:rFonts w:ascii="Arial" w:cs="Arial" w:eastAsia="Arial" w:hAnsi="Arial"/>
          <w:color w:val="1A2433"/>
          <w:sz w:val="22"/>
          <w:szCs w:val="22"/>
        </w:rPr>
        <w:t xml:space="preserve">Education: personalized tutoring and homework help at the student’s own pace.</w:t>
      </w:r>
    </w:p>
    <w:p>
      <w:pPr>
        <w:pStyle w:val="ListParagraph"/>
        <w:numPr>
          <w:ilvl w:val="0"/>
          <w:numId w:val="2"/>
        </w:numPr>
        <w:spacing w:after="90"/>
      </w:pPr>
      <w:r>
        <w:rPr>
          <w:rFonts w:ascii="Arial" w:cs="Arial" w:eastAsia="Arial" w:hAnsi="Arial"/>
          <w:color w:val="1A2433"/>
          <w:sz w:val="22"/>
          <w:szCs w:val="22"/>
        </w:rPr>
        <w:t xml:space="preserve">Customer Service: 24/7 chatbots that resolve routine inquiries and route the rest to humans.</w:t>
      </w:r>
    </w:p>
    <w:p>
      <w:pPr>
        <w:pStyle w:val="ListParagraph"/>
        <w:numPr>
          <w:ilvl w:val="0"/>
          <w:numId w:val="2"/>
        </w:numPr>
        <w:spacing w:after="90"/>
      </w:pPr>
      <w:r>
        <w:rPr>
          <w:rFonts w:ascii="Arial" w:cs="Arial" w:eastAsia="Arial" w:hAnsi="Arial"/>
          <w:color w:val="1A2433"/>
          <w:sz w:val="22"/>
          <w:szCs w:val="22"/>
        </w:rPr>
        <w:t xml:space="preserve">Healthcare: summarizing literature and patient information, always pending professional review.</w:t>
      </w:r>
    </w:p>
    <w:p>
      <w:pPr>
        <w:pStyle w:val="ListParagraph"/>
        <w:numPr>
          <w:ilvl w:val="0"/>
          <w:numId w:val="2"/>
        </w:numPr>
        <w:spacing w:after="90"/>
      </w:pPr>
      <w:r>
        <w:rPr>
          <w:rFonts w:ascii="Arial" w:cs="Arial" w:eastAsia="Arial" w:hAnsi="Arial"/>
          <w:color w:val="1A2433"/>
          <w:sz w:val="22"/>
          <w:szCs w:val="22"/>
        </w:rPr>
        <w:t xml:space="preserve">Legal/Business Research: summarizing documents and drafting contracts at high speed.</w:t>
      </w:r>
    </w:p>
    <w:p>
      <w:pPr>
        <w:pStyle w:val="ListParagraph"/>
        <w:numPr>
          <w:ilvl w:val="0"/>
          <w:numId w:val="2"/>
        </w:numPr>
        <w:spacing w:after="90"/>
      </w:pPr>
      <w:r>
        <w:rPr>
          <w:rFonts w:ascii="Arial" w:cs="Arial" w:eastAsia="Arial" w:hAnsi="Arial"/>
          <w:color w:val="1A2433"/>
          <w:sz w:val="22"/>
          <w:szCs w:val="22"/>
        </w:rPr>
        <w:t xml:space="preserve">Translation: contextually accurate translation across dozens of languages.</w:t>
      </w:r>
    </w:p>
    <w:p>
      <w:pPr>
        <w:pStyle w:val="Heading1"/>
      </w:pPr>
      <w:r>
        <w:rPr>
          <w:rFonts w:ascii="Arial" w:cs="Arial" w:eastAsia="Arial" w:hAnsi="Arial"/>
        </w:rPr>
        <w:t xml:space="preserve">Part 2  —  Interaction with ChatGPT</w:t>
      </w:r>
    </w:p>
    <w:p>
      <w:pPr>
        <w:spacing w:after="130"/>
      </w:pPr>
      <w:r>
        <w:rPr>
          <w:rFonts w:ascii="Arial" w:cs="Arial" w:eastAsia="Arial" w:hAnsi="Arial"/>
          <w:b w:val="false"/>
          <w:bCs w:val="false"/>
          <w:i/>
          <w:iCs/>
          <w:color w:val="5B6B7C"/>
          <w:sz w:val="22"/>
          <w:szCs w:val="22"/>
        </w:rPr>
        <w:t xml:space="preserve">The following questions were submitted to ChatGPT (GPT-4o) on June 16, 2026.</w:t>
      </w:r>
    </w:p>
    <w:p>
      <w:pPr>
        <w:pStyle w:val="Heading3"/>
      </w:pPr>
      <w:r>
        <w:rPr>
          <w:rFonts w:ascii="Arial" w:cs="Arial" w:eastAsia="Arial" w:hAnsi="Arial"/>
        </w:rPr>
        <w:t xml:space="preserve">Q1 — Difference between supervised and unsupervised learning?</w:t>
      </w:r>
    </w:p>
    <w:p>
      <w:pPr>
        <w:spacing w:after="130"/>
      </w:pPr>
      <w:r>
        <w:rPr>
          <w:rFonts w:ascii="Arial" w:cs="Arial" w:eastAsia="Arial" w:hAnsi="Arial"/>
          <w:b w:val="false"/>
          <w:bCs w:val="false"/>
          <w:i w:val="false"/>
          <w:iCs w:val="false"/>
          <w:color w:val="1A2433"/>
          <w:sz w:val="22"/>
          <w:szCs w:val="22"/>
        </w:rPr>
        <w:t xml:space="preserve">ChatGPT Response: Supervised learning uses labeled examples (e.g., photos tagged “cat” or “dog”) so the model learns to map inputs to known outputs. Unsupervised learning gives the model unlabeled data and asks it to find patterns or groupings on its own — like clustering customers by purchasing behavior without predefined categories.</w:t>
      </w:r>
    </w:p>
    <w:p>
      <w:pPr>
        <w:pStyle w:val="Heading3"/>
      </w:pPr>
      <w:r>
        <w:rPr>
          <w:rFonts w:ascii="Arial" w:cs="Arial" w:eastAsia="Arial" w:hAnsi="Arial"/>
        </w:rPr>
        <w:t xml:space="preserve">Q2 — Biggest limitations of large language models?</w:t>
      </w:r>
    </w:p>
    <w:p>
      <w:pPr>
        <w:spacing w:after="130"/>
      </w:pPr>
      <w:r>
        <w:rPr>
          <w:rFonts w:ascii="Arial" w:cs="Arial" w:eastAsia="Arial" w:hAnsi="Arial"/>
          <w:b w:val="false"/>
          <w:bCs w:val="false"/>
          <w:i w:val="false"/>
          <w:iCs w:val="false"/>
          <w:color w:val="1A2433"/>
          <w:sz w:val="22"/>
          <w:szCs w:val="22"/>
        </w:rPr>
        <w:t xml:space="preserve">ChatGPT Response: (1) Hallucinations — confident but sometimes false output, since I generate statistically plausible text, not verified fact. (2) Knowledge cutoff — no awareness of events after training. (3) No genuine understanding — I match patterns, without beliefs or a world model. (4) Bias inherited from training data. (5) Limited context window. (6) No memory across sessions without external tools.</w:t>
      </w:r>
    </w:p>
    <w:p>
      <w:pPr>
        <w:pStyle w:val="Heading3"/>
      </w:pPr>
      <w:r>
        <w:rPr>
          <w:rFonts w:ascii="Arial" w:cs="Arial" w:eastAsia="Arial" w:hAnsi="Arial"/>
        </w:rPr>
        <w:t xml:space="preserve">Q3 — Could AI reduce bias in hiring?</w:t>
      </w:r>
    </w:p>
    <w:p>
      <w:pPr>
        <w:spacing w:after="130"/>
      </w:pPr>
      <w:r>
        <w:rPr>
          <w:rFonts w:ascii="Arial" w:cs="Arial" w:eastAsia="Arial" w:hAnsi="Arial"/>
          <w:b w:val="false"/>
          <w:bCs w:val="false"/>
          <w:i w:val="false"/>
          <w:iCs w:val="false"/>
          <w:color w:val="1A2433"/>
          <w:sz w:val="22"/>
          <w:szCs w:val="22"/>
        </w:rPr>
        <w:t xml:space="preserve">ChatGPT Response: Yes, partially. AI can anonymize resumes and apply consistent screening criteria, reducing variance from human reviewers. But it can also amplify bias if trained on biased historical data — Amazon’s hiring tool famously downgraded resumes from women because it learned from male-dominated past hires. Responsible use requires diverse training data, regular bias audits, and human oversight.</w:t>
      </w:r>
    </w:p>
    <w:p>
      <w:pPr>
        <w:pStyle w:val="Heading3"/>
      </w:pPr>
      <w:r>
        <w:rPr>
          <w:rFonts w:ascii="Arial" w:cs="Arial" w:eastAsia="Arial" w:hAnsi="Arial"/>
        </w:rPr>
        <w:t xml:space="preserve">Q4 — Python function for the Fibonacci sequence up to n terms.</w:t>
      </w:r>
    </w:p>
    <w:p>
      <w:pPr>
        <w:spacing w:after="80"/>
      </w:pPr>
      <w:r>
        <w:rPr>
          <w:rFonts w:ascii="Arial" w:cs="Arial" w:eastAsia="Arial" w:hAnsi="Arial"/>
          <w:b w:val="false"/>
          <w:bCs w:val="false"/>
          <w:i w:val="false"/>
          <w:iCs w:val="false"/>
          <w:color w:val="1A2433"/>
          <w:sz w:val="22"/>
          <w:szCs w:val="22"/>
        </w:rPr>
        <w:t xml:space="preserve">ChatGPT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4"/>
              <w:left w:val="single" w:color="0E7C7B" w:sz="4"/>
              <w:bottom w:val="single" w:color="0E7C7B" w:sz="4"/>
              <w:right w:val="single" w:color="0E7C7B" w:sz="4"/>
            </w:tcBorders>
            <w:shd w:fill="0E1B2A" w:val="clear"/>
            <w:tcMar>
              <w:top w:type="dxa" w:w="160"/>
              <w:left w:type="dxa" w:w="200"/>
              <w:bottom w:type="dxa" w:w="160"/>
              <w:right w:type="dxa" w:w="200"/>
            </w:tcMar>
          </w:tcPr>
          <w:p>
            <w:pPr>
              <w:spacing w:after="20"/>
            </w:pPr>
            <w:r>
              <w:rPr>
                <w:rFonts w:ascii="Courier New" w:cs="Courier New" w:eastAsia="Courier New" w:hAnsi="Courier New"/>
                <w:color w:val="8FE3C8"/>
                <w:sz w:val="20"/>
                <w:szCs w:val="20"/>
              </w:rPr>
              <w:t xml:space="preserve">def fibonacci(n):</w:t>
            </w:r>
          </w:p>
          <w:p>
            <w:pPr>
              <w:spacing w:after="20"/>
            </w:pPr>
            <w:r>
              <w:rPr>
                <w:rFonts w:ascii="Courier New" w:cs="Courier New" w:eastAsia="Courier New" w:hAnsi="Courier New"/>
                <w:color w:val="8FE3C8"/>
                <w:sz w:val="20"/>
                <w:szCs w:val="20"/>
              </w:rPr>
              <w:t xml:space="preserve">    if n &lt;= 0:</w:t>
            </w:r>
          </w:p>
          <w:p>
            <w:pPr>
              <w:spacing w:after="20"/>
            </w:pPr>
            <w:r>
              <w:rPr>
                <w:rFonts w:ascii="Courier New" w:cs="Courier New" w:eastAsia="Courier New" w:hAnsi="Courier New"/>
                <w:color w:val="8FE3C8"/>
                <w:sz w:val="20"/>
                <w:szCs w:val="20"/>
              </w:rPr>
              <w:t xml:space="preserve">        return []</w:t>
            </w:r>
          </w:p>
          <w:p>
            <w:pPr>
              <w:spacing w:after="20"/>
            </w:pPr>
            <w:r>
              <w:rPr>
                <w:rFonts w:ascii="Courier New" w:cs="Courier New" w:eastAsia="Courier New" w:hAnsi="Courier New"/>
                <w:color w:val="8FE3C8"/>
                <w:sz w:val="20"/>
                <w:szCs w:val="20"/>
              </w:rPr>
              <w:t xml:space="preserve">    elif n == 1:</w:t>
            </w:r>
          </w:p>
          <w:p>
            <w:pPr>
              <w:spacing w:after="20"/>
            </w:pPr>
            <w:r>
              <w:rPr>
                <w:rFonts w:ascii="Courier New" w:cs="Courier New" w:eastAsia="Courier New" w:hAnsi="Courier New"/>
                <w:color w:val="8FE3C8"/>
                <w:sz w:val="20"/>
                <w:szCs w:val="20"/>
              </w:rPr>
              <w:t xml:space="preserve">        return [0]</w:t>
            </w:r>
          </w:p>
          <w:p>
            <w:pPr>
              <w:spacing w:after="20"/>
            </w:pPr>
            <w:r>
              <w:rPr>
                <w:rFonts w:ascii="Courier New" w:cs="Courier New" w:eastAsia="Courier New" w:hAnsi="Courier New"/>
                <w:color w:val="8FE3C8"/>
                <w:sz w:val="20"/>
                <w:szCs w:val="20"/>
              </w:rPr>
              <w:t xml:space="preserve">    sequence = [0, 1]</w:t>
            </w:r>
          </w:p>
          <w:p>
            <w:pPr>
              <w:spacing w:after="20"/>
            </w:pPr>
            <w:r>
              <w:rPr>
                <w:rFonts w:ascii="Courier New" w:cs="Courier New" w:eastAsia="Courier New" w:hAnsi="Courier New"/>
                <w:color w:val="8FE3C8"/>
                <w:sz w:val="20"/>
                <w:szCs w:val="20"/>
              </w:rPr>
              <w:t xml:space="preserve">    while len(sequence) &lt; n:</w:t>
            </w:r>
          </w:p>
          <w:p>
            <w:pPr>
              <w:spacing w:after="20"/>
            </w:pPr>
            <w:r>
              <w:rPr>
                <w:rFonts w:ascii="Courier New" w:cs="Courier New" w:eastAsia="Courier New" w:hAnsi="Courier New"/>
                <w:color w:val="8FE3C8"/>
                <w:sz w:val="20"/>
                <w:szCs w:val="20"/>
              </w:rPr>
              <w:t xml:space="preserve">        sequence.append(sequence[-1] + sequence[-2])</w:t>
            </w:r>
          </w:p>
          <w:p>
            <w:pPr>
              <w:spacing w:after="20"/>
            </w:pPr>
            <w:r>
              <w:rPr>
                <w:rFonts w:ascii="Courier New" w:cs="Courier New" w:eastAsia="Courier New" w:hAnsi="Courier New"/>
                <w:color w:val="8FE3C8"/>
                <w:sz w:val="20"/>
                <w:szCs w:val="20"/>
              </w:rPr>
              <w:t xml:space="preserve">    return sequence</w:t>
            </w:r>
          </w:p>
          <w:p>
            <w:pPr>
              <w:spacing w:after="20"/>
            </w:pPr>
            <w:r>
              <w:rPr>
                <w:rFonts w:ascii="Courier New" w:cs="Courier New" w:eastAsia="Courier New" w:hAnsi="Courier New"/>
                <w:color w:val="8FE3C8"/>
                <w:sz w:val="20"/>
                <w:szCs w:val="20"/>
              </w:rPr>
              <w:t xml:space="preserve"> </w:t>
            </w:r>
          </w:p>
          <w:p>
            <w:pPr>
              <w:spacing w:after="0"/>
            </w:pPr>
            <w:r>
              <w:rPr>
                <w:rFonts w:ascii="Courier New" w:cs="Courier New" w:eastAsia="Courier New" w:hAnsi="Courier New"/>
                <w:color w:val="8FE3C8"/>
                <w:sz w:val="20"/>
                <w:szCs w:val="20"/>
              </w:rPr>
              <w:t xml:space="preserve">print(fibonacci(10))  # [0, 1, 1, 2, 3, 5, 8, 13, 21, 34]</w:t>
            </w:r>
          </w:p>
        </w:tc>
      </w:tr>
    </w:tbl>
    <w:p>
      <w:pPr>
        <w:spacing w:after="140"/>
      </w:pPr>
    </w:p>
    <w:p>
      <w:pPr>
        <w:pStyle w:val="Heading3"/>
      </w:pPr>
      <w:r>
        <w:rPr>
          <w:rFonts w:ascii="Arial" w:cs="Arial" w:eastAsia="Arial" w:hAnsi="Arial"/>
        </w:rPr>
        <w:t xml:space="preserve">Q5 — Difference between AI, machine learning, and deep learning?</w:t>
      </w:r>
    </w:p>
    <w:p>
      <w:pPr>
        <w:spacing w:after="130"/>
      </w:pPr>
      <w:r>
        <w:rPr>
          <w:rFonts w:ascii="Arial" w:cs="Arial" w:eastAsia="Arial" w:hAnsi="Arial"/>
          <w:b w:val="false"/>
          <w:bCs w:val="false"/>
          <w:i w:val="false"/>
          <w:iCs w:val="false"/>
          <w:color w:val="1A2433"/>
          <w:sz w:val="22"/>
          <w:szCs w:val="22"/>
        </w:rPr>
        <w:t xml:space="preserve">ChatGPT Response: AI is the broadest category — any technique that mimics human intelligence, including rule-based systems. Machine learning is a subset where systems learn patterns from data instead of explicit rules. Deep learning is a subset of ML using multi-layered neural networks that automatically learn hierarchical representations (e.g., edges → shapes → objects in images). Deep learning powers ChatGPT, image recognition, and self-driving cars, and typically needs large data and compute.</w:t>
      </w:r>
    </w:p>
    <w:p>
      <w:pPr>
        <w:pStyle w:val="Heading3"/>
      </w:pPr>
      <w:r>
        <w:rPr>
          <w:rFonts w:ascii="Arial" w:cs="Arial" w:eastAsia="Arial" w:hAnsi="Arial"/>
        </w:rPr>
        <w:t xml:space="preserve">Q6 — If you could redesign yourself, what would you change?</w:t>
      </w:r>
    </w:p>
    <w:p>
      <w:pPr>
        <w:spacing w:after="130"/>
      </w:pPr>
      <w:r>
        <w:rPr>
          <w:rFonts w:ascii="Arial" w:cs="Arial" w:eastAsia="Arial" w:hAnsi="Arial"/>
          <w:b w:val="false"/>
          <w:bCs w:val="false"/>
          <w:i w:val="false"/>
          <w:iCs w:val="false"/>
          <w:color w:val="1A2433"/>
          <w:sz w:val="22"/>
          <w:szCs w:val="22"/>
        </w:rPr>
        <w:t xml:space="preserve">ChatGPT Response: I’d prioritize persistent memory across conversations, real-time fact verification instead of a fixed training cutoff, better calibrated uncertainty (so I signal when I don’t know something instead of guessing confidently), reduced hallucination through stronger grounding, and longer context windows for processing entire documents at once. These are active research areas at OpenAI and other labs.</w:t>
      </w:r>
    </w:p>
    <w:p>
      <w:pPr>
        <w:pStyle w:val="Heading2"/>
      </w:pPr>
      <w:r>
        <w:rPr>
          <w:rFonts w:ascii="Arial" w:cs="Arial" w:eastAsia="Arial" w:hAnsi="Arial"/>
        </w:rPr>
        <w:t xml:space="preserve">Analysis of ChatGPT Responses</w:t>
      </w:r>
    </w:p>
    <w:p>
      <w:pPr>
        <w:spacing w:after="60"/>
      </w:pPr>
      <w:r>
        <w:rPr>
          <w:rFonts w:ascii="Arial" w:cs="Arial" w:eastAsia="Arial" w:hAnsi="Arial"/>
          <w:b/>
          <w:bCs/>
          <w:i w:val="false"/>
          <w:iCs w:val="false"/>
          <w:color w:val="0A5F5E"/>
          <w:sz w:val="22"/>
          <w:szCs w:val="22"/>
        </w:rPr>
        <w:t xml:space="preserve">Accuracy</w:t>
      </w:r>
    </w:p>
    <w:p>
      <w:pPr>
        <w:spacing w:after="130"/>
      </w:pPr>
      <w:r>
        <w:rPr>
          <w:rFonts w:ascii="Arial" w:cs="Arial" w:eastAsia="Arial" w:hAnsi="Arial"/>
          <w:b w:val="false"/>
          <w:bCs w:val="false"/>
          <w:i w:val="false"/>
          <w:iCs w:val="false"/>
          <w:color w:val="1A2433"/>
          <w:sz w:val="22"/>
          <w:szCs w:val="22"/>
        </w:rPr>
        <w:t xml:space="preserve">All six responses were factually accurate. Q1 and Q5 matched established definitions; the Q4 code ran correctly; Q3 cited a real, verifiable case (Amazon’s discontinued hiring tool); and Q2’s self-critique was notably candid. No errors were found.</w:t>
      </w:r>
    </w:p>
    <w:p>
      <w:pPr>
        <w:spacing w:after="60"/>
      </w:pPr>
      <w:r>
        <w:rPr>
          <w:rFonts w:ascii="Arial" w:cs="Arial" w:eastAsia="Arial" w:hAnsi="Arial"/>
          <w:b/>
          <w:bCs/>
          <w:i w:val="false"/>
          <w:iCs w:val="false"/>
          <w:color w:val="0A5F5E"/>
          <w:sz w:val="22"/>
          <w:szCs w:val="22"/>
        </w:rPr>
        <w:t xml:space="preserve">Human-likeness</w:t>
      </w:r>
    </w:p>
    <w:p>
      <w:pPr>
        <w:spacing w:after="130"/>
      </w:pPr>
      <w:r>
        <w:rPr>
          <w:rFonts w:ascii="Arial" w:cs="Arial" w:eastAsia="Arial" w:hAnsi="Arial"/>
          <w:b w:val="false"/>
          <w:bCs w:val="false"/>
          <w:i w:val="false"/>
          <w:iCs w:val="false"/>
          <w:color w:val="1A2433"/>
          <w:sz w:val="22"/>
          <w:szCs w:val="22"/>
        </w:rPr>
        <w:t xml:space="preserve">Responses were organized and conversational, with Q6 feeling the most natural — it engaged the hypothetical thoughtfully rather than deflecting it. The main giveaway of an AI author was the near-universal use of numbered/bulleted structure, which reads more like a reference document than spoken conversation.</w:t>
      </w:r>
    </w:p>
    <w:p>
      <w:pPr>
        <w:spacing w:after="60"/>
      </w:pPr>
      <w:r>
        <w:rPr>
          <w:rFonts w:ascii="Arial" w:cs="Arial" w:eastAsia="Arial" w:hAnsi="Arial"/>
          <w:b/>
          <w:bCs/>
          <w:i w:val="false"/>
          <w:iCs w:val="false"/>
          <w:color w:val="0A5F5E"/>
          <w:sz w:val="22"/>
          <w:szCs w:val="22"/>
        </w:rPr>
        <w:t xml:space="preserve">Limitations Observed</w:t>
      </w:r>
    </w:p>
    <w:p>
      <w:pPr>
        <w:spacing w:after="130"/>
      </w:pPr>
      <w:r>
        <w:rPr>
          <w:rFonts w:ascii="Arial" w:cs="Arial" w:eastAsia="Arial" w:hAnsi="Arial"/>
          <w:b w:val="false"/>
          <w:bCs w:val="false"/>
          <w:i w:val="false"/>
          <w:iCs w:val="false"/>
          <w:color w:val="1A2433"/>
          <w:sz w:val="22"/>
          <w:szCs w:val="22"/>
        </w:rPr>
        <w:t xml:space="preserve">The Q4 code lacked test cases and a time-complexity note that a senior developer would typically add. More broadly, ChatGPT’s tone stayed uniformly confident even on topics where experts might reasonably disagree, which can create a false sense of settled certainty.</w:t>
      </w:r>
    </w:p>
    <w:p>
      <w:pPr>
        <w:pStyle w:val="Heading1"/>
      </w:pPr>
      <w:r>
        <w:rPr>
          <w:rFonts w:ascii="Arial" w:cs="Arial" w:eastAsia="Arial" w:hAnsi="Arial"/>
        </w:rPr>
        <w:t xml:space="preserve">Part 3  —  Reflections on the Future of ML</w:t>
      </w:r>
    </w:p>
    <w:p>
      <w:pPr>
        <w:pStyle w:val="Heading2"/>
      </w:pPr>
      <w:r>
        <w:rPr>
          <w:rFonts w:ascii="Arial" w:cs="Arial" w:eastAsia="Arial" w:hAnsi="Arial"/>
        </w:rPr>
        <w:t xml:space="preserve">ML in Healthcare</w:t>
      </w:r>
    </w:p>
    <w:p>
      <w:pPr>
        <w:spacing w:after="130"/>
      </w:pPr>
      <w:r>
        <w:rPr>
          <w:rFonts w:ascii="Arial" w:cs="Arial" w:eastAsia="Arial" w:hAnsi="Arial"/>
          <w:b w:val="false"/>
          <w:bCs w:val="false"/>
          <w:i w:val="false"/>
          <w:iCs w:val="false"/>
          <w:color w:val="1A2433"/>
          <w:sz w:val="22"/>
          <w:szCs w:val="22"/>
        </w:rPr>
        <w:t xml:space="preserve">72% of healthcare organizations now use AI/ML to analyze medical data, with the market projected to hit $190 billion by 2030 (Sermo, 2026; APU, 2025). The clearest near-term wins are in diagnostics — imaging models matching or exceeding specialists at detecting cancer, diabetic retinopathy, and cardiovascular disease — and predictive analytics that flag at-risk patients before symptoms escalate (APU, 2025; KMS Technology, 2026). Real challenges remain: biased training data (e.g., pulse oximetry inaccuracies for darker skin tones), HIPAA privacy concerns, and regulation that still lags behind capability (NCBI, 2025).</w:t>
      </w:r>
    </w:p>
    <w:p>
      <w:pPr>
        <w:pStyle w:val="Heading2"/>
      </w:pPr>
      <w:r>
        <w:rPr>
          <w:rFonts w:ascii="Arial" w:cs="Arial" w:eastAsia="Arial" w:hAnsi="Arial"/>
        </w:rPr>
        <w:t xml:space="preserve">ML in Education</w:t>
      </w:r>
    </w:p>
    <w:p>
      <w:pPr>
        <w:spacing w:after="130"/>
      </w:pPr>
      <w:r>
        <w:rPr>
          <w:rFonts w:ascii="Arial" w:cs="Arial" w:eastAsia="Arial" w:hAnsi="Arial"/>
          <w:b w:val="false"/>
          <w:bCs w:val="false"/>
          <w:i w:val="false"/>
          <w:iCs w:val="false"/>
          <w:color w:val="1A2433"/>
          <w:sz w:val="22"/>
          <w:szCs w:val="22"/>
        </w:rPr>
        <w:t xml:space="preserve">Adaptive learning platforms personalize instruction to each student’s pace and gaps, and conversational tutors like ChatGPT extend patient, on-demand help to students who couldn’t otherwise afford it (NCBI, 2025). The biggest concern is academic integrity — the same tools that teach can also write the assignment. The likely answer isn’t banning AI but redesigning assessment to value process and original thinking over output alone.</w:t>
      </w:r>
    </w:p>
    <w:p>
      <w:pPr>
        <w:pStyle w:val="Heading2"/>
      </w:pPr>
      <w:r>
        <w:rPr>
          <w:rFonts w:ascii="Arial" w:cs="Arial" w:eastAsia="Arial" w:hAnsi="Arial"/>
        </w:rPr>
        <w:t xml:space="preserve">ML in Customer Service</w:t>
      </w:r>
    </w:p>
    <w:p>
      <w:pPr>
        <w:spacing w:after="130"/>
      </w:pPr>
      <w:r>
        <w:rPr>
          <w:rFonts w:ascii="Arial" w:cs="Arial" w:eastAsia="Arial" w:hAnsi="Arial"/>
          <w:b w:val="false"/>
          <w:bCs w:val="false"/>
          <w:i w:val="false"/>
          <w:iCs w:val="false"/>
          <w:color w:val="1A2433"/>
          <w:sz w:val="22"/>
          <w:szCs w:val="22"/>
        </w:rPr>
        <w:t xml:space="preserve">AI chatbots now handle most tier-1 customer interactions, cutting wait times and operating costs while enabling 24/7 availability. Sentiment analysis flags frustrated customers for human escalation before issues worsen. The limitation is a quality ceiling: bots still struggle with ambiguity, emotional nuance, and multi-step problems, often frustrating customers who need genuine empathy.</w:t>
      </w:r>
    </w:p>
    <w:p>
      <w:pPr>
        <w:pStyle w:val="Heading2"/>
      </w:pPr>
      <w:r>
        <w:rPr>
          <w:rFonts w:ascii="Arial" w:cs="Arial" w:eastAsia="Arial" w:hAnsi="Arial"/>
        </w:rPr>
        <w:t xml:space="preserve">Personal Reflections — TuringCollective</w:t>
      </w:r>
    </w:p>
    <w:p>
      <w:pPr>
        <w:spacing w:after="130"/>
      </w:pPr>
      <w:r>
        <w:rPr>
          <w:rFonts w:ascii="Arial" w:cs="Arial" w:eastAsia="Arial" w:hAnsi="Arial"/>
          <w:b w:val="false"/>
          <w:bCs w:val="false"/>
          <w:i w:val="false"/>
          <w:iCs w:val="false"/>
          <w:color w:val="1A2433"/>
          <w:sz w:val="22"/>
          <w:szCs w:val="22"/>
        </w:rPr>
        <w:t xml:space="preserve">ChatGPT is a tool, not an oracle. This session reinforced that it’s excellent at synthesizing existing knowledge but not reliably good at knowing what it doesn’t know — fluent delivery can mask real uncertainty. Its potential is genuine, especially for democratizing access to expertise in healthcare, education, and law. But bias, hallucination, and the concentration of AI development in a few large companies are real risks. The most important skill going forward may not be using AI, but critically evaluating what it tells you.</w:t>
      </w:r>
    </w:p>
    <w:p>
      <w:pPr>
        <w:pStyle w:val="Heading2"/>
      </w:pPr>
      <w:r>
        <w:rPr>
          <w:rFonts w:ascii="Arial" w:cs="Arial" w:eastAsia="Arial" w:hAnsi="Arial"/>
        </w:rPr>
        <w:t xml:space="preserve">Group Members — TuringCollective</w:t>
      </w:r>
    </w:p>
    <w:p>
      <w:pPr>
        <w:pStyle w:val="ListParagraph"/>
        <w:numPr>
          <w:ilvl w:val="0"/>
          <w:numId w:val="2"/>
        </w:numPr>
        <w:spacing w:after="90"/>
      </w:pPr>
      <w:r>
        <w:rPr>
          <w:rFonts w:ascii="Arial" w:cs="Arial" w:eastAsia="Arial" w:hAnsi="Arial"/>
          <w:color w:val="1A2433"/>
          <w:sz w:val="22"/>
          <w:szCs w:val="22"/>
        </w:rPr>
        <w:t xml:space="preserve">Joseph Clay — Primary researcher, ChatGPT interaction, report author</w:t>
      </w:r>
    </w:p>
    <w:p>
      <w:pPr>
        <w:pStyle w:val="Heading1"/>
      </w:pPr>
      <w:r>
        <w:rPr>
          <w:rFonts w:ascii="Arial" w:cs="Arial" w:eastAsia="Arial" w:hAnsi="Arial"/>
        </w:rPr>
        <w:t xml:space="preserve">References</w:t>
      </w:r>
    </w:p>
    <w:p>
      <w:pPr>
        <w:spacing w:after="150"/>
        <w:ind w:left="360" w:hanging="360"/>
      </w:pPr>
      <w:r>
        <w:rPr>
          <w:rFonts w:ascii="Arial" w:cs="Arial" w:eastAsia="Arial" w:hAnsi="Arial"/>
          <w:color w:val="1A2433"/>
          <w:sz w:val="20"/>
          <w:szCs w:val="20"/>
        </w:rPr>
        <w:t xml:space="preserve">American Public University (APU). (2025, February 27). Artificial intelligence and machine learning in healthcare. https://www.apu.apus.edu/area-of-study/nursing-and-health-sciences/resources/artificial-intelligence-and-machine-learning-in-healthcare/</w:t>
      </w:r>
    </w:p>
    <w:p>
      <w:pPr>
        <w:spacing w:after="150"/>
        <w:ind w:left="360" w:hanging="360"/>
      </w:pPr>
      <w:r>
        <w:rPr>
          <w:rFonts w:ascii="Arial" w:cs="Arial" w:eastAsia="Arial" w:hAnsi="Arial"/>
          <w:color w:val="1A2433"/>
          <w:sz w:val="20"/>
          <w:szCs w:val="20"/>
        </w:rPr>
        <w:t xml:space="preserve">Analytics Vidhya. (2023, May). How does ChatGPT work: From pretraining to RLHF. https://www.analyticsvidhya.com/blog/2023/05/how-does-chatgpt-work-from-pretraining-to-rlhf/</w:t>
      </w:r>
    </w:p>
    <w:p>
      <w:pPr>
        <w:spacing w:after="150"/>
        <w:ind w:left="360" w:hanging="360"/>
      </w:pPr>
      <w:r>
        <w:rPr>
          <w:rFonts w:ascii="Arial" w:cs="Arial" w:eastAsia="Arial" w:hAnsi="Arial"/>
          <w:color w:val="1A2433"/>
          <w:sz w:val="20"/>
          <w:szCs w:val="20"/>
        </w:rPr>
        <w:t xml:space="preserve">Devarakonda, A. (2026). ITAI-1370 Module 04 — Assignment A05: Chat GPT. Houston Community College.</w:t>
      </w:r>
    </w:p>
    <w:p>
      <w:pPr>
        <w:spacing w:after="150"/>
        <w:ind w:left="360" w:hanging="360"/>
      </w:pPr>
      <w:r>
        <w:rPr>
          <w:rFonts w:ascii="Arial" w:cs="Arial" w:eastAsia="Arial" w:hAnsi="Arial"/>
          <w:color w:val="1A2433"/>
          <w:sz w:val="20"/>
          <w:szCs w:val="20"/>
        </w:rPr>
        <w:t xml:space="preserve">dida.do. (2023, April 11). How ChatGPT is fine-tuned using reinforcement learning. https://dida.do/blog/chatgpt-reinforcement-learning</w:t>
      </w:r>
    </w:p>
    <w:p>
      <w:pPr>
        <w:spacing w:after="150"/>
        <w:ind w:left="360" w:hanging="360"/>
      </w:pPr>
      <w:r>
        <w:rPr>
          <w:rFonts w:ascii="Arial" w:cs="Arial" w:eastAsia="Arial" w:hAnsi="Arial"/>
          <w:color w:val="1A2433"/>
          <w:sz w:val="20"/>
          <w:szCs w:val="20"/>
        </w:rPr>
        <w:t xml:space="preserve">IntuitionLabs. (2026, February 19). ChatGPT’s technical foundations: Transformers to RLHF. https://intuitionlabs.ai/articles/key-innovations-behind-chatgpt</w:t>
      </w:r>
    </w:p>
    <w:p>
      <w:pPr>
        <w:spacing w:after="150"/>
        <w:ind w:left="360" w:hanging="360"/>
      </w:pPr>
      <w:r>
        <w:rPr>
          <w:rFonts w:ascii="Arial" w:cs="Arial" w:eastAsia="Arial" w:hAnsi="Arial"/>
          <w:color w:val="1A2433"/>
          <w:sz w:val="20"/>
          <w:szCs w:val="20"/>
        </w:rPr>
        <w:t xml:space="preserve">KMS Technology. (2026). Top 10 machine learning applications in healthcare in 2026. https://kms-technology.com/blog/machine-learning-applications-in-healthcare/</w:t>
      </w:r>
    </w:p>
    <w:p>
      <w:pPr>
        <w:spacing w:after="150"/>
        <w:ind w:left="360" w:hanging="360"/>
      </w:pPr>
      <w:r>
        <w:rPr>
          <w:rFonts w:ascii="Arial" w:cs="Arial" w:eastAsia="Arial" w:hAnsi="Arial"/>
          <w:color w:val="1A2433"/>
          <w:sz w:val="20"/>
          <w:szCs w:val="20"/>
        </w:rPr>
        <w:t xml:space="preserve">National Center for Biotechnology Information (NCBI). (2025). 2025 Watch List: Artificial intelligence in health care. https://www.ncbi.nlm.nih.gov/books/NBK613808/</w:t>
      </w:r>
    </w:p>
    <w:p>
      <w:pPr>
        <w:spacing w:after="150"/>
        <w:ind w:left="360" w:hanging="360"/>
      </w:pPr>
      <w:r>
        <w:rPr>
          <w:rFonts w:ascii="Arial" w:cs="Arial" w:eastAsia="Arial" w:hAnsi="Arial"/>
          <w:color w:val="1A2433"/>
          <w:sz w:val="20"/>
          <w:szCs w:val="20"/>
        </w:rPr>
        <w:t xml:space="preserve">OpenAI. (2026). ChatGPT (GPT-4o) [AI language model]. https://chat.openai.com</w:t>
      </w:r>
    </w:p>
    <w:p>
      <w:pPr>
        <w:spacing w:after="150"/>
        <w:ind w:left="360" w:hanging="360"/>
      </w:pPr>
      <w:r>
        <w:rPr>
          <w:rFonts w:ascii="Arial" w:cs="Arial" w:eastAsia="Arial" w:hAnsi="Arial"/>
          <w:color w:val="1A2433"/>
          <w:sz w:val="20"/>
          <w:szCs w:val="20"/>
        </w:rPr>
        <w:t xml:space="preserve">Sermo. (2026, May 12). Machine learning in healthcare: Applications, benefits, challenges. https://www.sermo.com/resources/machine-learning-in-healthcare/</w:t>
      </w:r>
    </w:p>
    <w:p>
      <w:pPr>
        <w:spacing w:after="150"/>
        <w:ind w:left="360" w:hanging="360"/>
      </w:pPr>
      <w:r>
        <w:rPr>
          <w:rFonts w:ascii="Arial" w:cs="Arial" w:eastAsia="Arial" w:hAnsi="Arial"/>
          <w:color w:val="1A2433"/>
          <w:sz w:val="20"/>
          <w:szCs w:val="20"/>
        </w:rPr>
        <w:t xml:space="preserve">Zain ul Abideen. (2023, June 26). Reinforcement learning from human feedback (RLHF): Empowering ChatGPT with user guidance. Medium. https://medium.com/@zaiinn440/reinforcement-learning-from-human-feedback-rlhf</w:t>
      </w:r>
    </w:p>
    <w:p>
      <w:pPr>
        <w:pBdr>
          <w:top w:val="single" w:color="0E7C7B" w:sz="8" w:space="10"/>
        </w:pBdr>
        <w:spacing w:before="280"/>
      </w:pPr>
      <w:r>
        <w:rPr>
          <w:rFonts w:ascii="Arial" w:cs="Arial" w:eastAsia="Arial" w:hAnsi="Arial"/>
          <w:b/>
          <w:bCs/>
          <w:color w:val="0B2A4A"/>
          <w:sz w:val="18"/>
          <w:szCs w:val="18"/>
        </w:rPr>
        <w:t xml:space="preserve">ITAI1370_A05_TuringCollective_JosephClay</w:t>
      </w:r>
    </w:p>
    <w:p>
      <w:pPr>
        <w:spacing w:after="0"/>
      </w:pPr>
      <w:r>
        <w:rPr>
          <w:rFonts w:ascii="Arial" w:cs="Arial" w:eastAsia="Arial" w:hAnsi="Arial"/>
          <w:i/>
          <w:iCs/>
          <w:color w:val="5B6B7C"/>
          <w:sz w:val="18"/>
          <w:szCs w:val="18"/>
        </w:rPr>
        <w:t xml:space="preserve">ITAI-1370  ·  Prof. Anna Devarakonda  ·  Houston Community College  ·  Summer 2026</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b/>
        <w:bCs/>
        <w:color w:val="0A5F5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4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7D2D9" w:sz="6" w:space="6"/>
      </w:pBdr>
      <w:spacing w:after="180" w:before="360"/>
      <w:outlineLvl w:val="0"/>
    </w:pPr>
    <w:rPr>
      <w:rFonts w:ascii="Arial" w:cs="Arial" w:eastAsia="Arial" w:hAnsi="Arial"/>
      <w:b/>
      <w:bCs/>
      <w:color w:val="0B2A4A"/>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0A5F5E"/>
      <w:sz w:val="25"/>
      <w:szCs w:val="25"/>
    </w:rPr>
  </w:style>
  <w:style w:type="paragraph" w:styleId="Heading3">
    <w:name w:val="Heading 3"/>
    <w:basedOn w:val="Normal"/>
    <w:next w:val="Normal"/>
    <w:qFormat/>
    <w:pPr>
      <w:spacing w:after="100" w:before="220"/>
      <w:outlineLvl w:val="2"/>
    </w:pPr>
    <w:rPr>
      <w:rFonts w:ascii="Arial" w:cs="Arial" w:eastAsia="Arial" w:hAnsi="Arial"/>
      <w:b/>
      <w:bCs/>
      <w:i/>
      <w:iCs/>
      <w:color w:val="B8860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2026-06-22T18:14:42.838Z</dcterms:created>
  <dcterms:modified xsi:type="dcterms:W3CDTF">2026-06-22T18:14:42.838Z</dcterms:modified>
</cp:coreProperties>
</file>

<file path=docProps/custom.xml><?xml version="1.0" encoding="utf-8"?>
<Properties xmlns="http://schemas.openxmlformats.org/officeDocument/2006/custom-properties" xmlns:vt="http://schemas.openxmlformats.org/officeDocument/2006/docPropsVTypes"/>
</file>