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1FF004EB" w:rsidR="004316A9" w:rsidRPr="007D486B" w:rsidRDefault="006C7D47" w:rsidP="004316A9">
                  <w:pPr>
                    <w:jc w:val="center"/>
                    <w:rPr>
                      <w:sz w:val="18"/>
                      <w:szCs w:val="18"/>
                    </w:rPr>
                  </w:pPr>
                  <w:r w:rsidRPr="00BB5250">
                    <w:rPr>
                      <w:noProof/>
                      <w:sz w:val="18"/>
                      <w:szCs w:val="18"/>
                      <w:highlight w:val="green"/>
                      <w:lang w:eastAsia="zh-CN"/>
                    </w:rPr>
                    <w:drawing>
                      <wp:inline distT="0" distB="0" distL="0" distR="0" wp14:anchorId="55F967C3" wp14:editId="5C0E8D1D">
                        <wp:extent cx="434567" cy="434567"/>
                        <wp:effectExtent l="0" t="0" r="0" b="0"/>
                        <wp:docPr id="70" name="Graphic 7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5367BAF4" w:rsidR="004316A9" w:rsidRPr="007D486B" w:rsidRDefault="00182372" w:rsidP="004316A9">
                  <w:pPr>
                    <w:jc w:val="center"/>
                    <w:rPr>
                      <w:noProof/>
                      <w:sz w:val="18"/>
                      <w:szCs w:val="18"/>
                    </w:rPr>
                  </w:pPr>
                  <w:r w:rsidRPr="00BB5250">
                    <w:rPr>
                      <w:noProof/>
                      <w:sz w:val="18"/>
                      <w:szCs w:val="18"/>
                      <w:highlight w:val="green"/>
                      <w:lang w:eastAsia="zh-CN"/>
                    </w:rPr>
                    <w:drawing>
                      <wp:inline distT="0" distB="0" distL="0" distR="0" wp14:anchorId="4D7C06E5" wp14:editId="2A215A61">
                        <wp:extent cx="434567" cy="434567"/>
                        <wp:effectExtent l="0" t="0" r="0" b="0"/>
                        <wp:docPr id="55" name="Graphic 5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BD955D5" w:rsidR="004316A9" w:rsidRPr="007D486B" w:rsidRDefault="006C7D47" w:rsidP="004316A9">
                  <w:pPr>
                    <w:rPr>
                      <w:noProof/>
                      <w:sz w:val="18"/>
                      <w:szCs w:val="18"/>
                    </w:rPr>
                  </w:pPr>
                  <w:r w:rsidRPr="00BB5250">
                    <w:rPr>
                      <w:noProof/>
                      <w:sz w:val="18"/>
                      <w:szCs w:val="18"/>
                      <w:highlight w:val="green"/>
                      <w:lang w:eastAsia="zh-CN"/>
                    </w:rPr>
                    <w:drawing>
                      <wp:inline distT="0" distB="0" distL="0" distR="0" wp14:anchorId="1BBEA373" wp14:editId="7B9128CC">
                        <wp:extent cx="434567" cy="434567"/>
                        <wp:effectExtent l="0" t="0" r="0" b="0"/>
                        <wp:docPr id="58" name="Graphic 5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3C3468AA" w:rsidR="00925739" w:rsidRPr="007D486B" w:rsidRDefault="00F13A2B" w:rsidP="004316A9">
                  <w:pPr>
                    <w:rPr>
                      <w:noProof/>
                      <w:sz w:val="18"/>
                      <w:szCs w:val="18"/>
                    </w:rPr>
                  </w:pPr>
                  <w:r w:rsidRPr="00BB5250">
                    <w:rPr>
                      <w:noProof/>
                      <w:sz w:val="18"/>
                      <w:szCs w:val="18"/>
                      <w:highlight w:val="green"/>
                      <w:lang w:eastAsia="zh-CN"/>
                    </w:rPr>
                    <w:drawing>
                      <wp:inline distT="0" distB="0" distL="0" distR="0" wp14:anchorId="41A00E69" wp14:editId="3455A504">
                        <wp:extent cx="434567" cy="434567"/>
                        <wp:effectExtent l="0" t="0" r="0" b="0"/>
                        <wp:docPr id="71" name="Graphic 7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1E02BED9"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4A3B019A"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4F45" w14:textId="77777777" w:rsidR="007967CD" w:rsidRDefault="007967CD">
      <w:r>
        <w:separator/>
      </w:r>
    </w:p>
  </w:endnote>
  <w:endnote w:type="continuationSeparator" w:id="0">
    <w:p w14:paraId="76CDFE69" w14:textId="77777777" w:rsidR="007967CD" w:rsidRDefault="0079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CAFF0" w14:textId="77777777" w:rsidR="007967CD" w:rsidRDefault="007967CD">
      <w:r>
        <w:separator/>
      </w:r>
    </w:p>
  </w:footnote>
  <w:footnote w:type="continuationSeparator" w:id="0">
    <w:p w14:paraId="1DE20AFA" w14:textId="77777777" w:rsidR="007967CD" w:rsidRDefault="0079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pt;height:11.6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74615"/>
    <w:rsid w:val="00182372"/>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C7D47"/>
    <w:rsid w:val="006D26E5"/>
    <w:rsid w:val="006F003D"/>
    <w:rsid w:val="00746DED"/>
    <w:rsid w:val="00780ACD"/>
    <w:rsid w:val="00781CA4"/>
    <w:rsid w:val="00791703"/>
    <w:rsid w:val="007967CD"/>
    <w:rsid w:val="00797DE1"/>
    <w:rsid w:val="007D486B"/>
    <w:rsid w:val="007F5669"/>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461F8"/>
    <w:rsid w:val="00B56B0B"/>
    <w:rsid w:val="00B74E97"/>
    <w:rsid w:val="00B957C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3A2B"/>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19</Pages>
  <Words>4845</Words>
  <Characters>27619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14</cp:revision>
  <cp:lastPrinted>2018-08-01T12:40:00Z</cp:lastPrinted>
  <dcterms:created xsi:type="dcterms:W3CDTF">2023-02-19T17:49:00Z</dcterms:created>
  <dcterms:modified xsi:type="dcterms:W3CDTF">2023-03-21T16:40:00Z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