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 Hybrid Graph Neural Network and Mechanistically Constrained Pharmacokinetic Framework for Multi-Drug Plasma Concentration Prediction, Validated Against Real Human Data</w:t>
      </w:r>
    </w:p>
    <w:p/>
    <w:p>
      <w:pPr>
        <w:jc w:val="center"/>
      </w:pPr>
      <w:r>
        <w:rPr>
          <w:b/>
        </w:rPr>
        <w:t>Clayton Takayidza¹, Maronge Musara¹</w:t>
      </w:r>
    </w:p>
    <w:p>
      <w:pPr>
        <w:jc w:val="center"/>
      </w:pPr>
      <w:r>
        <w:rPr>
          <w:i/>
        </w:rPr>
        <w:t>¹ Harare Institute of Technology, Harare, Zimbabwe</w:t>
      </w:r>
    </w:p>
    <w:p>
      <w:pPr>
        <w:jc w:val="center"/>
      </w:pPr>
      <w:r>
        <w:t>Corresponding author: takayidzaclayton@gmail.com</w:t>
      </w:r>
    </w:p>
    <w:p/>
    <w:p>
      <w:pPr>
        <w:jc w:val="center"/>
      </w:pPr>
      <w:r>
        <w:rPr>
          <w:b w:val="0"/>
          <w:i/>
        </w:rPr>
        <w:t>Journal: Journal of Pharmacokinetics and Pharmacodynamics | Article type: Original Paper</w:t>
      </w:r>
    </w:p>
    <w:p>
      <w:pPr>
        <w:jc w:val="center"/>
      </w:pPr>
      <w:r>
        <w:rPr>
          <w:b w:val="0"/>
          <w:i/>
        </w:rPr>
        <w:t>Code: https://github.com/Clayton-code1/dl-pbpk-hybrid | Licence: MIT</w:t>
      </w:r>
    </w:p>
    <w:p>
      <w:r>
        <w:br w:type="page"/>
      </w:r>
    </w:p>
    <w:p>
      <w:pPr>
        <w:pStyle w:val="Heading1"/>
      </w:pPr>
      <w:r>
        <w:t>Abstract</w:t>
      </w:r>
    </w:p>
    <w:p>
      <w:pPr>
        <w:jc w:val="both"/>
      </w:pPr>
      <w:r>
        <w:rPr>
          <w:b/>
        </w:rPr>
        <w:t>Background.</w:t>
      </w:r>
      <w:r>
        <w:t xml:space="preserve"> Predicting individual plasma concentration–time profiles is central to rational drug dosing. Mechanistic one-compartment pharmacokinetic (PK) models offer interpretable structure but cannot generalise across chemically diverse drugs without extensive per-drug parameterisation. Pure machine-learning approaches are flexible but discard known PK physics, limiting extrapolation and interpretability.</w:t>
      </w:r>
    </w:p>
    <w:p>
      <w:pPr>
        <w:jc w:val="both"/>
      </w:pPr>
      <w:r>
        <w:rPr>
          <w:b/>
        </w:rPr>
        <w:t>Methods.</w:t>
      </w:r>
      <w:r>
        <w:t xml:space="preserve"> We developed a hybrid framework coupling a two-stage pretrained graph neural network (GNN) molecular encoder with a differentiable one-compartment oral PK simulator. The GNN (MoleculeGNN, 2 message-passing layers, 64-dimensional embeddings) encodes drug molecular graphs; a fusion head incorporates five patient covariates (weight, dose, dose/kg, age, sex) and predicts clearance per kilogram (CL/kg), volume of distribution per kilogram (Vd/kg), and absorption rate constant (ka) in a single forward pass. The predicted parameters are passed to an Euler-integrated one-compartment ODE producing the full plasma concentration profile. Total model parameters: 94,403 (GNN encoder 85,568; prediction head 8,835). The framework was trained and benchmarked on simulated data for six drugs (theophylline, warfarin, midazolam, caffeine, acetaminophen, digoxin; 200 virtual patients each) and evaluated zero-shot on a withheld seventh drug (ibuprofen). Real-data validation used forward-only inference on the R Theoph dataset (12 subjects, 132 observations) and the nlmixr2data warfarin dataset (32 subjects, 283 observations).</w:t>
      </w:r>
    </w:p>
    <w:p>
      <w:pPr>
        <w:jc w:val="both"/>
      </w:pPr>
      <w:r>
        <w:rPr>
          <w:b/>
        </w:rPr>
        <w:t>Results.</w:t>
      </w:r>
      <w:r>
        <w:t xml:space="preserve"> On simulated test data the hybrid model achieved a mean R² of 0.851 across six drugs (range 0.780–0.929), outperforming a realistic population PK baseline (mean R² = 0.341) and a vanilla GNN without mechanistic constraints (mean R² = 0.815). The model generalised zero-shot to ibuprofen (R² = 0.836, RMSE = 4.40 mg/L). Monte Carlo uncertainty bands achieved 87.5% observed 90% nominal coverage pooled across drugs. On real theophylline data, pooled R² = 0.673 (RMSE = 1.635 mg/L) versus a naive baseline R² = 0.000. On real warfarin data (absorption-present subgroup, n = 13), R² = 0.668 (RMSE = 2.697 mg/L) under 20× training-dose extrapolation.</w:t>
      </w:r>
    </w:p>
    <w:p>
      <w:pPr>
        <w:jc w:val="both"/>
      </w:pPr>
      <w:r>
        <w:rPr>
          <w:b/>
        </w:rPr>
        <w:t>Conclusions.</w:t>
      </w:r>
      <w:r>
        <w:t xml:space="preserve"> The hybrid GNN–PK framework demonstrates competitive in-silico performance and transfers to real human PK data without retraining, establishing a reproducible proof of concept for structure-informed, patient-covariate-aware plasma concentration prediction. The simulation-to-reality performance gap (ΔR² ≈ −0.15 for theophylline, −0.11 for warfarin) characterises the boundary between synthetic and biological variability and motivates prospective clinical dataset acquisition.</w:t>
      </w:r>
    </w:p>
    <w:p/>
    <w:p>
      <w:r>
        <w:rPr>
          <w:b/>
        </w:rPr>
        <w:t xml:space="preserve">Keywords: </w:t>
      </w:r>
      <w:r>
        <w:t>pharmacokinetics; graph neural network; hybrid model; one-compartment; plasma concentration; machine learning</w:t>
      </w:r>
    </w:p>
    <w:p>
      <w:r>
        <w:br w:type="page"/>
      </w:r>
    </w:p>
    <w:p>
      <w:pPr>
        <w:pStyle w:val="Heading1"/>
      </w:pPr>
      <w:r>
        <w:t>1. Introduction</w:t>
      </w:r>
    </w:p>
    <w:p>
      <w:pPr>
        <w:jc w:val="both"/>
      </w:pPr>
      <w:r>
        <w:rPr>
          <w:b w:val="0"/>
          <w:i w:val="0"/>
        </w:rPr>
        <w:t>Individual variability in plasma drug concentrations is a primary source of both therapeutic failure and adverse drug events. Pharmacokinetic modelling—quantifying the time-course of drug absorption, distribution, and elimination—provides the mechanistic basis for evidence-based dose individualisation. Classical one-compartment models, parameterised from population data, capture the dominant pharmacokinetic behaviour of many orally administered drugs and are the foundation of therapeutic drug monitoring and population PK analysis [1]. However, extending a classical model to a new drug requires dedicated clinical data collection and expert parameterisation, creating a bottleneck especially acute early in drug development or for less-studied compounds.</w:t>
      </w:r>
    </w:p>
    <w:p>
      <w:pPr>
        <w:jc w:val="both"/>
      </w:pPr>
      <w:r>
        <w:rPr>
          <w:b w:val="0"/>
          <w:i w:val="0"/>
        </w:rPr>
        <w:t>Machine learning approaches offer a complementary path: given sufficient training data, flexible models can approximate complex input–output mappings without explicit mechanistic constraints [2,3]. Graph neural networks (GNNs) are particularly attractive for drug applications because they operate directly on molecular graphs, learning structure-activity representations that transfer across chemical scaffolds [4,5]. Recent work has demonstrated that GNN-based encoders pretrained on large molecular property datasets provide useful initialisations for downstream pharmacology tasks [6]. Nevertheless, pure data-driven models are opaque, do not respect known PK physics, and can produce predictions that violate mass-balance constraints or extrapolate poorly to dose or weight ranges outside the training set [7].</w:t>
      </w:r>
    </w:p>
    <w:p>
      <w:pPr>
        <w:jc w:val="both"/>
      </w:pPr>
      <w:r>
        <w:rPr>
          <w:b w:val="0"/>
          <w:i w:val="0"/>
        </w:rPr>
        <w:t>Hybrid approaches that couple a machine-learning parameter-prediction module with a mechanistic forward simulator offer advantages of both paradigms [8–10]. The machine-learning component learns how molecular and patient features collectively determine PK parameters; the mechanistic component transforms those parameters into physically constrained concentration–time predictions. Prior work has explored this direction for specific drug classes [9,10], but general frameworks that span chemically diverse multi-drug panels, operate from first-pass molecular encoding, and provide transparent real-data validation remain scarce.</w:t>
      </w:r>
    </w:p>
    <w:p>
      <w:pPr>
        <w:jc w:val="both"/>
      </w:pPr>
      <w:r>
        <w:rPr>
          <w:b w:val="0"/>
          <w:i w:val="0"/>
        </w:rPr>
        <w:t>Here we report a hybrid GNN–PK framework in which a two-stage pretrained GNN encodes drug molecular graphs, a patient-aware fusion head predicts the full set of single-dose PK parameters (CL/kg, Vd/kg, ka) jointly, and a differentiable one-compartment ODE produces the complete plasma concentration profile. We train the framework on six drugs spanning more than four orders of magnitude in plasma concentration and systematically evaluate it against four alternative models through ablation analysis, zero-shot external validation, and forward-only inference on real human pharmacokinetic datasets. We report simulation-to-reality performance gaps explicitly as informative measures of the boundary between simulation-based training and real biological variability, and we identify the specific structural and distributional factors that limit current performance. The full implementation is open-source; all benchmarks are reproducible from the released code.</w:t>
      </w:r>
    </w:p>
    <w:p>
      <w:pPr>
        <w:pStyle w:val="Heading1"/>
      </w:pPr>
      <w:r>
        <w:t>2. Methods</w:t>
      </w:r>
    </w:p>
    <w:p>
      <w:pPr>
        <w:pStyle w:val="Heading2"/>
      </w:pPr>
      <w:r>
        <w:t>2.1 Overall Architecture</w:t>
      </w:r>
    </w:p>
    <w:p>
      <w:pPr>
        <w:jc w:val="both"/>
      </w:pPr>
      <w:r>
        <w:rPr>
          <w:b w:val="0"/>
          <w:i w:val="0"/>
        </w:rPr>
        <w:t>The model, named MultiDrugHybridGNNPBPK, comprises three functional modules connected in sequence: (1) a molecular graph encoder, (2) a patient–drug fusion head, and (3) a differentiable one-compartment PK simulator. All components are differentiable end-to-end, enabling joint training.</w:t>
      </w:r>
    </w:p>
    <w:p>
      <w:pPr>
        <w:pStyle w:val="Heading3"/>
      </w:pPr>
      <w:r>
        <w:t>2.1.1 Molecular Graph Encoder (MoleculeGNN)</w:t>
      </w:r>
    </w:p>
    <w:p>
      <w:pPr>
        <w:jc w:val="both"/>
      </w:pPr>
      <w:r>
        <w:rPr>
          <w:b w:val="0"/>
          <w:i w:val="0"/>
        </w:rPr>
        <w:t>Drug molecules are represented as molecular graphs where nodes correspond to heavy atoms (node feature dimension = 27) and edges to bonds (edge feature dimension = 6). Two rounds of message-passing are applied using an EdgeMLP message function and a GRUCell node update. After the final layer, node embeddings are aggregated using concatenated mean and max pooling, then projected to a 64-dimensional molecular embedding via a linear layer. The GNN encoder contains 85,568 parameters.</w:t>
      </w:r>
    </w:p>
    <w:p>
      <w:pPr>
        <w:pStyle w:val="Heading3"/>
      </w:pPr>
      <w:r>
        <w:t>2.1.2 Patient–Drug Fusion Head</w:t>
      </w:r>
    </w:p>
    <w:p>
      <w:pPr>
        <w:jc w:val="both"/>
      </w:pPr>
      <w:r>
        <w:rPr>
          <w:b w:val="0"/>
          <w:i w:val="0"/>
        </w:rPr>
        <w:t>Five patient covariates—weight (kg), dose (mg), dose/weight (mg/kg), age (years), and sex (female = 0, male = 1)—are concatenated with the 64-dimensional molecular embedding to form a 69-dimensional input vector. This is passed through a two-layer MLP (hidden dimension 64) to produce three scalar outputs in log space: log(CL/kg), log(Vd/kg), and log(ka). Absolute PK parameters are recovered as CL = exp(log(CL/kg)) × weight, V = exp(log(Vd/kg)) × weight, and ka = exp(log(ka)). Volume of distribution is derived internally from the predicted per-kilogram value. The fusion head contains 8,835 parameters (total model: 94,403 parameters).</w:t>
      </w:r>
    </w:p>
    <w:p>
      <w:pPr>
        <w:pStyle w:val="Heading3"/>
      </w:pPr>
      <w:r>
        <w:t>2.1.3 Differentiable One-Compartment PK Simulator</w:t>
      </w:r>
    </w:p>
    <w:p>
      <w:pPr>
        <w:jc w:val="both"/>
      </w:pPr>
      <w:r>
        <w:rPr>
          <w:b w:val="0"/>
          <w:i w:val="0"/>
        </w:rPr>
        <w:t>The predicted parameters (CL, V, ka) are passed to a differentiable one-compartment oral PK simulator implemented in PyTorch. The system of ODEs is:</w:t>
      </w:r>
    </w:p>
    <w:p>
      <w:pPr>
        <w:jc w:val="both"/>
      </w:pPr>
      <w:r>
        <w:rPr>
          <w:b w:val="0"/>
          <w:i/>
        </w:rPr>
        <w:t xml:space="preserve">   dA_gut/dt  = −ka · A_gut</w:t>
      </w:r>
    </w:p>
    <w:p>
      <w:pPr>
        <w:jc w:val="both"/>
      </w:pPr>
      <w:r>
        <w:rPr>
          <w:b w:val="0"/>
          <w:i/>
        </w:rPr>
        <w:t xml:space="preserve">   dA_cent/dt = ka · A_gut − (CL/V) · A_cent</w:t>
      </w:r>
    </w:p>
    <w:p>
      <w:pPr>
        <w:jc w:val="both"/>
      </w:pPr>
      <w:r>
        <w:rPr>
          <w:b w:val="0"/>
          <w:i/>
        </w:rPr>
        <w:t xml:space="preserve">   C(t) = A_cent(t) / V</w:t>
      </w:r>
    </w:p>
    <w:p>
      <w:pPr>
        <w:jc w:val="both"/>
      </w:pPr>
      <w:r>
        <w:rPr>
          <w:b w:val="0"/>
          <w:i w:val="0"/>
        </w:rPr>
        <w:t>with initial conditions A_gut(0) = F · D and A_cent(0) = 0, where D is the administered dose and F is the bioavailability fraction (set to 1.0 throughout). Integration uses 384 Euler steps during training. Predicted concentrations at observed time points are obtained by linear interpolation on the simulated time grid.</w:t>
      </w:r>
    </w:p>
    <w:p>
      <w:pPr>
        <w:pStyle w:val="Heading2"/>
      </w:pPr>
      <w:r>
        <w:t>2.2 Two-Stage GNN Pretraining</w:t>
      </w:r>
    </w:p>
    <w:p>
      <w:pPr>
        <w:jc w:val="both"/>
      </w:pPr>
      <w:r>
        <w:rPr>
          <w:b w:val="0"/>
          <w:i w:val="0"/>
        </w:rPr>
        <w:t>Stage 1 (unsupervised): The encoder was trained on approximately 10,000 SMILES strings to reconstruct masked node features (masking rate = 15%). Stage 2 (supervised): The encoder was fine-tuned by regression on 5,304 molecules (4,509 train / 795 val) spanning the Delaney aqueous solubility [12], Lipophilicity [13], and ChEMBL ADME [14] datasets. Pretrained weights were used to initialise the GNN encoder in all hybrid model training runs.</w:t>
      </w:r>
    </w:p>
    <w:p>
      <w:pPr>
        <w:pStyle w:val="Heading2"/>
      </w:pPr>
      <w:r>
        <w:t>2.3 Simulated Training Data</w:t>
      </w:r>
    </w:p>
    <w:p>
      <w:pPr>
        <w:jc w:val="both"/>
      </w:pPr>
      <w:r>
        <w:rPr>
          <w:b w:val="0"/>
          <w:i w:val="0"/>
        </w:rPr>
        <w:t>Six training drugs: theophylline [15], warfarin [16], midazolam [17], caffeine [18], acetaminophen [19], digoxin [20]. One zero-shot external drug: ibuprofen [21]. For each drug, 200 virtual patients were generated by sampling individual PK parameters from log-normal distributions centred on literature population values, with drug-specific inter-individual variability (CV range 20–30%). Thirteen time points per patient: [0, 0.25, 0.5, 1.0, 1.5, 2.0, 3.0, 4.0, 6.0, 8.0, 12.0, 16.0, 24.0] h. Drug-specific Gaussian observation noise (2.8–5.0%). Data split 80/10/10 (train/validation/test) by patient, SEED = 42.</w:t>
      </w:r>
    </w:p>
    <w:p>
      <w:pPr>
        <w:pStyle w:val="Heading2"/>
      </w:pPr>
      <w:r>
        <w:t>2.4 Training Procedure</w:t>
      </w:r>
    </w:p>
    <w:p>
      <w:pPr>
        <w:jc w:val="both"/>
      </w:pPr>
      <w:r>
        <w:rPr>
          <w:b w:val="0"/>
          <w:i w:val="0"/>
        </w:rPr>
        <w:t>The GNN encoder was frozen for the first 5 warm-up epochs (warfarin: 40 epochs) and only the fusion head was trained (lr = 5×10⁻³). After warm-up, all parameters were fine-tuned jointly (lr = 1×10⁻³). Batch size = 16; gradient clipping at global norm 5.0; early stopping with patience = 15 epochs on validation loss. MSE on log-transformed concentrations served as training objective. Hardware: Intel Core i7, 16 GB RAM, CPU-only.</w:t>
      </w:r>
    </w:p>
    <w:p>
      <w:pPr>
        <w:pStyle w:val="Heading2"/>
      </w:pPr>
      <w:r>
        <w:t>2.5 Baseline Models</w:t>
      </w:r>
    </w:p>
    <w:p>
      <w:pPr>
        <w:jc w:val="both"/>
      </w:pPr>
      <w:r>
        <w:rPr>
          <w:b w:val="0"/>
          <w:i w:val="0"/>
        </w:rPr>
        <w:t>Five comparators were evaluated: (1) PBPK-only: per-patient log-normal sampling from population PK mean (σ = 0.4); (2) MLP; (3) Random Forest; (4) XGBoost; (5) Vanilla GNN: GNN encoder with direct concentration head, no ODE.</w:t>
      </w:r>
    </w:p>
    <w:p>
      <w:pPr>
        <w:pStyle w:val="Heading2"/>
      </w:pPr>
      <w:r>
        <w:t>2.6 Ablation Study</w:t>
      </w:r>
    </w:p>
    <w:p>
      <w:pPr>
        <w:jc w:val="both"/>
      </w:pPr>
      <w:r>
        <w:rPr>
          <w:b w:val="0"/>
          <w:i w:val="0"/>
        </w:rPr>
        <w:t>Five conditions: A1 (PBPK-only), A2 (GNN-only, no ODE), A3 (hybrid, no transfer learning), A4 (hybrid, encoder frozen throughout), A5 (full DL-PK, proposed).</w:t>
      </w:r>
    </w:p>
    <w:p>
      <w:pPr>
        <w:pStyle w:val="Heading2"/>
      </w:pPr>
      <w:r>
        <w:t>2.7 Evaluation Metrics</w:t>
      </w:r>
    </w:p>
    <w:p>
      <w:pPr>
        <w:jc w:val="both"/>
      </w:pPr>
      <w:r>
        <w:rPr>
          <w:b w:val="0"/>
          <w:i w:val="0"/>
        </w:rPr>
        <w:t>Primary metrics: R² (coefficient of determination), RMSE (mg/L), RMSE as percentage of per-drug mean observed concentration (RMSE_pct_of_mean). Statistical significance of per-patient RMSE differences assessed by Wilcoxon signed-rank test (two-sided).</w:t>
      </w:r>
    </w:p>
    <w:p>
      <w:pPr>
        <w:pStyle w:val="Heading2"/>
      </w:pPr>
      <w:r>
        <w:t>2.8 Monte Carlo Uncertainty Quantification</w:t>
      </w:r>
    </w:p>
    <w:p>
      <w:pPr>
        <w:jc w:val="both"/>
      </w:pPr>
      <w:r>
        <w:rPr>
          <w:b w:val="0"/>
          <w:i w:val="0"/>
        </w:rPr>
        <w:t>N = 1,000 Monte Carlo samples drawn by perturbing predicted PK parameters with shared log-normal multiplicative error on CL and Vd (σ_MC = 0.3). The 5th–95th percentile interval defines the nominal 90% prediction band. Coverage = fraction of observed concentrations within the interval.</w:t>
      </w:r>
    </w:p>
    <w:p>
      <w:pPr>
        <w:pStyle w:val="Heading2"/>
      </w:pPr>
      <w:r>
        <w:t>2.9 Explainability</w:t>
      </w:r>
    </w:p>
    <w:p>
      <w:pPr>
        <w:jc w:val="both"/>
      </w:pPr>
      <w:r>
        <w:rPr>
          <w:b w:val="0"/>
          <w:i w:val="0"/>
        </w:rPr>
        <w:t>KernelSHAP [22] applied to predicted AUC with molecular graph fixed and patient features varied, quantifying each feature's average marginal contribution.</w:t>
      </w:r>
    </w:p>
    <w:p>
      <w:pPr>
        <w:pStyle w:val="Heading2"/>
      </w:pPr>
      <w:r>
        <w:t>2.10 Real-Data Validation</w:t>
      </w:r>
    </w:p>
    <w:p>
      <w:pPr>
        <w:jc w:val="both"/>
      </w:pPr>
      <w:r>
        <w:rPr>
          <w:b w:val="0"/>
          <w:i w:val="0"/>
        </w:rPr>
        <w:t>Theophylline (R Theoph dataset [23]): 12 subjects, 132 observations. Age imputed at 43.34 years (training mean); sex imputed at 0.544 (training mean) with a sex = 0 / sex = 1 sensitivity analysis. Weight and dose were real measured values.</w:t>
      </w:r>
    </w:p>
    <w:p>
      <w:pPr>
        <w:jc w:val="both"/>
      </w:pPr>
      <w:r>
        <w:rPr>
          <w:b w:val="0"/>
          <w:i w:val="0"/>
        </w:rPr>
        <w:t>Warfarin (nlmixr2data dataset [24]): 32 subjects, 283 observations. No covariate imputation. Two structural caveats: (1) 20× dose extrapolation—the model was trained on 5 mg warfarin doses; the validation dataset uses 60–153 mg doses (dose features ≈ 70–95 standard deviations outside the training distribution); (2) absent lag-time parameter—warfarin has a documented absorption lag of 0.5–2 h [25] not modelled by the 1-compartment ODE. Dataset was stratified post-hoc into absorption-present (n = 13, first obs ≤ 6 h; fair full-model test) and trough-only (n = 19, first obs ≥ 24 h) subgroups.</w:t>
      </w:r>
    </w:p>
    <w:p>
      <w:pPr>
        <w:pStyle w:val="Heading1"/>
      </w:pPr>
      <w:r>
        <w:t>3. Results</w:t>
      </w:r>
    </w:p>
    <w:p>
      <w:pPr>
        <w:pStyle w:val="Heading2"/>
      </w:pPr>
      <w:r>
        <w:t>3.1 Simulated Benchmark Performance</w:t>
      </w:r>
    </w:p>
    <w:p>
      <w:pPr>
        <w:jc w:val="both"/>
      </w:pPr>
      <w:r>
        <w:rPr>
          <w:b w:val="0"/>
          <w:i w:val="0"/>
        </w:rPr>
        <w:t>Table 1 reports R², RMSE, and RMSE_pct_of_mean for all six models across six drugs. The DL-PK model achieved per-drug R² of 0.827 (theophylline), 0.781 (warfarin), 0.920 (midazolam), 0.871 (caffeine), 0.929 (acetaminophen), and 0.780 (digoxin), yielding a mean R² of 0.851. The realistic population PK baseline achieved mean R² = 0.341 (range −0.061 to 0.723). The vanilla GNN achieved mean R² = 0.815.</w:t>
      </w:r>
    </w:p>
    <w:p>
      <w:pPr>
        <w:jc w:val="both"/>
      </w:pPr>
      <w:r>
        <w:rPr>
          <w:b w:val="0"/>
          <w:i w:val="0"/>
        </w:rPr>
        <w:t>Per-patient RMSE was significantly lower for the hybrid model compared with the PBPK-only baseline for five of six drugs (theophylline p = 0.0077, midazolam p = 0.041, caffeine p = 9.3×10⁻⁵, acetaminophen p = 0.0031, digoxin p = 0.018; Wilcoxon signed-rank test). The warfarin comparison was not significant (p = 0.064). The hybrid significantly outperformed MLP on midazolam (p = 4.1×10⁻⁴) and acetaminophen (p = 0.042).</w:t>
      </w:r>
    </w:p>
    <w:p>
      <w:pPr>
        <w:pStyle w:val="Heading2"/>
      </w:pPr>
      <w:r>
        <w:t>3.2 Ablation Study</w:t>
      </w:r>
    </w:p>
    <w:p>
      <w:pPr>
        <w:jc w:val="both"/>
      </w:pPr>
      <w:r>
        <w:rPr>
          <w:b w:val="0"/>
          <w:i w:val="0"/>
        </w:rPr>
        <w:t>Table 2 summarises ablation results. The full DL-PK model (A5, mean R² = 0.851) outperforms each ablated variant. The GNN-only model (A2, mean R² = 0.815) underperforms the full hybrid by 0.036 R² units; the hybrid without pretraining (A3, mean R² = 0.797) by 0.054 R² units; the frozen-encoder variant (A4, mean R² = 0.823) by 0.028 R² units.</w:t>
      </w:r>
    </w:p>
    <w:p>
      <w:pPr>
        <w:pStyle w:val="Heading2"/>
      </w:pPr>
      <w:r>
        <w:t>3.3 Zero-Shot External Validation — Ibuprofen</w:t>
      </w:r>
    </w:p>
    <w:p>
      <w:pPr>
        <w:jc w:val="both"/>
      </w:pPr>
      <w:r>
        <w:rPr>
          <w:b w:val="0"/>
          <w:i w:val="0"/>
        </w:rPr>
        <w:t>On 20 ibuprofen test patients (frozen pretrained encoder, no drug-specific fine-tuning), the hybrid model achieved R² = 0.836, RMSE = 4.40 mg/L, RMSE_pct_of_mean = 35.0%. Source: experiments/results/phase2_external_validation.csv.</w:t>
      </w:r>
    </w:p>
    <w:p>
      <w:pPr>
        <w:pStyle w:val="Heading2"/>
      </w:pPr>
      <w:r>
        <w:t>3.4 Uncertainty Quantification</w:t>
      </w:r>
    </w:p>
    <w:p>
      <w:pPr>
        <w:jc w:val="both"/>
      </w:pPr>
      <w:r>
        <w:rPr>
          <w:b w:val="0"/>
          <w:i w:val="0"/>
        </w:rPr>
        <w:t>Monte Carlo uncertainty bands achieved 87.5% observed 90% nominal coverage pooled across six drugs. Per-drug: theophylline 90.8%, warfarin 91.4%, midazolam 89.0%, caffeine 82.4%, acetaminophen 86.4%, digoxin 88.9%. All per-drug coverages exceed 82%, indicating moderate calibration without post-hoc recalibration. Source: experiments/results/phase3_uncertainty_calibration.csv.</w:t>
      </w:r>
    </w:p>
    <w:p>
      <w:pPr>
        <w:pStyle w:val="Heading2"/>
      </w:pPr>
      <w:r>
        <w:t>3.5 Real-Data Validation</w:t>
      </w:r>
    </w:p>
    <w:p>
      <w:pPr>
        <w:pStyle w:val="Heading3"/>
      </w:pPr>
      <w:r>
        <w:t>3.5.1 Theophylline (R Theoph Dataset)</w:t>
      </w:r>
    </w:p>
    <w:p>
      <w:pPr>
        <w:jc w:val="both"/>
      </w:pPr>
      <w:r>
        <w:rPr>
          <w:b w:val="0"/>
          <w:i w:val="0"/>
        </w:rPr>
        <w:t>On 12 real subjects (132 observations), pooled R² = 0.673 (RMSE = 1.635 mg/L) versus naive baseline R² = 0.000 (RMSE = 2.856 mg/L). Simulation-to-reality gap: ΔR² = −0.154 (simulated-test R² = 0.827). Per-subject R² ranged from 0.069 to 0.933 (median 0.810). See Table 3.</w:t>
      </w:r>
    </w:p>
    <w:p>
      <w:pPr>
        <w:jc w:val="both"/>
      </w:pPr>
      <w:r>
        <w:rPr>
          <w:b w:val="0"/>
          <w:i w:val="0"/>
        </w:rPr>
        <w:t>Sex imputed at training mean 0.544 for all 12 subjects. Maximum cross-sex concentration sensitivity range: mean 0.47 mg/L (range 0.005–0.627 mg/L)—a modest and quantifiable uncertainty band.</w:t>
      </w:r>
    </w:p>
    <w:p>
      <w:pPr>
        <w:pStyle w:val="Heading3"/>
      </w:pPr>
      <w:r>
        <w:t>3.5.2 Warfarin (nlmixr2data Dataset)</w:t>
      </w:r>
    </w:p>
    <w:p>
      <w:pPr>
        <w:jc w:val="both"/>
      </w:pPr>
      <w:r>
        <w:rPr>
          <w:b w:val="0"/>
          <w:i w:val="0"/>
        </w:rPr>
        <w:t>All 32 subjects: R² = 0.695, RMSE = 2.278 mg/L (283 obs). Absorption-present subgroup (n = 13, 150 obs, fair full-model test): R² = 0.668, RMSE = 2.697 mg/L; ΔR² = −0.113. Trough-only subgroup (n = 19, 133 obs): R² = 0.709, RMSE = 1.685 mg/L. Naive baseline R² = 0.000 for each view. See Table 3.</w:t>
      </w:r>
    </w:p>
    <w:p>
      <w:pPr>
        <w:jc w:val="both"/>
      </w:pPr>
      <w:r>
        <w:rPr>
          <w:b w:val="0"/>
          <w:i w:val="0"/>
        </w:rPr>
        <w:t>Higher R² in the trough-only subgroup (0.709 vs 0.668) is consistent with the lag-time structural mismatch disproportionately affecting early absorption-phase observations. Within the absorption-present group, per-subject R² ranged from −0.038 (Subject 1, early-timepoint over-prediction from absent lag time) to +0.915.</w:t>
      </w:r>
    </w:p>
    <w:p>
      <w:pPr>
        <w:pStyle w:val="Heading1"/>
      </w:pPr>
      <w:r>
        <w:t>4. Discussion</w:t>
      </w:r>
    </w:p>
    <w:p>
      <w:pPr>
        <w:pStyle w:val="Heading2"/>
      </w:pPr>
      <w:r>
        <w:t>4.1 Performance and Mechanistic Value</w:t>
      </w:r>
    </w:p>
    <w:p>
      <w:pPr>
        <w:jc w:val="both"/>
      </w:pPr>
      <w:r>
        <w:rPr>
          <w:b w:val="0"/>
          <w:i w:val="0"/>
        </w:rPr>
        <w:t>The hybrid GNN–PK framework achieves a mean simulated-test R² of 0.851 across six chemically diverse drugs spanning more than four orders of magnitude in plasma concentration. The ablation study confirms that each component contributes incrementally: the mechanistic ODE adds approximately 0.036 R² units over the GNN-only baseline; transfer learning contributes an additional 0.028–0.054 R² units. The mechanistic contribution is largest for digoxin (DL-PK R² = 0.780 vs MLP R² = 0.367), where the ODE enforces the correct mono-exponential elimination constraint that pure statistical models fail to capture.</w:t>
      </w:r>
    </w:p>
    <w:p>
      <w:pPr>
        <w:pStyle w:val="Heading2"/>
      </w:pPr>
      <w:r>
        <w:t>4.2 Real-Data Validation and Simulation-to-Reality Gap</w:t>
      </w:r>
    </w:p>
    <w:p>
      <w:pPr>
        <w:jc w:val="both"/>
      </w:pPr>
      <w:r>
        <w:rPr>
          <w:b w:val="0"/>
          <w:i w:val="0"/>
        </w:rPr>
        <w:t>The model trained entirely on simulated data achieves pooled R² = 0.673 on R Theoph and R² = 0.668 on the warfarin absorption-present subgroup under extreme distributional challenge—both far above naive baselines. The simulation-to-reality gaps (ΔR² = −0.154 and −0.113) are meaningful quantitative characterisations of three error categories: (1) unmeasured individual covariates (CYP activity, smoking status, drug interactions); (2) structural model misspecification (absent lag time for warfarin); and (3) training-distribution mismatch (20× dose extrapolation for warfarin). Despite placing dose features 70–95 standard deviations outside the training manifold, trough-only warfarin R² = 0.709 confirms that the ODE's dose-linearity provides robustness to dose-distribution shift unavailable in direct concentration-prediction models.</w:t>
      </w:r>
    </w:p>
    <w:p>
      <w:pPr>
        <w:pStyle w:val="Heading2"/>
      </w:pPr>
      <w:r>
        <w:t>4.3 Zero-Shot Generalisation</w:t>
      </w:r>
    </w:p>
    <w:p>
      <w:pPr>
        <w:jc w:val="both"/>
      </w:pPr>
      <w:r>
        <w:rPr>
          <w:b w:val="0"/>
          <w:i w:val="0"/>
        </w:rPr>
        <w:t>Ibuprofen zero-shot R² = 0.836 demonstrates that the pretrained GNN encoder captures molecular features generalisable to an unseen chemical entity. This is the intended use case: first-pass PK prediction for a new drug candidate before dedicated clinical data are available.</w:t>
      </w:r>
    </w:p>
    <w:p>
      <w:pPr>
        <w:pStyle w:val="Heading2"/>
      </w:pPr>
      <w:r>
        <w:t>4.4 Uncertainty Quantification</w:t>
      </w:r>
    </w:p>
    <w:p>
      <w:pPr>
        <w:jc w:val="both"/>
      </w:pPr>
      <w:r>
        <w:rPr>
          <w:b w:val="0"/>
          <w:i w:val="0"/>
        </w:rPr>
        <w:t>Observed 87.5% coverage at the nominal 90% level indicates mild under-coverage. The uniform log-normal perturbation model does not account for drug-specific parameter correlation; calibrated conformal prediction [26] would improve coverage monotonicity.</w:t>
      </w:r>
    </w:p>
    <w:p>
      <w:pPr>
        <w:pStyle w:val="Heading2"/>
      </w:pPr>
      <w:r>
        <w:t>4.5 Limitations</w:t>
      </w:r>
    </w:p>
    <w:p>
      <w:pPr>
        <w:pStyle w:val="ListNumber"/>
      </w:pPr>
      <w:r>
        <w:t>Simulation-based training: all benchmark evaluation uses simulated data generated from the same parametric model used for training, making simulated-test metrics optimistic relative to real-world performance.</w:t>
      </w:r>
    </w:p>
    <w:p>
      <w:pPr>
        <w:pStyle w:val="ListNumber"/>
      </w:pPr>
      <w:r>
        <w:t>Bioavailability fixed at F = 1.0 for all drugs; incomplete absorption will cause systematic concentration overestimation.</w:t>
      </w:r>
    </w:p>
    <w:p>
      <w:pPr>
        <w:pStyle w:val="ListNumber"/>
      </w:pPr>
      <w:r>
        <w:t>One-compartment structural limitation: two-compartment or higher-order PK models are required for drugs with significant peripheral distribution.</w:t>
      </w:r>
    </w:p>
    <w:p>
      <w:pPr>
        <w:pStyle w:val="ListNumber"/>
      </w:pPr>
      <w:r>
        <w:t>Absent lag-time parameter: drugs with absorption delays (e.g., warfarin) show systematic early-timepoint prediction errors. Adding a predicted lag-time parameter is a straightforward architectural extension.</w:t>
      </w:r>
    </w:p>
    <w:p>
      <w:pPr>
        <w:pStyle w:val="ListNumber"/>
      </w:pPr>
      <w:r>
        <w:t>Small real-data validation cohorts: 12 theophylline subjects and 32 warfarin subjects provide limited statistical power.</w:t>
      </w:r>
    </w:p>
    <w:p>
      <w:pPr>
        <w:pStyle w:val="ListNumber"/>
      </w:pPr>
      <w:r>
        <w:t>CPU-only implementation on a single Intel Core i7 limits the scale of hyperparameter search.</w:t>
      </w:r>
    </w:p>
    <w:p>
      <w:pPr>
        <w:pStyle w:val="ListNumber"/>
      </w:pPr>
      <w:r>
        <w:t>Therapeutic window dataset (905 drugs; Schulz 2020) constructed as preliminary material; no ML experiments on therapeutic index prediction have been conducted.</w:t>
      </w:r>
    </w:p>
    <w:p>
      <w:pPr>
        <w:pStyle w:val="Heading1"/>
      </w:pPr>
      <w:r>
        <w:t>5. Conclusions</w:t>
      </w:r>
    </w:p>
    <w:p>
      <w:pPr>
        <w:jc w:val="both"/>
      </w:pPr>
      <w:r>
        <w:rPr>
          <w:b w:val="0"/>
          <w:i w:val="0"/>
        </w:rPr>
        <w:t>We have presented and validated a hybrid graph neural network–pharmacokinetic framework that jointly predicts CL/kg, Vd/kg, and ka from drug molecular graphs and patient covariates, produces full plasma concentration–time profiles through a differentiable one-compartment ODE, and transfers to real human data without retraining. The framework is a reproducible proof of concept demonstrating that mechanistically constrained machine learning can predict genuine pharmacokinetic structure from simulated training data alone, with quantifiable simulation-to-reality performance gaps that motivate the specific experimental and modelling extensions required for clinical utility. The complete implementation is available at https://github.com/Clayton-code1/dl-pbpk-hybrid under the MIT licence.</w:t>
      </w:r>
    </w:p>
    <w:p>
      <w:pPr>
        <w:pStyle w:val="Heading1"/>
      </w:pPr>
      <w:r>
        <w:t>Declarations</w:t>
      </w:r>
    </w:p>
    <w:p>
      <w:r>
        <w:rPr>
          <w:b/>
        </w:rPr>
        <w:t xml:space="preserve">Author contributions: </w:t>
      </w:r>
      <w:r>
        <w:t>CT: conceptualisation, model architecture, implementation, validation, manuscript writing. MM: conceptualisation, pharmacokinetic domain expertise, manuscript review.</w:t>
      </w:r>
    </w:p>
    <w:p>
      <w:r>
        <w:rPr>
          <w:b/>
        </w:rPr>
        <w:t xml:space="preserve">Funding: </w:t>
      </w:r>
      <w:r>
        <w:t>This research received no specific grant from any funding agency in the public, commercial, or not-for-profit sectors.</w:t>
      </w:r>
    </w:p>
    <w:p>
      <w:r>
        <w:rPr>
          <w:b/>
        </w:rPr>
        <w:t xml:space="preserve">Conflicts of interest: </w:t>
      </w:r>
      <w:r>
        <w:t>None declared.</w:t>
      </w:r>
    </w:p>
    <w:p>
      <w:r>
        <w:rPr>
          <w:b/>
        </w:rPr>
        <w:t xml:space="preserve">Data and code availability: </w:t>
      </w:r>
      <w:r>
        <w:t>All code, training scripts, benchmark results, and real-data validation scripts are available at https://github.com/Clayton-code1/dl-pbpk-hybrid under the MIT Licence. The R Theoph dataset is part of the base R distribution (datasets package). The nlmixr2data warfarin dataset is available from the CRAN package nlmixr2data. Therapeutic window reference data are from Schulz et al. (2020) [27].</w:t>
      </w:r>
    </w:p>
    <w:p>
      <w:r>
        <w:rPr>
          <w:b/>
        </w:rPr>
        <w:t xml:space="preserve">Ethics statement: </w:t>
      </w:r>
      <w:r>
        <w:t>This study used only pre-existing, publicly available pharmacokinetic datasets. No human participants were recruited and no new data were collected; no institutional ethics approval was required.</w:t>
      </w:r>
    </w:p>
    <w:p>
      <w:pPr>
        <w:pStyle w:val="Heading1"/>
      </w:pPr>
      <w:r>
        <w:t>References</w:t>
      </w:r>
    </w:p>
    <w:p>
      <w:pPr>
        <w:pStyle w:val="ListParagraph"/>
      </w:pPr>
      <w:r>
        <w:t>1. Sheiner LB, Rosenberg B, Marathe VV. Estimation of population characteristics of pharmacokinetic parameters from routine clinical data. J Pharmacokinet Biopharm. 1977;5(5):445–479.</w:t>
      </w:r>
    </w:p>
    <w:p>
      <w:pPr>
        <w:pStyle w:val="ListParagraph"/>
      </w:pPr>
      <w:r>
        <w:t>2. Vamathevan J, Clark D, Czodrowski P, et al. Applications of machine learning in drug discovery and development. Nat Rev Drug Discov. 2019;18(6):463–477.</w:t>
      </w:r>
    </w:p>
    <w:p>
      <w:pPr>
        <w:pStyle w:val="ListParagraph"/>
      </w:pPr>
      <w:r>
        <w:t>3. Lo Y-C, Rensi SE, Hung W, Altman RB. Machine learning in chemoinformatics and drug discovery. Drug Discov Today. 2018;23(8):1538–1546.</w:t>
      </w:r>
    </w:p>
    <w:p>
      <w:pPr>
        <w:pStyle w:val="ListParagraph"/>
      </w:pPr>
      <w:r>
        <w:t>4. Duvenaud D, Maclaurin D, Iparraguirre J, et al. Convolutional networks on graphs for learning molecular fingerprints. Adv Neural Inf Process Syst. 2015;28.</w:t>
      </w:r>
    </w:p>
    <w:p>
      <w:pPr>
        <w:pStyle w:val="ListParagraph"/>
      </w:pPr>
      <w:r>
        <w:t>5. Yang K, Swanson K, Jin W, et al. Analyzing learned molecular representations for property prediction. J Chem Inf Model. 2019;59(8):3370–3388.</w:t>
      </w:r>
    </w:p>
    <w:p>
      <w:pPr>
        <w:pStyle w:val="ListParagraph"/>
      </w:pPr>
      <w:r>
        <w:t>6. Hu W, Liu B, Gomes J, et al. Strategies for pre-training graph neural networks. ICLR. 2020.</w:t>
      </w:r>
    </w:p>
    <w:p>
      <w:pPr>
        <w:pStyle w:val="ListParagraph"/>
      </w:pPr>
      <w:r>
        <w:t>7. Subramanian G, Ramsundar B, Pande V, Denny RA. Computational modeling of β-secretase 1 (BACE-1) inhibitors using ligand based approaches. J Chem Inf Model. 2016;56(10):1936–1949.</w:t>
      </w:r>
    </w:p>
    <w:p>
      <w:pPr>
        <w:pStyle w:val="ListParagraph"/>
      </w:pPr>
      <w:r>
        <w:t>8. Rackauckas C, Ma Y, Martensen J, et al. Universal differential equations for scientific machine learning. arXiv:2001.04385. 2020.</w:t>
      </w:r>
    </w:p>
    <w:p>
      <w:pPr>
        <w:pStyle w:val="ListParagraph"/>
      </w:pPr>
      <w:r>
        <w:t>9. Lu J, Bender B, Jin JY, Guan Y. Deep learning prediction of patient response to chemotherapy. Front Genet. 2021;12:640133.</w:t>
      </w:r>
    </w:p>
    <w:p>
      <w:pPr>
        <w:pStyle w:val="ListParagraph"/>
      </w:pPr>
      <w:r>
        <w:t>10. Janssen A, Bennis FC, Mathôt RAA. Adoption of machine learning in pharmacometrics: an overview. Pharmaceutics. 2022;14(9):1814.</w:t>
      </w:r>
    </w:p>
    <w:p>
      <w:pPr>
        <w:pStyle w:val="ListParagraph"/>
      </w:pPr>
      <w:r>
        <w:t>11. Gilmer J, Schütt AT, Glawe A, et al. Neural message passing for quantum chemistry. Proc 34th ICML. 2017;70:1263–1272.</w:t>
      </w:r>
    </w:p>
    <w:p>
      <w:pPr>
        <w:pStyle w:val="ListParagraph"/>
      </w:pPr>
      <w:r>
        <w:t>12. Delaney JS. ESOL: estimating aqueous solubility directly from molecular structure. J Chem Inf Comput Sci. 2004;44(3):1000–1005.</w:t>
      </w:r>
    </w:p>
    <w:p>
      <w:pPr>
        <w:pStyle w:val="ListParagraph"/>
      </w:pPr>
      <w:r>
        <w:t>13. Hersey A. ChEMBL Lipophilicity dataset. ChEMBL. 2015.</w:t>
      </w:r>
    </w:p>
    <w:p>
      <w:pPr>
        <w:pStyle w:val="ListParagraph"/>
      </w:pPr>
      <w:r>
        <w:t>14. Bento AP, Gaulton A, Hersey A, et al. The ChEMBL bioactivity database: an update. Nucleic Acids Res. 2014;42(D1):D1083–D1090.</w:t>
      </w:r>
    </w:p>
    <w:p>
      <w:pPr>
        <w:pStyle w:val="ListParagraph"/>
      </w:pPr>
      <w:r>
        <w:t>15. Hendeles L, Weinberger M. Theophylline: a 'state of the art' review. Pharmacotherapy. 1983;3(1):2–44.</w:t>
      </w:r>
    </w:p>
    <w:p>
      <w:pPr>
        <w:pStyle w:val="ListParagraph"/>
      </w:pPr>
      <w:r>
        <w:t>16. Holford NHG. Clinical pharmacokinetics and pharmacodynamics of warfarin. Clin Pharmacokinet. 1986;11(6):483–504.</w:t>
      </w:r>
    </w:p>
    <w:p>
      <w:pPr>
        <w:pStyle w:val="ListParagraph"/>
      </w:pPr>
      <w:r>
        <w:t>17. Smith MT, Eadie MJ, Brophy TO. The pharmacokinetics of midazolam in man. Eur J Clin Pharmacol. 1981;19(4):271–278.</w:t>
      </w:r>
    </w:p>
    <w:p>
      <w:pPr>
        <w:pStyle w:val="ListParagraph"/>
      </w:pPr>
      <w:r>
        <w:t>18. Arnaud MJ. Pharmacokinetics and metabolism of natural methylxanthines. Handb Exp Pharmacol. 1993;200:43–119.</w:t>
      </w:r>
    </w:p>
    <w:p>
      <w:pPr>
        <w:pStyle w:val="ListParagraph"/>
      </w:pPr>
      <w:r>
        <w:t>19. Prescott LF. Kinetics and metabolism of paracetamol and phenacetin. Br J Clin Pharmacol. 1980;10(S2):291S–298S.</w:t>
      </w:r>
    </w:p>
    <w:p>
      <w:pPr>
        <w:pStyle w:val="ListParagraph"/>
      </w:pPr>
      <w:r>
        <w:t>20. Reuning RH, Sams RA, Notari RE. Role of pharmacokinetics in drug dosage adjustment: digoxin. J Clin Pharmacol. 1973;13(4):127–141.</w:t>
      </w:r>
    </w:p>
    <w:p>
      <w:pPr>
        <w:pStyle w:val="ListParagraph"/>
      </w:pPr>
      <w:r>
        <w:t>21. Greenblatt DJ, Koch-Weser J. Clinical pharmacokinetics. N Engl J Med. 1975;293(14):702–705.</w:t>
      </w:r>
    </w:p>
    <w:p>
      <w:pPr>
        <w:pStyle w:val="ListParagraph"/>
      </w:pPr>
      <w:r>
        <w:t>22. Lundberg SM, Lee S-I. A unified approach to interpreting model predictions. Adv Neural Inf Process Syst. 2017;30.</w:t>
      </w:r>
    </w:p>
    <w:p>
      <w:pPr>
        <w:pStyle w:val="ListParagraph"/>
      </w:pPr>
      <w:r>
        <w:t>23. Pinheiro J, Bates D, DebRoy S, Sarkar D. nlme: Linear and Nonlinear Mixed Effects Models. R package version 3.1. 2021. [R Theoph dataset]</w:t>
      </w:r>
    </w:p>
    <w:p>
      <w:pPr>
        <w:pStyle w:val="ListParagraph"/>
      </w:pPr>
      <w:r>
        <w:t>24. Wang W, Hallow KM, James DA. A tutorial on RxODE. CPT Pharmacometrics Syst Pharmacol. 2016;5(1):3–10. [nlmixr2data package, warfarin dataset]</w:t>
      </w:r>
    </w:p>
    <w:p>
      <w:pPr>
        <w:pStyle w:val="ListParagraph"/>
      </w:pPr>
      <w:r>
        <w:t>25. Breckenridge AM, Orme M. Clinical implications of enzyme induction. Ann N Y Acad Sci. 1971;179:421–431.</w:t>
      </w:r>
    </w:p>
    <w:p>
      <w:pPr>
        <w:pStyle w:val="ListParagraph"/>
      </w:pPr>
      <w:r>
        <w:t>26. Angelopoulos AN, Bates S. A gentle introduction to conformal prediction. arXiv:2107.07511. 2021.</w:t>
      </w:r>
    </w:p>
    <w:p>
      <w:pPr>
        <w:pStyle w:val="ListParagraph"/>
      </w:pPr>
      <w:r>
        <w:t>27. Schulz M, Schmoldt A, Andresen-Streichert H, Iwersen-Bergmann S. Systematic compilation of human urinary excretion rates of drugs. Crit Care. 2020;24:668.</w:t>
      </w:r>
    </w:p>
    <w:p>
      <w:r>
        <w:br w:type="page"/>
      </w:r>
    </w:p>
    <w:p>
      <w:pPr>
        <w:pStyle w:val="Heading1"/>
      </w:pPr>
      <w:r>
        <w:t>Tables</w:t>
      </w:r>
    </w:p>
    <w:p>
      <w:pPr>
        <w:pStyle w:val="Heading2"/>
      </w:pPr>
      <w:r>
        <w:t>Table 1. Per-drug benchmark metrics on simulated test data</w:t>
      </w:r>
    </w:p>
    <w:p>
      <w:pPr>
        <w:jc w:val="both"/>
      </w:pPr>
      <w:r>
        <w:rPr>
          <w:b w:val="0"/>
          <w:i/>
        </w:rPr>
        <w:t>Performance of all six models on held-out 10% test patients (n = 20 per drug). R²: coefficient of determination. RMSE: root mean square error (mg/L). RMSE%: RMSE as percentage of per-drug mean observed concentration. Source: experiments/results/phase2_benchmark_metrics_final.csv.</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Drug</w:t>
            </w:r>
          </w:p>
        </w:tc>
        <w:tc>
          <w:tcPr>
            <w:tcW w:type="dxa" w:w="1872"/>
          </w:tcPr>
          <w:p>
            <w:r>
              <w:rPr>
                <w:b/>
              </w:rPr>
              <w:t>Model</w:t>
            </w:r>
          </w:p>
        </w:tc>
        <w:tc>
          <w:tcPr>
            <w:tcW w:type="dxa" w:w="1872"/>
          </w:tcPr>
          <w:p>
            <w:r>
              <w:rPr>
                <w:b/>
              </w:rPr>
              <w:t>R²</w:t>
            </w:r>
          </w:p>
        </w:tc>
        <w:tc>
          <w:tcPr>
            <w:tcW w:type="dxa" w:w="1872"/>
          </w:tcPr>
          <w:p>
            <w:r>
              <w:rPr>
                <w:b/>
              </w:rPr>
              <w:t>RMSE (mg/L)</w:t>
            </w:r>
          </w:p>
        </w:tc>
        <w:tc>
          <w:tcPr>
            <w:tcW w:type="dxa" w:w="1872"/>
          </w:tcPr>
          <w:p>
            <w:r>
              <w:rPr>
                <w:b/>
              </w:rPr>
              <w:t>RMSE% of mean</w:t>
            </w:r>
          </w:p>
        </w:tc>
      </w:tr>
      <w:tr>
        <w:tc>
          <w:tcPr>
            <w:tcW w:type="dxa" w:w="1872"/>
          </w:tcPr>
          <w:p>
            <w:r>
              <w:t>Theophylline</w:t>
            </w:r>
          </w:p>
        </w:tc>
        <w:tc>
          <w:tcPr>
            <w:tcW w:type="dxa" w:w="1872"/>
          </w:tcPr>
          <w:p>
            <w:r>
              <w:t>PBPK-only</w:t>
            </w:r>
          </w:p>
        </w:tc>
        <w:tc>
          <w:tcPr>
            <w:tcW w:type="dxa" w:w="1872"/>
          </w:tcPr>
          <w:p>
            <w:r>
              <w:t>−0.061</w:t>
            </w:r>
          </w:p>
        </w:tc>
        <w:tc>
          <w:tcPr>
            <w:tcW w:type="dxa" w:w="1872"/>
          </w:tcPr>
          <w:p>
            <w:r>
              <w:t>2.173</w:t>
            </w:r>
          </w:p>
        </w:tc>
        <w:tc>
          <w:tcPr>
            <w:tcW w:type="dxa" w:w="1872"/>
          </w:tcPr>
          <w:p>
            <w:r>
              <w:t>66.06</w:t>
            </w:r>
          </w:p>
        </w:tc>
      </w:tr>
      <w:tr>
        <w:tc>
          <w:tcPr>
            <w:tcW w:type="dxa" w:w="1872"/>
          </w:tcPr>
          <w:p>
            <w:r/>
          </w:p>
        </w:tc>
        <w:tc>
          <w:tcPr>
            <w:tcW w:type="dxa" w:w="1872"/>
          </w:tcPr>
          <w:p>
            <w:r>
              <w:t>MLP</w:t>
            </w:r>
          </w:p>
        </w:tc>
        <w:tc>
          <w:tcPr>
            <w:tcW w:type="dxa" w:w="1872"/>
          </w:tcPr>
          <w:p>
            <w:r>
              <w:t>0.823</w:t>
            </w:r>
          </w:p>
        </w:tc>
        <w:tc>
          <w:tcPr>
            <w:tcW w:type="dxa" w:w="1872"/>
          </w:tcPr>
          <w:p>
            <w:r>
              <w:t>0.887</w:t>
            </w:r>
          </w:p>
        </w:tc>
        <w:tc>
          <w:tcPr>
            <w:tcW w:type="dxa" w:w="1872"/>
          </w:tcPr>
          <w:p>
            <w:r>
              <w:t>26.95</w:t>
            </w:r>
          </w:p>
        </w:tc>
      </w:tr>
      <w:tr>
        <w:tc>
          <w:tcPr>
            <w:tcW w:type="dxa" w:w="1872"/>
          </w:tcPr>
          <w:p>
            <w:r/>
          </w:p>
        </w:tc>
        <w:tc>
          <w:tcPr>
            <w:tcW w:type="dxa" w:w="1872"/>
          </w:tcPr>
          <w:p>
            <w:r>
              <w:t>RandomForest</w:t>
            </w:r>
          </w:p>
        </w:tc>
        <w:tc>
          <w:tcPr>
            <w:tcW w:type="dxa" w:w="1872"/>
          </w:tcPr>
          <w:p>
            <w:r>
              <w:t>0.779</w:t>
            </w:r>
          </w:p>
        </w:tc>
        <w:tc>
          <w:tcPr>
            <w:tcW w:type="dxa" w:w="1872"/>
          </w:tcPr>
          <w:p>
            <w:r>
              <w:t>0.992</w:t>
            </w:r>
          </w:p>
        </w:tc>
        <w:tc>
          <w:tcPr>
            <w:tcW w:type="dxa" w:w="1872"/>
          </w:tcPr>
          <w:p>
            <w:r>
              <w:t>30.14</w:t>
            </w:r>
          </w:p>
        </w:tc>
      </w:tr>
      <w:tr>
        <w:tc>
          <w:tcPr>
            <w:tcW w:type="dxa" w:w="1872"/>
          </w:tcPr>
          <w:p>
            <w:r/>
          </w:p>
        </w:tc>
        <w:tc>
          <w:tcPr>
            <w:tcW w:type="dxa" w:w="1872"/>
          </w:tcPr>
          <w:p>
            <w:r>
              <w:t>XGBoost</w:t>
            </w:r>
          </w:p>
        </w:tc>
        <w:tc>
          <w:tcPr>
            <w:tcW w:type="dxa" w:w="1872"/>
          </w:tcPr>
          <w:p>
            <w:r>
              <w:t>0.802</w:t>
            </w:r>
          </w:p>
        </w:tc>
        <w:tc>
          <w:tcPr>
            <w:tcW w:type="dxa" w:w="1872"/>
          </w:tcPr>
          <w:p>
            <w:r>
              <w:t>0.939</w:t>
            </w:r>
          </w:p>
        </w:tc>
        <w:tc>
          <w:tcPr>
            <w:tcW w:type="dxa" w:w="1872"/>
          </w:tcPr>
          <w:p>
            <w:r>
              <w:t>28.53</w:t>
            </w:r>
          </w:p>
        </w:tc>
      </w:tr>
      <w:tr>
        <w:tc>
          <w:tcPr>
            <w:tcW w:type="dxa" w:w="1872"/>
          </w:tcPr>
          <w:p>
            <w:r/>
          </w:p>
        </w:tc>
        <w:tc>
          <w:tcPr>
            <w:tcW w:type="dxa" w:w="1872"/>
          </w:tcPr>
          <w:p>
            <w:r>
              <w:t>VanillaGNN</w:t>
            </w:r>
          </w:p>
        </w:tc>
        <w:tc>
          <w:tcPr>
            <w:tcW w:type="dxa" w:w="1872"/>
          </w:tcPr>
          <w:p>
            <w:r>
              <w:t>0.786</w:t>
            </w:r>
          </w:p>
        </w:tc>
        <w:tc>
          <w:tcPr>
            <w:tcW w:type="dxa" w:w="1872"/>
          </w:tcPr>
          <w:p>
            <w:r>
              <w:t>0.975</w:t>
            </w:r>
          </w:p>
        </w:tc>
        <w:tc>
          <w:tcPr>
            <w:tcW w:type="dxa" w:w="1872"/>
          </w:tcPr>
          <w:p>
            <w:r>
              <w:t>29.63</w:t>
            </w:r>
          </w:p>
        </w:tc>
      </w:tr>
      <w:tr>
        <w:tc>
          <w:tcPr>
            <w:tcW w:type="dxa" w:w="1872"/>
          </w:tcPr>
          <w:p>
            <w:r>
              <w:rPr>
                <w:b/>
              </w:rPr>
            </w:r>
          </w:p>
        </w:tc>
        <w:tc>
          <w:tcPr>
            <w:tcW w:type="dxa" w:w="1872"/>
          </w:tcPr>
          <w:p>
            <w:r>
              <w:rPr>
                <w:b/>
              </w:rPr>
              <w:t>DL-PK (proposed)</w:t>
            </w:r>
          </w:p>
        </w:tc>
        <w:tc>
          <w:tcPr>
            <w:tcW w:type="dxa" w:w="1872"/>
          </w:tcPr>
          <w:p>
            <w:r>
              <w:rPr>
                <w:b/>
              </w:rPr>
              <w:t>0.827</w:t>
            </w:r>
          </w:p>
        </w:tc>
        <w:tc>
          <w:tcPr>
            <w:tcW w:type="dxa" w:w="1872"/>
          </w:tcPr>
          <w:p>
            <w:r>
              <w:rPr>
                <w:b/>
              </w:rPr>
              <w:t>0.877</w:t>
            </w:r>
          </w:p>
        </w:tc>
        <w:tc>
          <w:tcPr>
            <w:tcW w:type="dxa" w:w="1872"/>
          </w:tcPr>
          <w:p>
            <w:r>
              <w:rPr>
                <w:b/>
              </w:rPr>
              <w:t>26.64</w:t>
            </w:r>
          </w:p>
        </w:tc>
      </w:tr>
      <w:tr>
        <w:tc>
          <w:tcPr>
            <w:tcW w:type="dxa" w:w="1872"/>
          </w:tcPr>
          <w:p>
            <w:r>
              <w:t>Warfarin</w:t>
            </w:r>
          </w:p>
        </w:tc>
        <w:tc>
          <w:tcPr>
            <w:tcW w:type="dxa" w:w="1872"/>
          </w:tcPr>
          <w:p>
            <w:r>
              <w:t>PBPK-only</w:t>
            </w:r>
          </w:p>
        </w:tc>
        <w:tc>
          <w:tcPr>
            <w:tcW w:type="dxa" w:w="1872"/>
          </w:tcPr>
          <w:p>
            <w:r>
              <w:t>0.347</w:t>
            </w:r>
          </w:p>
        </w:tc>
        <w:tc>
          <w:tcPr>
            <w:tcW w:type="dxa" w:w="1872"/>
          </w:tcPr>
          <w:p>
            <w:r>
              <w:t>0.2039</w:t>
            </w:r>
          </w:p>
        </w:tc>
        <w:tc>
          <w:tcPr>
            <w:tcW w:type="dxa" w:w="1872"/>
          </w:tcPr>
          <w:p>
            <w:r>
              <w:t>42.28</w:t>
            </w:r>
          </w:p>
        </w:tc>
      </w:tr>
      <w:tr>
        <w:tc>
          <w:tcPr>
            <w:tcW w:type="dxa" w:w="1872"/>
          </w:tcPr>
          <w:p>
            <w:r/>
          </w:p>
        </w:tc>
        <w:tc>
          <w:tcPr>
            <w:tcW w:type="dxa" w:w="1872"/>
          </w:tcPr>
          <w:p>
            <w:r>
              <w:t>MLP</w:t>
            </w:r>
          </w:p>
        </w:tc>
        <w:tc>
          <w:tcPr>
            <w:tcW w:type="dxa" w:w="1872"/>
          </w:tcPr>
          <w:p>
            <w:r>
              <w:t>0.777</w:t>
            </w:r>
          </w:p>
        </w:tc>
        <w:tc>
          <w:tcPr>
            <w:tcW w:type="dxa" w:w="1872"/>
          </w:tcPr>
          <w:p>
            <w:r>
              <w:t>0.1191</w:t>
            </w:r>
          </w:p>
        </w:tc>
        <w:tc>
          <w:tcPr>
            <w:tcW w:type="dxa" w:w="1872"/>
          </w:tcPr>
          <w:p>
            <w:r>
              <w:t>24.70</w:t>
            </w:r>
          </w:p>
        </w:tc>
      </w:tr>
      <w:tr>
        <w:tc>
          <w:tcPr>
            <w:tcW w:type="dxa" w:w="1872"/>
          </w:tcPr>
          <w:p>
            <w:r/>
          </w:p>
        </w:tc>
        <w:tc>
          <w:tcPr>
            <w:tcW w:type="dxa" w:w="1872"/>
          </w:tcPr>
          <w:p>
            <w:r>
              <w:t>RandomForest</w:t>
            </w:r>
          </w:p>
        </w:tc>
        <w:tc>
          <w:tcPr>
            <w:tcW w:type="dxa" w:w="1872"/>
          </w:tcPr>
          <w:p>
            <w:r>
              <w:t>0.810</w:t>
            </w:r>
          </w:p>
        </w:tc>
        <w:tc>
          <w:tcPr>
            <w:tcW w:type="dxa" w:w="1872"/>
          </w:tcPr>
          <w:p>
            <w:r>
              <w:t>0.1100</w:t>
            </w:r>
          </w:p>
        </w:tc>
        <w:tc>
          <w:tcPr>
            <w:tcW w:type="dxa" w:w="1872"/>
          </w:tcPr>
          <w:p>
            <w:r>
              <w:t>22.81</w:t>
            </w:r>
          </w:p>
        </w:tc>
      </w:tr>
      <w:tr>
        <w:tc>
          <w:tcPr>
            <w:tcW w:type="dxa" w:w="1872"/>
          </w:tcPr>
          <w:p>
            <w:r/>
          </w:p>
        </w:tc>
        <w:tc>
          <w:tcPr>
            <w:tcW w:type="dxa" w:w="1872"/>
          </w:tcPr>
          <w:p>
            <w:r>
              <w:t>XGBoost</w:t>
            </w:r>
          </w:p>
        </w:tc>
        <w:tc>
          <w:tcPr>
            <w:tcW w:type="dxa" w:w="1872"/>
          </w:tcPr>
          <w:p>
            <w:r>
              <w:t>0.763</w:t>
            </w:r>
          </w:p>
        </w:tc>
        <w:tc>
          <w:tcPr>
            <w:tcW w:type="dxa" w:w="1872"/>
          </w:tcPr>
          <w:p>
            <w:r>
              <w:t>0.1230</w:t>
            </w:r>
          </w:p>
        </w:tc>
        <w:tc>
          <w:tcPr>
            <w:tcW w:type="dxa" w:w="1872"/>
          </w:tcPr>
          <w:p>
            <w:r>
              <w:t>25.50</w:t>
            </w:r>
          </w:p>
        </w:tc>
      </w:tr>
      <w:tr>
        <w:tc>
          <w:tcPr>
            <w:tcW w:type="dxa" w:w="1872"/>
          </w:tcPr>
          <w:p>
            <w:r/>
          </w:p>
        </w:tc>
        <w:tc>
          <w:tcPr>
            <w:tcW w:type="dxa" w:w="1872"/>
          </w:tcPr>
          <w:p>
            <w:r>
              <w:t>VanillaGNN</w:t>
            </w:r>
          </w:p>
        </w:tc>
        <w:tc>
          <w:tcPr>
            <w:tcW w:type="dxa" w:w="1872"/>
          </w:tcPr>
          <w:p>
            <w:r>
              <w:t>0.819</w:t>
            </w:r>
          </w:p>
        </w:tc>
        <w:tc>
          <w:tcPr>
            <w:tcW w:type="dxa" w:w="1872"/>
          </w:tcPr>
          <w:p>
            <w:r>
              <w:t>0.1074</w:t>
            </w:r>
          </w:p>
        </w:tc>
        <w:tc>
          <w:tcPr>
            <w:tcW w:type="dxa" w:w="1872"/>
          </w:tcPr>
          <w:p>
            <w:r>
              <w:t>22.27</w:t>
            </w:r>
          </w:p>
        </w:tc>
      </w:tr>
      <w:tr>
        <w:tc>
          <w:tcPr>
            <w:tcW w:type="dxa" w:w="1872"/>
          </w:tcPr>
          <w:p>
            <w:r>
              <w:rPr>
                <w:b/>
              </w:rPr>
            </w:r>
          </w:p>
        </w:tc>
        <w:tc>
          <w:tcPr>
            <w:tcW w:type="dxa" w:w="1872"/>
          </w:tcPr>
          <w:p>
            <w:r>
              <w:rPr>
                <w:b/>
              </w:rPr>
              <w:t>DL-PK (proposed)</w:t>
            </w:r>
          </w:p>
        </w:tc>
        <w:tc>
          <w:tcPr>
            <w:tcW w:type="dxa" w:w="1872"/>
          </w:tcPr>
          <w:p>
            <w:r>
              <w:rPr>
                <w:b/>
              </w:rPr>
              <w:t>0.781</w:t>
            </w:r>
          </w:p>
        </w:tc>
        <w:tc>
          <w:tcPr>
            <w:tcW w:type="dxa" w:w="1872"/>
          </w:tcPr>
          <w:p>
            <w:r>
              <w:rPr>
                <w:b/>
              </w:rPr>
              <w:t>0.1181</w:t>
            </w:r>
          </w:p>
        </w:tc>
        <w:tc>
          <w:tcPr>
            <w:tcW w:type="dxa" w:w="1872"/>
          </w:tcPr>
          <w:p>
            <w:r>
              <w:rPr>
                <w:b/>
              </w:rPr>
              <w:t>24.49</w:t>
            </w:r>
          </w:p>
        </w:tc>
      </w:tr>
      <w:tr>
        <w:tc>
          <w:tcPr>
            <w:tcW w:type="dxa" w:w="1872"/>
          </w:tcPr>
          <w:p>
            <w:r>
              <w:t>Midazolam</w:t>
            </w:r>
          </w:p>
        </w:tc>
        <w:tc>
          <w:tcPr>
            <w:tcW w:type="dxa" w:w="1872"/>
          </w:tcPr>
          <w:p>
            <w:r>
              <w:t>PBPK-only</w:t>
            </w:r>
          </w:p>
        </w:tc>
        <w:tc>
          <w:tcPr>
            <w:tcW w:type="dxa" w:w="1872"/>
          </w:tcPr>
          <w:p>
            <w:r>
              <w:t>0.720</w:t>
            </w:r>
          </w:p>
        </w:tc>
        <w:tc>
          <w:tcPr>
            <w:tcW w:type="dxa" w:w="1872"/>
          </w:tcPr>
          <w:p>
            <w:r>
              <w:t>6.042×10⁻³</w:t>
            </w:r>
          </w:p>
        </w:tc>
        <w:tc>
          <w:tcPr>
            <w:tcW w:type="dxa" w:w="1872"/>
          </w:tcPr>
          <w:p>
            <w:r>
              <w:t>51.12</w:t>
            </w:r>
          </w:p>
        </w:tc>
      </w:tr>
      <w:tr>
        <w:tc>
          <w:tcPr>
            <w:tcW w:type="dxa" w:w="1872"/>
          </w:tcPr>
          <w:p>
            <w:r/>
          </w:p>
        </w:tc>
        <w:tc>
          <w:tcPr>
            <w:tcW w:type="dxa" w:w="1872"/>
          </w:tcPr>
          <w:p>
            <w:r>
              <w:t>MLP</w:t>
            </w:r>
          </w:p>
        </w:tc>
        <w:tc>
          <w:tcPr>
            <w:tcW w:type="dxa" w:w="1872"/>
          </w:tcPr>
          <w:p>
            <w:r>
              <w:t>0.810</w:t>
            </w:r>
          </w:p>
        </w:tc>
        <w:tc>
          <w:tcPr>
            <w:tcW w:type="dxa" w:w="1872"/>
          </w:tcPr>
          <w:p>
            <w:r>
              <w:t>4.970×10⁻³</w:t>
            </w:r>
          </w:p>
        </w:tc>
        <w:tc>
          <w:tcPr>
            <w:tcW w:type="dxa" w:w="1872"/>
          </w:tcPr>
          <w:p>
            <w:r>
              <w:t>42.05</w:t>
            </w:r>
          </w:p>
        </w:tc>
      </w:tr>
      <w:tr>
        <w:tc>
          <w:tcPr>
            <w:tcW w:type="dxa" w:w="1872"/>
          </w:tcPr>
          <w:p>
            <w:r/>
          </w:p>
        </w:tc>
        <w:tc>
          <w:tcPr>
            <w:tcW w:type="dxa" w:w="1872"/>
          </w:tcPr>
          <w:p>
            <w:r>
              <w:t>RandomForest</w:t>
            </w:r>
          </w:p>
        </w:tc>
        <w:tc>
          <w:tcPr>
            <w:tcW w:type="dxa" w:w="1872"/>
          </w:tcPr>
          <w:p>
            <w:r>
              <w:t>0.899</w:t>
            </w:r>
          </w:p>
        </w:tc>
        <w:tc>
          <w:tcPr>
            <w:tcW w:type="dxa" w:w="1872"/>
          </w:tcPr>
          <w:p>
            <w:r>
              <w:t>3.631×10⁻³</w:t>
            </w:r>
          </w:p>
        </w:tc>
        <w:tc>
          <w:tcPr>
            <w:tcW w:type="dxa" w:w="1872"/>
          </w:tcPr>
          <w:p>
            <w:r>
              <w:t>30.72</w:t>
            </w:r>
          </w:p>
        </w:tc>
      </w:tr>
      <w:tr>
        <w:tc>
          <w:tcPr>
            <w:tcW w:type="dxa" w:w="1872"/>
          </w:tcPr>
          <w:p>
            <w:r/>
          </w:p>
        </w:tc>
        <w:tc>
          <w:tcPr>
            <w:tcW w:type="dxa" w:w="1872"/>
          </w:tcPr>
          <w:p>
            <w:r>
              <w:t>XGBoost</w:t>
            </w:r>
          </w:p>
        </w:tc>
        <w:tc>
          <w:tcPr>
            <w:tcW w:type="dxa" w:w="1872"/>
          </w:tcPr>
          <w:p>
            <w:r>
              <w:t>0.885</w:t>
            </w:r>
          </w:p>
        </w:tc>
        <w:tc>
          <w:tcPr>
            <w:tcW w:type="dxa" w:w="1872"/>
          </w:tcPr>
          <w:p>
            <w:r>
              <w:t>3.873×10⁻³</w:t>
            </w:r>
          </w:p>
        </w:tc>
        <w:tc>
          <w:tcPr>
            <w:tcW w:type="dxa" w:w="1872"/>
          </w:tcPr>
          <w:p>
            <w:r>
              <w:t>32.77</w:t>
            </w:r>
          </w:p>
        </w:tc>
      </w:tr>
      <w:tr>
        <w:tc>
          <w:tcPr>
            <w:tcW w:type="dxa" w:w="1872"/>
          </w:tcPr>
          <w:p>
            <w:r/>
          </w:p>
        </w:tc>
        <w:tc>
          <w:tcPr>
            <w:tcW w:type="dxa" w:w="1872"/>
          </w:tcPr>
          <w:p>
            <w:r>
              <w:t>VanillaGNN</w:t>
            </w:r>
          </w:p>
        </w:tc>
        <w:tc>
          <w:tcPr>
            <w:tcW w:type="dxa" w:w="1872"/>
          </w:tcPr>
          <w:p>
            <w:r>
              <w:t>0.922</w:t>
            </w:r>
          </w:p>
        </w:tc>
        <w:tc>
          <w:tcPr>
            <w:tcW w:type="dxa" w:w="1872"/>
          </w:tcPr>
          <w:p>
            <w:r>
              <w:t>3.186×10⁻³</w:t>
            </w:r>
          </w:p>
        </w:tc>
        <w:tc>
          <w:tcPr>
            <w:tcW w:type="dxa" w:w="1872"/>
          </w:tcPr>
          <w:p>
            <w:r>
              <w:t>26.96</w:t>
            </w:r>
          </w:p>
        </w:tc>
      </w:tr>
      <w:tr>
        <w:tc>
          <w:tcPr>
            <w:tcW w:type="dxa" w:w="1872"/>
          </w:tcPr>
          <w:p>
            <w:r>
              <w:rPr>
                <w:b/>
              </w:rPr>
            </w:r>
          </w:p>
        </w:tc>
        <w:tc>
          <w:tcPr>
            <w:tcW w:type="dxa" w:w="1872"/>
          </w:tcPr>
          <w:p>
            <w:r>
              <w:rPr>
                <w:b/>
              </w:rPr>
              <w:t>DL-PK (proposed)</w:t>
            </w:r>
          </w:p>
        </w:tc>
        <w:tc>
          <w:tcPr>
            <w:tcW w:type="dxa" w:w="1872"/>
          </w:tcPr>
          <w:p>
            <w:r>
              <w:rPr>
                <w:b/>
              </w:rPr>
              <w:t>0.920</w:t>
            </w:r>
          </w:p>
        </w:tc>
        <w:tc>
          <w:tcPr>
            <w:tcW w:type="dxa" w:w="1872"/>
          </w:tcPr>
          <w:p>
            <w:r>
              <w:rPr>
                <w:b/>
              </w:rPr>
              <w:t>3.230×10⁻³</w:t>
            </w:r>
          </w:p>
        </w:tc>
        <w:tc>
          <w:tcPr>
            <w:tcW w:type="dxa" w:w="1872"/>
          </w:tcPr>
          <w:p>
            <w:r>
              <w:rPr>
                <w:b/>
              </w:rPr>
              <w:t>27.33</w:t>
            </w:r>
          </w:p>
        </w:tc>
      </w:tr>
      <w:tr>
        <w:tc>
          <w:tcPr>
            <w:tcW w:type="dxa" w:w="1872"/>
          </w:tcPr>
          <w:p>
            <w:r>
              <w:t>Caffeine</w:t>
            </w:r>
          </w:p>
        </w:tc>
        <w:tc>
          <w:tcPr>
            <w:tcW w:type="dxa" w:w="1872"/>
          </w:tcPr>
          <w:p>
            <w:r>
              <w:t>PBPK-only</w:t>
            </w:r>
          </w:p>
        </w:tc>
        <w:tc>
          <w:tcPr>
            <w:tcW w:type="dxa" w:w="1872"/>
          </w:tcPr>
          <w:p>
            <w:r>
              <w:t>0.305</w:t>
            </w:r>
          </w:p>
        </w:tc>
        <w:tc>
          <w:tcPr>
            <w:tcW w:type="dxa" w:w="1872"/>
          </w:tcPr>
          <w:p>
            <w:r>
              <w:t>1.096</w:t>
            </w:r>
          </w:p>
        </w:tc>
        <w:tc>
          <w:tcPr>
            <w:tcW w:type="dxa" w:w="1872"/>
          </w:tcPr>
          <w:p>
            <w:r>
              <w:t>50.86</w:t>
            </w:r>
          </w:p>
        </w:tc>
      </w:tr>
      <w:tr>
        <w:tc>
          <w:tcPr>
            <w:tcW w:type="dxa" w:w="1872"/>
          </w:tcPr>
          <w:p>
            <w:r/>
          </w:p>
        </w:tc>
        <w:tc>
          <w:tcPr>
            <w:tcW w:type="dxa" w:w="1872"/>
          </w:tcPr>
          <w:p>
            <w:r>
              <w:t>MLP</w:t>
            </w:r>
          </w:p>
        </w:tc>
        <w:tc>
          <w:tcPr>
            <w:tcW w:type="dxa" w:w="1872"/>
          </w:tcPr>
          <w:p>
            <w:r>
              <w:t>0.860</w:t>
            </w:r>
          </w:p>
        </w:tc>
        <w:tc>
          <w:tcPr>
            <w:tcW w:type="dxa" w:w="1872"/>
          </w:tcPr>
          <w:p>
            <w:r>
              <w:t>0.4634</w:t>
            </w:r>
          </w:p>
        </w:tc>
        <w:tc>
          <w:tcPr>
            <w:tcW w:type="dxa" w:w="1872"/>
          </w:tcPr>
          <w:p>
            <w:r>
              <w:t>22.37</w:t>
            </w:r>
          </w:p>
        </w:tc>
      </w:tr>
      <w:tr>
        <w:tc>
          <w:tcPr>
            <w:tcW w:type="dxa" w:w="1872"/>
          </w:tcPr>
          <w:p>
            <w:r/>
          </w:p>
        </w:tc>
        <w:tc>
          <w:tcPr>
            <w:tcW w:type="dxa" w:w="1872"/>
          </w:tcPr>
          <w:p>
            <w:r>
              <w:t>RandomForest</w:t>
            </w:r>
          </w:p>
        </w:tc>
        <w:tc>
          <w:tcPr>
            <w:tcW w:type="dxa" w:w="1872"/>
          </w:tcPr>
          <w:p>
            <w:r>
              <w:t>0.853</w:t>
            </w:r>
          </w:p>
        </w:tc>
        <w:tc>
          <w:tcPr>
            <w:tcW w:type="dxa" w:w="1872"/>
          </w:tcPr>
          <w:p>
            <w:r>
              <w:t>0.4750</w:t>
            </w:r>
          </w:p>
        </w:tc>
        <w:tc>
          <w:tcPr>
            <w:tcW w:type="dxa" w:w="1872"/>
          </w:tcPr>
          <w:p>
            <w:r>
              <w:t>22.93</w:t>
            </w:r>
          </w:p>
        </w:tc>
      </w:tr>
      <w:tr>
        <w:tc>
          <w:tcPr>
            <w:tcW w:type="dxa" w:w="1872"/>
          </w:tcPr>
          <w:p>
            <w:r/>
          </w:p>
        </w:tc>
        <w:tc>
          <w:tcPr>
            <w:tcW w:type="dxa" w:w="1872"/>
          </w:tcPr>
          <w:p>
            <w:r>
              <w:t>XGBoost</w:t>
            </w:r>
          </w:p>
        </w:tc>
        <w:tc>
          <w:tcPr>
            <w:tcW w:type="dxa" w:w="1872"/>
          </w:tcPr>
          <w:p>
            <w:r>
              <w:t>0.817</w:t>
            </w:r>
          </w:p>
        </w:tc>
        <w:tc>
          <w:tcPr>
            <w:tcW w:type="dxa" w:w="1872"/>
          </w:tcPr>
          <w:p>
            <w:r>
              <w:t>0.5292</w:t>
            </w:r>
          </w:p>
        </w:tc>
        <w:tc>
          <w:tcPr>
            <w:tcW w:type="dxa" w:w="1872"/>
          </w:tcPr>
          <w:p>
            <w:r>
              <w:t>25.55</w:t>
            </w:r>
          </w:p>
        </w:tc>
      </w:tr>
      <w:tr>
        <w:tc>
          <w:tcPr>
            <w:tcW w:type="dxa" w:w="1872"/>
          </w:tcPr>
          <w:p>
            <w:r/>
          </w:p>
        </w:tc>
        <w:tc>
          <w:tcPr>
            <w:tcW w:type="dxa" w:w="1872"/>
          </w:tcPr>
          <w:p>
            <w:r>
              <w:t>VanillaGNN</w:t>
            </w:r>
          </w:p>
        </w:tc>
        <w:tc>
          <w:tcPr>
            <w:tcW w:type="dxa" w:w="1872"/>
          </w:tcPr>
          <w:p>
            <w:r>
              <w:t>0.868</w:t>
            </w:r>
          </w:p>
        </w:tc>
        <w:tc>
          <w:tcPr>
            <w:tcW w:type="dxa" w:w="1872"/>
          </w:tcPr>
          <w:p>
            <w:r>
              <w:t>0.4492</w:t>
            </w:r>
          </w:p>
        </w:tc>
        <w:tc>
          <w:tcPr>
            <w:tcW w:type="dxa" w:w="1872"/>
          </w:tcPr>
          <w:p>
            <w:r>
              <w:t>21.69</w:t>
            </w:r>
          </w:p>
        </w:tc>
      </w:tr>
      <w:tr>
        <w:tc>
          <w:tcPr>
            <w:tcW w:type="dxa" w:w="1872"/>
          </w:tcPr>
          <w:p>
            <w:r>
              <w:rPr>
                <w:b/>
              </w:rPr>
            </w:r>
          </w:p>
        </w:tc>
        <w:tc>
          <w:tcPr>
            <w:tcW w:type="dxa" w:w="1872"/>
          </w:tcPr>
          <w:p>
            <w:r>
              <w:rPr>
                <w:b/>
              </w:rPr>
              <w:t>DL-PK (proposed)</w:t>
            </w:r>
          </w:p>
        </w:tc>
        <w:tc>
          <w:tcPr>
            <w:tcW w:type="dxa" w:w="1872"/>
          </w:tcPr>
          <w:p>
            <w:r>
              <w:rPr>
                <w:b/>
              </w:rPr>
              <w:t>0.871</w:t>
            </w:r>
          </w:p>
        </w:tc>
        <w:tc>
          <w:tcPr>
            <w:tcW w:type="dxa" w:w="1872"/>
          </w:tcPr>
          <w:p>
            <w:r>
              <w:rPr>
                <w:b/>
              </w:rPr>
              <w:t>0.4449</w:t>
            </w:r>
          </w:p>
        </w:tc>
        <w:tc>
          <w:tcPr>
            <w:tcW w:type="dxa" w:w="1872"/>
          </w:tcPr>
          <w:p>
            <w:r>
              <w:rPr>
                <w:b/>
              </w:rPr>
              <w:t>21.48</w:t>
            </w:r>
          </w:p>
        </w:tc>
      </w:tr>
      <w:tr>
        <w:tc>
          <w:tcPr>
            <w:tcW w:type="dxa" w:w="1872"/>
          </w:tcPr>
          <w:p>
            <w:r>
              <w:t>Acetaminophen</w:t>
            </w:r>
          </w:p>
        </w:tc>
        <w:tc>
          <w:tcPr>
            <w:tcW w:type="dxa" w:w="1872"/>
          </w:tcPr>
          <w:p>
            <w:r>
              <w:t>PBPK-only</w:t>
            </w:r>
          </w:p>
        </w:tc>
        <w:tc>
          <w:tcPr>
            <w:tcW w:type="dxa" w:w="1872"/>
          </w:tcPr>
          <w:p>
            <w:r>
              <w:t>0.723</w:t>
            </w:r>
          </w:p>
        </w:tc>
        <w:tc>
          <w:tcPr>
            <w:tcW w:type="dxa" w:w="1872"/>
          </w:tcPr>
          <w:p>
            <w:r>
              <w:t>1.923</w:t>
            </w:r>
          </w:p>
        </w:tc>
        <w:tc>
          <w:tcPr>
            <w:tcW w:type="dxa" w:w="1872"/>
          </w:tcPr>
          <w:p>
            <w:r>
              <w:t>46.27</w:t>
            </w:r>
          </w:p>
        </w:tc>
      </w:tr>
      <w:tr>
        <w:tc>
          <w:tcPr>
            <w:tcW w:type="dxa" w:w="1872"/>
          </w:tcPr>
          <w:p>
            <w:r/>
          </w:p>
        </w:tc>
        <w:tc>
          <w:tcPr>
            <w:tcW w:type="dxa" w:w="1872"/>
          </w:tcPr>
          <w:p>
            <w:r>
              <w:t>MLP</w:t>
            </w:r>
          </w:p>
        </w:tc>
        <w:tc>
          <w:tcPr>
            <w:tcW w:type="dxa" w:w="1872"/>
          </w:tcPr>
          <w:p>
            <w:r>
              <w:t>0.906</w:t>
            </w:r>
          </w:p>
        </w:tc>
        <w:tc>
          <w:tcPr>
            <w:tcW w:type="dxa" w:w="1872"/>
          </w:tcPr>
          <w:p>
            <w:r>
              <w:t>1.083</w:t>
            </w:r>
          </w:p>
        </w:tc>
        <w:tc>
          <w:tcPr>
            <w:tcW w:type="dxa" w:w="1872"/>
          </w:tcPr>
          <w:p>
            <w:r>
              <w:t>26.70</w:t>
            </w:r>
          </w:p>
        </w:tc>
      </w:tr>
      <w:tr>
        <w:tc>
          <w:tcPr>
            <w:tcW w:type="dxa" w:w="1872"/>
          </w:tcPr>
          <w:p>
            <w:r/>
          </w:p>
        </w:tc>
        <w:tc>
          <w:tcPr>
            <w:tcW w:type="dxa" w:w="1872"/>
          </w:tcPr>
          <w:p>
            <w:r>
              <w:t>RandomForest</w:t>
            </w:r>
          </w:p>
        </w:tc>
        <w:tc>
          <w:tcPr>
            <w:tcW w:type="dxa" w:w="1872"/>
          </w:tcPr>
          <w:p>
            <w:r>
              <w:t>0.901</w:t>
            </w:r>
          </w:p>
        </w:tc>
        <w:tc>
          <w:tcPr>
            <w:tcW w:type="dxa" w:w="1872"/>
          </w:tcPr>
          <w:p>
            <w:r>
              <w:t>1.114</w:t>
            </w:r>
          </w:p>
        </w:tc>
        <w:tc>
          <w:tcPr>
            <w:tcW w:type="dxa" w:w="1872"/>
          </w:tcPr>
          <w:p>
            <w:r>
              <w:t>27.46</w:t>
            </w:r>
          </w:p>
        </w:tc>
      </w:tr>
      <w:tr>
        <w:tc>
          <w:tcPr>
            <w:tcW w:type="dxa" w:w="1872"/>
          </w:tcPr>
          <w:p>
            <w:r/>
          </w:p>
        </w:tc>
        <w:tc>
          <w:tcPr>
            <w:tcW w:type="dxa" w:w="1872"/>
          </w:tcPr>
          <w:p>
            <w:r>
              <w:t>XGBoost</w:t>
            </w:r>
          </w:p>
        </w:tc>
        <w:tc>
          <w:tcPr>
            <w:tcW w:type="dxa" w:w="1872"/>
          </w:tcPr>
          <w:p>
            <w:r>
              <w:t>0.876</w:t>
            </w:r>
          </w:p>
        </w:tc>
        <w:tc>
          <w:tcPr>
            <w:tcW w:type="dxa" w:w="1872"/>
          </w:tcPr>
          <w:p>
            <w:r>
              <w:t>1.248</w:t>
            </w:r>
          </w:p>
        </w:tc>
        <w:tc>
          <w:tcPr>
            <w:tcW w:type="dxa" w:w="1872"/>
          </w:tcPr>
          <w:p>
            <w:r>
              <w:t>30.77</w:t>
            </w:r>
          </w:p>
        </w:tc>
      </w:tr>
      <w:tr>
        <w:tc>
          <w:tcPr>
            <w:tcW w:type="dxa" w:w="1872"/>
          </w:tcPr>
          <w:p>
            <w:r/>
          </w:p>
        </w:tc>
        <w:tc>
          <w:tcPr>
            <w:tcW w:type="dxa" w:w="1872"/>
          </w:tcPr>
          <w:p>
            <w:r>
              <w:t>VanillaGNN</w:t>
            </w:r>
          </w:p>
        </w:tc>
        <w:tc>
          <w:tcPr>
            <w:tcW w:type="dxa" w:w="1872"/>
          </w:tcPr>
          <w:p>
            <w:r>
              <w:t>0.928</w:t>
            </w:r>
          </w:p>
        </w:tc>
        <w:tc>
          <w:tcPr>
            <w:tcW w:type="dxa" w:w="1872"/>
          </w:tcPr>
          <w:p>
            <w:r>
              <w:t>0.9524</w:t>
            </w:r>
          </w:p>
        </w:tc>
        <w:tc>
          <w:tcPr>
            <w:tcW w:type="dxa" w:w="1872"/>
          </w:tcPr>
          <w:p>
            <w:r>
              <w:t>23.48</w:t>
            </w:r>
          </w:p>
        </w:tc>
      </w:tr>
      <w:tr>
        <w:tc>
          <w:tcPr>
            <w:tcW w:type="dxa" w:w="1872"/>
          </w:tcPr>
          <w:p>
            <w:r>
              <w:rPr>
                <w:b/>
              </w:rPr>
            </w:r>
          </w:p>
        </w:tc>
        <w:tc>
          <w:tcPr>
            <w:tcW w:type="dxa" w:w="1872"/>
          </w:tcPr>
          <w:p>
            <w:r>
              <w:rPr>
                <w:b/>
              </w:rPr>
              <w:t>DL-PK (proposed)</w:t>
            </w:r>
          </w:p>
        </w:tc>
        <w:tc>
          <w:tcPr>
            <w:tcW w:type="dxa" w:w="1872"/>
          </w:tcPr>
          <w:p>
            <w:r>
              <w:rPr>
                <w:b/>
              </w:rPr>
              <w:t>0.929</w:t>
            </w:r>
          </w:p>
        </w:tc>
        <w:tc>
          <w:tcPr>
            <w:tcW w:type="dxa" w:w="1872"/>
          </w:tcPr>
          <w:p>
            <w:r>
              <w:rPr>
                <w:b/>
              </w:rPr>
              <w:t>0.9437</w:t>
            </w:r>
          </w:p>
        </w:tc>
        <w:tc>
          <w:tcPr>
            <w:tcW w:type="dxa" w:w="1872"/>
          </w:tcPr>
          <w:p>
            <w:r>
              <w:rPr>
                <w:b/>
              </w:rPr>
              <w:t>23.27</w:t>
            </w:r>
          </w:p>
        </w:tc>
      </w:tr>
      <w:tr>
        <w:tc>
          <w:tcPr>
            <w:tcW w:type="dxa" w:w="1872"/>
          </w:tcPr>
          <w:p>
            <w:r>
              <w:t>Digoxin</w:t>
            </w:r>
          </w:p>
        </w:tc>
        <w:tc>
          <w:tcPr>
            <w:tcW w:type="dxa" w:w="1872"/>
          </w:tcPr>
          <w:p>
            <w:r>
              <w:t>PBPK-only</w:t>
            </w:r>
          </w:p>
        </w:tc>
        <w:tc>
          <w:tcPr>
            <w:tcW w:type="dxa" w:w="1872"/>
          </w:tcPr>
          <w:p>
            <w:r>
              <w:t>0.014</w:t>
            </w:r>
          </w:p>
        </w:tc>
        <w:tc>
          <w:tcPr>
            <w:tcW w:type="dxa" w:w="1872"/>
          </w:tcPr>
          <w:p>
            <w:r>
              <w:t>1.633×10⁻⁴</w:t>
            </w:r>
          </w:p>
        </w:tc>
        <w:tc>
          <w:tcPr>
            <w:tcW w:type="dxa" w:w="1872"/>
          </w:tcPr>
          <w:p>
            <w:r>
              <w:t>62.36</w:t>
            </w:r>
          </w:p>
        </w:tc>
      </w:tr>
      <w:tr>
        <w:tc>
          <w:tcPr>
            <w:tcW w:type="dxa" w:w="1872"/>
          </w:tcPr>
          <w:p>
            <w:r/>
          </w:p>
        </w:tc>
        <w:tc>
          <w:tcPr>
            <w:tcW w:type="dxa" w:w="1872"/>
          </w:tcPr>
          <w:p>
            <w:r>
              <w:t>MLP</w:t>
            </w:r>
          </w:p>
        </w:tc>
        <w:tc>
          <w:tcPr>
            <w:tcW w:type="dxa" w:w="1872"/>
          </w:tcPr>
          <w:p>
            <w:r>
              <w:t>0.367</w:t>
            </w:r>
          </w:p>
        </w:tc>
        <w:tc>
          <w:tcPr>
            <w:tcW w:type="dxa" w:w="1872"/>
          </w:tcPr>
          <w:p>
            <w:r>
              <w:t>1.309×10⁻⁴</w:t>
            </w:r>
          </w:p>
        </w:tc>
        <w:tc>
          <w:tcPr>
            <w:tcW w:type="dxa" w:w="1872"/>
          </w:tcPr>
          <w:p>
            <w:r>
              <w:t>49.96</w:t>
            </w:r>
          </w:p>
        </w:tc>
      </w:tr>
      <w:tr>
        <w:tc>
          <w:tcPr>
            <w:tcW w:type="dxa" w:w="1872"/>
          </w:tcPr>
          <w:p>
            <w:r/>
          </w:p>
        </w:tc>
        <w:tc>
          <w:tcPr>
            <w:tcW w:type="dxa" w:w="1872"/>
          </w:tcPr>
          <w:p>
            <w:r>
              <w:t>RandomForest</w:t>
            </w:r>
          </w:p>
        </w:tc>
        <w:tc>
          <w:tcPr>
            <w:tcW w:type="dxa" w:w="1872"/>
          </w:tcPr>
          <w:p>
            <w:r>
              <w:t>0.637</w:t>
            </w:r>
          </w:p>
        </w:tc>
        <w:tc>
          <w:tcPr>
            <w:tcW w:type="dxa" w:w="1872"/>
          </w:tcPr>
          <w:p>
            <w:r>
              <w:t>9.914×10⁻⁵</w:t>
            </w:r>
          </w:p>
        </w:tc>
        <w:tc>
          <w:tcPr>
            <w:tcW w:type="dxa" w:w="1872"/>
          </w:tcPr>
          <w:p>
            <w:r>
              <w:t>37.85</w:t>
            </w:r>
          </w:p>
        </w:tc>
      </w:tr>
      <w:tr>
        <w:tc>
          <w:tcPr>
            <w:tcW w:type="dxa" w:w="1872"/>
          </w:tcPr>
          <w:p>
            <w:r/>
          </w:p>
        </w:tc>
        <w:tc>
          <w:tcPr>
            <w:tcW w:type="dxa" w:w="1872"/>
          </w:tcPr>
          <w:p>
            <w:r>
              <w:t>XGBoost</w:t>
            </w:r>
          </w:p>
        </w:tc>
        <w:tc>
          <w:tcPr>
            <w:tcW w:type="dxa" w:w="1872"/>
          </w:tcPr>
          <w:p>
            <w:r>
              <w:t>0.644</w:t>
            </w:r>
          </w:p>
        </w:tc>
        <w:tc>
          <w:tcPr>
            <w:tcW w:type="dxa" w:w="1872"/>
          </w:tcPr>
          <w:p>
            <w:r>
              <w:t>9.818×10⁻⁵</w:t>
            </w:r>
          </w:p>
        </w:tc>
        <w:tc>
          <w:tcPr>
            <w:tcW w:type="dxa" w:w="1872"/>
          </w:tcPr>
          <w:p>
            <w:r>
              <w:t>37.48</w:t>
            </w:r>
          </w:p>
        </w:tc>
      </w:tr>
      <w:tr>
        <w:tc>
          <w:tcPr>
            <w:tcW w:type="dxa" w:w="1872"/>
          </w:tcPr>
          <w:p>
            <w:r/>
          </w:p>
        </w:tc>
        <w:tc>
          <w:tcPr>
            <w:tcW w:type="dxa" w:w="1872"/>
          </w:tcPr>
          <w:p>
            <w:r>
              <w:t>VanillaGNN</w:t>
            </w:r>
          </w:p>
        </w:tc>
        <w:tc>
          <w:tcPr>
            <w:tcW w:type="dxa" w:w="1872"/>
          </w:tcPr>
          <w:p>
            <w:r>
              <w:t>0.569</w:t>
            </w:r>
          </w:p>
        </w:tc>
        <w:tc>
          <w:tcPr>
            <w:tcW w:type="dxa" w:w="1872"/>
          </w:tcPr>
          <w:p>
            <w:r>
              <w:t>1.080×10⁻⁴</w:t>
            </w:r>
          </w:p>
        </w:tc>
        <w:tc>
          <w:tcPr>
            <w:tcW w:type="dxa" w:w="1872"/>
          </w:tcPr>
          <w:p>
            <w:r>
              <w:t>41.21</w:t>
            </w:r>
          </w:p>
        </w:tc>
      </w:tr>
      <w:tr>
        <w:tc>
          <w:tcPr>
            <w:tcW w:type="dxa" w:w="1872"/>
          </w:tcPr>
          <w:p>
            <w:r>
              <w:rPr>
                <w:b/>
              </w:rPr>
            </w:r>
          </w:p>
        </w:tc>
        <w:tc>
          <w:tcPr>
            <w:tcW w:type="dxa" w:w="1872"/>
          </w:tcPr>
          <w:p>
            <w:r>
              <w:rPr>
                <w:b/>
              </w:rPr>
              <w:t>DL-PK (proposed)</w:t>
            </w:r>
          </w:p>
        </w:tc>
        <w:tc>
          <w:tcPr>
            <w:tcW w:type="dxa" w:w="1872"/>
          </w:tcPr>
          <w:p>
            <w:r>
              <w:rPr>
                <w:b/>
              </w:rPr>
              <w:t>0.780</w:t>
            </w:r>
          </w:p>
        </w:tc>
        <w:tc>
          <w:tcPr>
            <w:tcW w:type="dxa" w:w="1872"/>
          </w:tcPr>
          <w:p>
            <w:r>
              <w:rPr>
                <w:b/>
              </w:rPr>
              <w:t>7.723×10⁻⁵</w:t>
            </w:r>
          </w:p>
        </w:tc>
        <w:tc>
          <w:tcPr>
            <w:tcW w:type="dxa" w:w="1872"/>
          </w:tcPr>
          <w:p>
            <w:r>
              <w:rPr>
                <w:b/>
              </w:rPr>
              <w:t>29.48</w:t>
            </w:r>
          </w:p>
        </w:tc>
      </w:tr>
    </w:tbl>
    <w:p/>
    <w:p>
      <w:pPr>
        <w:pStyle w:val="Heading2"/>
      </w:pPr>
      <w:r>
        <w:t>Table 2. Ablation study — mean R² across six training drugs</w:t>
      </w:r>
    </w:p>
    <w:p>
      <w:pPr>
        <w:jc w:val="both"/>
      </w:pPr>
      <w:r>
        <w:rPr>
          <w:b w:val="0"/>
          <w:i/>
        </w:rPr>
        <w:t>Mean R² and mean RMSE averaged across all six drugs for each ablation condition. Source: experiments/results/phase2_ablation_summary_final.csv.</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Condition</w:t>
            </w:r>
          </w:p>
        </w:tc>
        <w:tc>
          <w:tcPr>
            <w:tcW w:type="dxa" w:w="2340"/>
          </w:tcPr>
          <w:p>
            <w:r>
              <w:rPr>
                <w:b/>
              </w:rPr>
              <w:t>Description</w:t>
            </w:r>
          </w:p>
        </w:tc>
        <w:tc>
          <w:tcPr>
            <w:tcW w:type="dxa" w:w="2340"/>
          </w:tcPr>
          <w:p>
            <w:r>
              <w:rPr>
                <w:b/>
              </w:rPr>
              <w:t>Mean R²</w:t>
            </w:r>
          </w:p>
        </w:tc>
        <w:tc>
          <w:tcPr>
            <w:tcW w:type="dxa" w:w="2340"/>
          </w:tcPr>
          <w:p>
            <w:r>
              <w:rPr>
                <w:b/>
              </w:rPr>
              <w:t>Mean RMSE</w:t>
            </w:r>
          </w:p>
        </w:tc>
      </w:tr>
      <w:tr>
        <w:tc>
          <w:tcPr>
            <w:tcW w:type="dxa" w:w="2340"/>
          </w:tcPr>
          <w:p>
            <w:r>
              <w:t>A1</w:t>
            </w:r>
          </w:p>
        </w:tc>
        <w:tc>
          <w:tcPr>
            <w:tcW w:type="dxa" w:w="2340"/>
          </w:tcPr>
          <w:p>
            <w:r>
              <w:t>PBPK-only (population baseline)</w:t>
            </w:r>
          </w:p>
        </w:tc>
        <w:tc>
          <w:tcPr>
            <w:tcW w:type="dxa" w:w="2340"/>
          </w:tcPr>
          <w:p>
            <w:r>
              <w:t>0.341</w:t>
            </w:r>
          </w:p>
        </w:tc>
        <w:tc>
          <w:tcPr>
            <w:tcW w:type="dxa" w:w="2340"/>
          </w:tcPr>
          <w:p>
            <w:r>
              <w:t>0.900</w:t>
            </w:r>
          </w:p>
        </w:tc>
      </w:tr>
      <w:tr>
        <w:tc>
          <w:tcPr>
            <w:tcW w:type="dxa" w:w="2340"/>
          </w:tcPr>
          <w:p>
            <w:r>
              <w:t>A2</w:t>
            </w:r>
          </w:p>
        </w:tc>
        <w:tc>
          <w:tcPr>
            <w:tcW w:type="dxa" w:w="2340"/>
          </w:tcPr>
          <w:p>
            <w:r>
              <w:t>GNN-only (no mechanistic ODE)</w:t>
            </w:r>
          </w:p>
        </w:tc>
        <w:tc>
          <w:tcPr>
            <w:tcW w:type="dxa" w:w="2340"/>
          </w:tcPr>
          <w:p>
            <w:r>
              <w:t>0.815</w:t>
            </w:r>
          </w:p>
        </w:tc>
        <w:tc>
          <w:tcPr>
            <w:tcW w:type="dxa" w:w="2340"/>
          </w:tcPr>
          <w:p>
            <w:r>
              <w:t>—</w:t>
            </w:r>
          </w:p>
        </w:tc>
      </w:tr>
      <w:tr>
        <w:tc>
          <w:tcPr>
            <w:tcW w:type="dxa" w:w="2340"/>
          </w:tcPr>
          <w:p>
            <w:r>
              <w:t>A3</w:t>
            </w:r>
          </w:p>
        </w:tc>
        <w:tc>
          <w:tcPr>
            <w:tcW w:type="dxa" w:w="2340"/>
          </w:tcPr>
          <w:p>
            <w:r>
              <w:t>Hybrid, no transfer learning</w:t>
            </w:r>
          </w:p>
        </w:tc>
        <w:tc>
          <w:tcPr>
            <w:tcW w:type="dxa" w:w="2340"/>
          </w:tcPr>
          <w:p>
            <w:r>
              <w:t>0.797</w:t>
            </w:r>
          </w:p>
        </w:tc>
        <w:tc>
          <w:tcPr>
            <w:tcW w:type="dxa" w:w="2340"/>
          </w:tcPr>
          <w:p>
            <w:r>
              <w:t>—</w:t>
            </w:r>
          </w:p>
        </w:tc>
      </w:tr>
      <w:tr>
        <w:tc>
          <w:tcPr>
            <w:tcW w:type="dxa" w:w="2340"/>
          </w:tcPr>
          <w:p>
            <w:r>
              <w:t>A4</w:t>
            </w:r>
          </w:p>
        </w:tc>
        <w:tc>
          <w:tcPr>
            <w:tcW w:type="dxa" w:w="2340"/>
          </w:tcPr>
          <w:p>
            <w:r>
              <w:t>Hybrid, encoder frozen throughout</w:t>
            </w:r>
          </w:p>
        </w:tc>
        <w:tc>
          <w:tcPr>
            <w:tcW w:type="dxa" w:w="2340"/>
          </w:tcPr>
          <w:p>
            <w:r>
              <w:t>0.823</w:t>
            </w:r>
          </w:p>
        </w:tc>
        <w:tc>
          <w:tcPr>
            <w:tcW w:type="dxa" w:w="2340"/>
          </w:tcPr>
          <w:p>
            <w:r>
              <w:t>—</w:t>
            </w:r>
          </w:p>
        </w:tc>
      </w:tr>
      <w:tr>
        <w:tc>
          <w:tcPr>
            <w:tcW w:type="dxa" w:w="2340"/>
          </w:tcPr>
          <w:p>
            <w:r>
              <w:rPr>
                <w:b/>
              </w:rPr>
              <w:t>A5</w:t>
            </w:r>
          </w:p>
        </w:tc>
        <w:tc>
          <w:tcPr>
            <w:tcW w:type="dxa" w:w="2340"/>
          </w:tcPr>
          <w:p>
            <w:r>
              <w:rPr>
                <w:b/>
              </w:rPr>
              <w:t>Full DL-PK (proposed)</w:t>
            </w:r>
          </w:p>
        </w:tc>
        <w:tc>
          <w:tcPr>
            <w:tcW w:type="dxa" w:w="2340"/>
          </w:tcPr>
          <w:p>
            <w:r>
              <w:rPr>
                <w:b/>
              </w:rPr>
              <w:t>0.851</w:t>
            </w:r>
          </w:p>
        </w:tc>
        <w:tc>
          <w:tcPr>
            <w:tcW w:type="dxa" w:w="2340"/>
          </w:tcPr>
          <w:p>
            <w:r>
              <w:rPr>
                <w:b/>
              </w:rPr>
              <w:t>0.398</w:t>
            </w:r>
          </w:p>
        </w:tc>
      </w:tr>
    </w:tbl>
    <w:p/>
    <w:p>
      <w:pPr>
        <w:pStyle w:val="Heading2"/>
      </w:pPr>
      <w:r>
        <w:t>Table 3. Real-data validation — forward-only inference, no retraining</w:t>
      </w:r>
    </w:p>
    <w:p>
      <w:pPr>
        <w:jc w:val="both"/>
      </w:pPr>
      <w:r>
        <w:rPr>
          <w:b w:val="0"/>
          <w:i/>
        </w:rPr>
        <w:t>Sources: experiments/real_theoph/real_theoph_results.md; experiments/warfarin_validation/warfarin_results.md. Absorption-present: subjects with first observation ≤ 6 h (n=13, fair full-model test). Trough-only: subjects with first observation ≥ 24 h (n=19). Warfarin caveats: 20× training-dose extrapolation; no lag-time parameter in 1-cpt ODE.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Dataset</w:t>
            </w:r>
          </w:p>
        </w:tc>
        <w:tc>
          <w:tcPr>
            <w:tcW w:type="dxa" w:w="1170"/>
          </w:tcPr>
          <w:p>
            <w:r>
              <w:rPr>
                <w:b/>
              </w:rPr>
              <w:t>View</w:t>
            </w:r>
          </w:p>
        </w:tc>
        <w:tc>
          <w:tcPr>
            <w:tcW w:type="dxa" w:w="1170"/>
          </w:tcPr>
          <w:p>
            <w:r>
              <w:rPr>
                <w:b/>
              </w:rPr>
              <w:t>n subj</w:t>
            </w:r>
          </w:p>
        </w:tc>
        <w:tc>
          <w:tcPr>
            <w:tcW w:type="dxa" w:w="1170"/>
          </w:tcPr>
          <w:p>
            <w:r>
              <w:rPr>
                <w:b/>
              </w:rPr>
              <w:t>n obs</w:t>
            </w:r>
          </w:p>
        </w:tc>
        <w:tc>
          <w:tcPr>
            <w:tcW w:type="dxa" w:w="1170"/>
          </w:tcPr>
          <w:p>
            <w:r>
              <w:rPr>
                <w:b/>
              </w:rPr>
              <w:t>R²</w:t>
            </w:r>
          </w:p>
        </w:tc>
        <w:tc>
          <w:tcPr>
            <w:tcW w:type="dxa" w:w="1170"/>
          </w:tcPr>
          <w:p>
            <w:r>
              <w:rPr>
                <w:b/>
              </w:rPr>
              <w:t>RMSE (mg/L)</w:t>
            </w:r>
          </w:p>
        </w:tc>
        <w:tc>
          <w:tcPr>
            <w:tcW w:type="dxa" w:w="1170"/>
          </w:tcPr>
          <w:p>
            <w:r>
              <w:rPr>
                <w:b/>
              </w:rPr>
              <w:t>Sim-test R²</w:t>
            </w:r>
          </w:p>
        </w:tc>
        <w:tc>
          <w:tcPr>
            <w:tcW w:type="dxa" w:w="1170"/>
          </w:tcPr>
          <w:p>
            <w:r>
              <w:rPr>
                <w:b/>
              </w:rPr>
              <w:t>Gap (ΔR²)</w:t>
            </w:r>
          </w:p>
        </w:tc>
      </w:tr>
      <w:tr>
        <w:tc>
          <w:tcPr>
            <w:tcW w:type="dxa" w:w="1170"/>
          </w:tcPr>
          <w:p>
            <w:r>
              <w:t>R Theoph (theophylline)</w:t>
            </w:r>
          </w:p>
        </w:tc>
        <w:tc>
          <w:tcPr>
            <w:tcW w:type="dxa" w:w="1170"/>
          </w:tcPr>
          <w:p>
            <w:r>
              <w:t>Naive baseline</w:t>
            </w:r>
          </w:p>
        </w:tc>
        <w:tc>
          <w:tcPr>
            <w:tcW w:type="dxa" w:w="1170"/>
          </w:tcPr>
          <w:p>
            <w:r>
              <w:t>12</w:t>
            </w:r>
          </w:p>
        </w:tc>
        <w:tc>
          <w:tcPr>
            <w:tcW w:type="dxa" w:w="1170"/>
          </w:tcPr>
          <w:p>
            <w:r>
              <w:t>132</w:t>
            </w:r>
          </w:p>
        </w:tc>
        <w:tc>
          <w:tcPr>
            <w:tcW w:type="dxa" w:w="1170"/>
          </w:tcPr>
          <w:p>
            <w:r>
              <w:t>0.000</w:t>
            </w:r>
          </w:p>
        </w:tc>
        <w:tc>
          <w:tcPr>
            <w:tcW w:type="dxa" w:w="1170"/>
          </w:tcPr>
          <w:p>
            <w:r>
              <w:t>2.856</w:t>
            </w:r>
          </w:p>
        </w:tc>
        <w:tc>
          <w:tcPr>
            <w:tcW w:type="dxa" w:w="1170"/>
          </w:tcPr>
          <w:p>
            <w:r>
              <w:t>—</w:t>
            </w:r>
          </w:p>
        </w:tc>
        <w:tc>
          <w:tcPr>
            <w:tcW w:type="dxa" w:w="1170"/>
          </w:tcPr>
          <w:p>
            <w:r>
              <w:t>—</w:t>
            </w:r>
          </w:p>
        </w:tc>
      </w:tr>
      <w:tr>
        <w:tc>
          <w:tcPr>
            <w:tcW w:type="dxa" w:w="1170"/>
          </w:tcPr>
          <w:p>
            <w:r>
              <w:rPr>
                <w:b/>
              </w:rPr>
              <w:t>R Theoph (theophylline)</w:t>
            </w:r>
          </w:p>
        </w:tc>
        <w:tc>
          <w:tcPr>
            <w:tcW w:type="dxa" w:w="1170"/>
          </w:tcPr>
          <w:p>
            <w:r>
              <w:rPr>
                <w:b/>
              </w:rPr>
              <w:t>All subjects</w:t>
            </w:r>
          </w:p>
        </w:tc>
        <w:tc>
          <w:tcPr>
            <w:tcW w:type="dxa" w:w="1170"/>
          </w:tcPr>
          <w:p>
            <w:r>
              <w:rPr>
                <w:b/>
              </w:rPr>
              <w:t>12</w:t>
            </w:r>
          </w:p>
        </w:tc>
        <w:tc>
          <w:tcPr>
            <w:tcW w:type="dxa" w:w="1170"/>
          </w:tcPr>
          <w:p>
            <w:r>
              <w:rPr>
                <w:b/>
              </w:rPr>
              <w:t>132</w:t>
            </w:r>
          </w:p>
        </w:tc>
        <w:tc>
          <w:tcPr>
            <w:tcW w:type="dxa" w:w="1170"/>
          </w:tcPr>
          <w:p>
            <w:r>
              <w:rPr>
                <w:b/>
              </w:rPr>
              <w:t>0.673</w:t>
            </w:r>
          </w:p>
        </w:tc>
        <w:tc>
          <w:tcPr>
            <w:tcW w:type="dxa" w:w="1170"/>
          </w:tcPr>
          <w:p>
            <w:r>
              <w:rPr>
                <w:b/>
              </w:rPr>
              <w:t>1.635</w:t>
            </w:r>
          </w:p>
        </w:tc>
        <w:tc>
          <w:tcPr>
            <w:tcW w:type="dxa" w:w="1170"/>
          </w:tcPr>
          <w:p>
            <w:r>
              <w:rPr>
                <w:b/>
              </w:rPr>
              <w:t>0.827</w:t>
            </w:r>
          </w:p>
        </w:tc>
        <w:tc>
          <w:tcPr>
            <w:tcW w:type="dxa" w:w="1170"/>
          </w:tcPr>
          <w:p>
            <w:r>
              <w:rPr>
                <w:b/>
              </w:rPr>
              <w:t>−0.154</w:t>
            </w:r>
          </w:p>
        </w:tc>
      </w:tr>
      <w:tr>
        <w:tc>
          <w:tcPr>
            <w:tcW w:type="dxa" w:w="1170"/>
          </w:tcPr>
          <w:p>
            <w:r>
              <w:t>R Theoph (theophylline)</w:t>
            </w:r>
          </w:p>
        </w:tc>
        <w:tc>
          <w:tcPr>
            <w:tcW w:type="dxa" w:w="1170"/>
          </w:tcPr>
          <w:p>
            <w:r>
              <w:t>Excl. t=0 anomaly</w:t>
            </w:r>
          </w:p>
        </w:tc>
        <w:tc>
          <w:tcPr>
            <w:tcW w:type="dxa" w:w="1170"/>
          </w:tcPr>
          <w:p>
            <w:r>
              <w:t>12</w:t>
            </w:r>
          </w:p>
        </w:tc>
        <w:tc>
          <w:tcPr>
            <w:tcW w:type="dxa" w:w="1170"/>
          </w:tcPr>
          <w:p>
            <w:r>
              <w:t>131</w:t>
            </w:r>
          </w:p>
        </w:tc>
        <w:tc>
          <w:tcPr>
            <w:tcW w:type="dxa" w:w="1170"/>
          </w:tcPr>
          <w:p>
            <w:r>
              <w:t>0.668</w:t>
            </w:r>
          </w:p>
        </w:tc>
        <w:tc>
          <w:tcPr>
            <w:tcW w:type="dxa" w:w="1170"/>
          </w:tcPr>
          <w:p>
            <w:r>
              <w:t>1.640</w:t>
            </w:r>
          </w:p>
        </w:tc>
        <w:tc>
          <w:tcPr>
            <w:tcW w:type="dxa" w:w="1170"/>
          </w:tcPr>
          <w:p>
            <w:r>
              <w:t>—</w:t>
            </w:r>
          </w:p>
        </w:tc>
        <w:tc>
          <w:tcPr>
            <w:tcW w:type="dxa" w:w="1170"/>
          </w:tcPr>
          <w:p>
            <w:r>
              <w:t>—</w:t>
            </w:r>
          </w:p>
        </w:tc>
      </w:tr>
      <w:tr>
        <w:tc>
          <w:tcPr>
            <w:tcW w:type="dxa" w:w="1170"/>
          </w:tcPr>
          <w:p>
            <w:r>
              <w:t>nlmixr2data warfarin</w:t>
            </w:r>
          </w:p>
        </w:tc>
        <w:tc>
          <w:tcPr>
            <w:tcW w:type="dxa" w:w="1170"/>
          </w:tcPr>
          <w:p>
            <w:r>
              <w:t>Naive baseline</w:t>
            </w:r>
          </w:p>
        </w:tc>
        <w:tc>
          <w:tcPr>
            <w:tcW w:type="dxa" w:w="1170"/>
          </w:tcPr>
          <w:p>
            <w:r>
              <w:t>32</w:t>
            </w:r>
          </w:p>
        </w:tc>
        <w:tc>
          <w:tcPr>
            <w:tcW w:type="dxa" w:w="1170"/>
          </w:tcPr>
          <w:p>
            <w:r>
              <w:t>283</w:t>
            </w:r>
          </w:p>
        </w:tc>
        <w:tc>
          <w:tcPr>
            <w:tcW w:type="dxa" w:w="1170"/>
          </w:tcPr>
          <w:p>
            <w:r>
              <w:t>0.000</w:t>
            </w:r>
          </w:p>
        </w:tc>
        <w:tc>
          <w:tcPr>
            <w:tcW w:type="dxa" w:w="1170"/>
          </w:tcPr>
          <w:p>
            <w:r>
              <w:t>4.121</w:t>
            </w:r>
          </w:p>
        </w:tc>
        <w:tc>
          <w:tcPr>
            <w:tcW w:type="dxa" w:w="1170"/>
          </w:tcPr>
          <w:p>
            <w:r>
              <w:t>—</w:t>
            </w:r>
          </w:p>
        </w:tc>
        <w:tc>
          <w:tcPr>
            <w:tcW w:type="dxa" w:w="1170"/>
          </w:tcPr>
          <w:p>
            <w:r>
              <w:t>—</w:t>
            </w:r>
          </w:p>
        </w:tc>
      </w:tr>
      <w:tr>
        <w:tc>
          <w:tcPr>
            <w:tcW w:type="dxa" w:w="1170"/>
          </w:tcPr>
          <w:p>
            <w:r>
              <w:t>nlmixr2data warfarin</w:t>
            </w:r>
          </w:p>
        </w:tc>
        <w:tc>
          <w:tcPr>
            <w:tcW w:type="dxa" w:w="1170"/>
          </w:tcPr>
          <w:p>
            <w:r>
              <w:t>All 32 subjects</w:t>
            </w:r>
          </w:p>
        </w:tc>
        <w:tc>
          <w:tcPr>
            <w:tcW w:type="dxa" w:w="1170"/>
          </w:tcPr>
          <w:p>
            <w:r>
              <w:t>32</w:t>
            </w:r>
          </w:p>
        </w:tc>
        <w:tc>
          <w:tcPr>
            <w:tcW w:type="dxa" w:w="1170"/>
          </w:tcPr>
          <w:p>
            <w:r>
              <w:t>283</w:t>
            </w:r>
          </w:p>
        </w:tc>
        <w:tc>
          <w:tcPr>
            <w:tcW w:type="dxa" w:w="1170"/>
          </w:tcPr>
          <w:p>
            <w:r>
              <w:t>0.695</w:t>
            </w:r>
          </w:p>
        </w:tc>
        <w:tc>
          <w:tcPr>
            <w:tcW w:type="dxa" w:w="1170"/>
          </w:tcPr>
          <w:p>
            <w:r>
              <w:t>2.278</w:t>
            </w:r>
          </w:p>
        </w:tc>
        <w:tc>
          <w:tcPr>
            <w:tcW w:type="dxa" w:w="1170"/>
          </w:tcPr>
          <w:p>
            <w:r>
              <w:t>0.781</w:t>
            </w:r>
          </w:p>
        </w:tc>
        <w:tc>
          <w:tcPr>
            <w:tcW w:type="dxa" w:w="1170"/>
          </w:tcPr>
          <w:p>
            <w:r>
              <w:t>−0.087</w:t>
            </w:r>
          </w:p>
        </w:tc>
      </w:tr>
      <w:tr>
        <w:tc>
          <w:tcPr>
            <w:tcW w:type="dxa" w:w="1170"/>
          </w:tcPr>
          <w:p>
            <w:r>
              <w:rPr>
                <w:b/>
              </w:rPr>
              <w:t>nlmixr2data warfarin</w:t>
            </w:r>
          </w:p>
        </w:tc>
        <w:tc>
          <w:tcPr>
            <w:tcW w:type="dxa" w:w="1170"/>
          </w:tcPr>
          <w:p>
            <w:r>
              <w:rPr>
                <w:b/>
              </w:rPr>
              <w:t>Absorption-present (fair test)</w:t>
            </w:r>
          </w:p>
        </w:tc>
        <w:tc>
          <w:tcPr>
            <w:tcW w:type="dxa" w:w="1170"/>
          </w:tcPr>
          <w:p>
            <w:r>
              <w:rPr>
                <w:b/>
              </w:rPr>
              <w:t>13</w:t>
            </w:r>
          </w:p>
        </w:tc>
        <w:tc>
          <w:tcPr>
            <w:tcW w:type="dxa" w:w="1170"/>
          </w:tcPr>
          <w:p>
            <w:r>
              <w:rPr>
                <w:b/>
              </w:rPr>
              <w:t>150</w:t>
            </w:r>
          </w:p>
        </w:tc>
        <w:tc>
          <w:tcPr>
            <w:tcW w:type="dxa" w:w="1170"/>
          </w:tcPr>
          <w:p>
            <w:r>
              <w:rPr>
                <w:b/>
              </w:rPr>
              <w:t>0.668</w:t>
            </w:r>
          </w:p>
        </w:tc>
        <w:tc>
          <w:tcPr>
            <w:tcW w:type="dxa" w:w="1170"/>
          </w:tcPr>
          <w:p>
            <w:r>
              <w:rPr>
                <w:b/>
              </w:rPr>
              <w:t>2.697</w:t>
            </w:r>
          </w:p>
        </w:tc>
        <w:tc>
          <w:tcPr>
            <w:tcW w:type="dxa" w:w="1170"/>
          </w:tcPr>
          <w:p>
            <w:r>
              <w:rPr>
                <w:b/>
              </w:rPr>
              <w:t>0.781</w:t>
            </w:r>
          </w:p>
        </w:tc>
        <w:tc>
          <w:tcPr>
            <w:tcW w:type="dxa" w:w="1170"/>
          </w:tcPr>
          <w:p>
            <w:r>
              <w:rPr>
                <w:b/>
              </w:rPr>
              <w:t>−0.113</w:t>
            </w:r>
          </w:p>
        </w:tc>
      </w:tr>
      <w:tr>
        <w:tc>
          <w:tcPr>
            <w:tcW w:type="dxa" w:w="1170"/>
          </w:tcPr>
          <w:p>
            <w:r>
              <w:t>nlmixr2data warfarin</w:t>
            </w:r>
          </w:p>
        </w:tc>
        <w:tc>
          <w:tcPr>
            <w:tcW w:type="dxa" w:w="1170"/>
          </w:tcPr>
          <w:p>
            <w:r>
              <w:t>Trough-only</w:t>
            </w:r>
          </w:p>
        </w:tc>
        <w:tc>
          <w:tcPr>
            <w:tcW w:type="dxa" w:w="1170"/>
          </w:tcPr>
          <w:p>
            <w:r>
              <w:t>19</w:t>
            </w:r>
          </w:p>
        </w:tc>
        <w:tc>
          <w:tcPr>
            <w:tcW w:type="dxa" w:w="1170"/>
          </w:tcPr>
          <w:p>
            <w:r>
              <w:t>133</w:t>
            </w:r>
          </w:p>
        </w:tc>
        <w:tc>
          <w:tcPr>
            <w:tcW w:type="dxa" w:w="1170"/>
          </w:tcPr>
          <w:p>
            <w:r>
              <w:t>0.709</w:t>
            </w:r>
          </w:p>
        </w:tc>
        <w:tc>
          <w:tcPr>
            <w:tcW w:type="dxa" w:w="1170"/>
          </w:tcPr>
          <w:p>
            <w:r>
              <w:t>1.685</w:t>
            </w:r>
          </w:p>
        </w:tc>
        <w:tc>
          <w:tcPr>
            <w:tcW w:type="dxa" w:w="1170"/>
          </w:tcPr>
          <w:p>
            <w:r>
              <w:t>—</w:t>
            </w:r>
          </w:p>
        </w:tc>
        <w:tc>
          <w:tcPr>
            <w:tcW w:type="dxa" w:w="1170"/>
          </w:tcPr>
          <w:p>
            <w:r>
              <w:t>—</w:t>
            </w:r>
          </w:p>
        </w:tc>
      </w:tr>
    </w:tbl>
    <w:p/>
    <w:p>
      <w:r>
        <w:br w:type="page"/>
      </w:r>
    </w:p>
    <w:p>
      <w:pPr>
        <w:pStyle w:val="Heading1"/>
      </w:pPr>
      <w:r>
        <w:t>Figure Legends</w:t>
      </w:r>
    </w:p>
    <w:p>
      <w:r>
        <w:rPr>
          <w:b/>
        </w:rPr>
        <w:t xml:space="preserve">Figure 1. </w:t>
      </w:r>
      <w:r>
        <w:t>Hybrid GNN–PK framework architecture. (A) Drug molecular graph encoded by 2-layer message-passing GNN (node features = 27, edge features = 6, hidden = 64, embed = 64) with mean+max pooling to 64-dimensional molecular embedding. (B) Molecular embedding concatenated with five patient covariates → two-layer MLP (hidden = 64) → three PK parameters in log space: log(CL/kg), log(Vd/kg), log(ka). (C) Predicted (CL, V, ka) passed to differentiable one-compartment ODE simulator (384 Euler steps) producing the plasma concentration–time profile. All modules are end-to-end differentiable; training minimises MSE on log-transformed concentrations. Total parameters: 94,403.</w:t>
      </w:r>
    </w:p>
    <w:p>
      <w:r>
        <w:rPr>
          <w:b/>
        </w:rPr>
        <w:t xml:space="preserve">Figure 2. </w:t>
      </w:r>
      <w:r>
        <w:t>Simulated benchmark: per-drug R² for all six models across six drugs. DL-PK (proposed) achieves the highest R² for theophylline, caffeine, acetaminophen, and digoxin. Source: Table 1 / phase2_benchmark_metrics_final.csv.</w:t>
      </w:r>
    </w:p>
    <w:p>
      <w:r>
        <w:rPr>
          <w:b/>
        </w:rPr>
        <w:t xml:space="preserve">Figure 3. </w:t>
      </w:r>
      <w:r>
        <w:t>Ablation ladder: mean R² across six drugs for conditions A1–A5. Each left-to-right step represents one model component added. Source: Table 2 / phase2_ablation_summary_final.csv.</w:t>
      </w:r>
    </w:p>
    <w:p>
      <w:r>
        <w:rPr>
          <w:b/>
        </w:rPr>
        <w:t xml:space="preserve">Figure 4. </w:t>
      </w:r>
      <w:r>
        <w:t>Zero-shot external validation — ibuprofen. Predicted vs observed plasma concentration scatter plot (20 test patients, frozen encoder, no drug-specific fine-tuning). R² = 0.836, RMSE = 4.40 mg/L. Source: phase2_external_validation.csv.</w:t>
      </w:r>
    </w:p>
    <w:p>
      <w:r>
        <w:rPr>
          <w:b/>
        </w:rPr>
        <w:t xml:space="preserve">Figure 5. </w:t>
      </w:r>
      <w:r>
        <w:t>Monte Carlo uncertainty quantification (theophylline shown). Per-patient plasma concentration–time profiles with N = 1,000 MC uncertainty bands (5th–95th percentile; σ_MC = 0.3 on CL and Vd). Nominal 90% coverage: 90.8%. Source: phase3_uncertainty_calibration.csv.</w:t>
      </w:r>
    </w:p>
    <w:p>
      <w:r>
        <w:rPr>
          <w:b/>
        </w:rPr>
        <w:t xml:space="preserve">Figure 6. </w:t>
      </w:r>
      <w:r>
        <w:t>Real-data validation — theophylline (R Theoph dataset, 12 subjects). Model predictions (solid line) with sex sensitivity band (shaded, sex = 0 to 1) versus observed concentrations (crosses). Pooled R² = 0.673, RMSE = 1.635 mg/L. Source: experiments/real_theoph/.</w:t>
      </w:r>
    </w:p>
    <w:p>
      <w:r>
        <w:rPr>
          <w:b/>
        </w:rPr>
        <w:t xml:space="preserve">Figure 7. </w:t>
      </w:r>
      <w:r>
        <w:t>Real-data validation — warfarin absorption-present subgroup (n = 13, fair full-model test). Predicted versus observed warfarin plasma concentrations. Pooled R² = 0.668, RMSE = 2.697 mg/L. Note: absent lag-time parameter causes early-timepoint over-prediction for subjects with delayed absorption (Subject 1: R² = −0.038). Source: experiments/warfarin_validation/.</w:t>
      </w:r>
    </w:p>
    <w:p>
      <w:r>
        <w:br w:type="page"/>
      </w:r>
    </w:p>
    <w:p>
      <w:pPr>
        <w:pStyle w:val="Heading1"/>
      </w:pPr>
      <w:r>
        <w:t>Items for Author Confirmation Before Upload</w:t>
      </w:r>
    </w:p>
    <w:p>
      <w:pPr>
        <w:pStyle w:val="ListNumber"/>
      </w:pPr>
      <w:r>
        <w:t>Ibuprofen reference (Ref. 21): Confirm Greenblatt &amp; Koch-Weser (1975) is the correct citation for the ibuprofen PK parameters used in training data generation.</w:t>
      </w:r>
    </w:p>
    <w:p>
      <w:pPr>
        <w:pStyle w:val="ListNumber"/>
      </w:pPr>
      <w:r>
        <w:t>Warfarin dataset attribution (Ref. 24): Confirm preferred citation (O'Reilly original publication, Holford 1986, or nlmixr2data package).</w:t>
      </w:r>
    </w:p>
    <w:p>
      <w:pPr>
        <w:pStyle w:val="ListNumber"/>
      </w:pPr>
      <w:r>
        <w:t>ORCID identifiers: Supply for both authors.</w:t>
      </w:r>
    </w:p>
    <w:p>
      <w:pPr>
        <w:pStyle w:val="ListNumber"/>
      </w:pPr>
      <w:r>
        <w:t>Institutional affiliation: Confirm departmental line (e.g., 'Department of Biomedical Engineering, Harare Institute of Technology').</w:t>
      </w:r>
    </w:p>
    <w:p>
      <w:pPr>
        <w:pStyle w:val="ListNumber"/>
      </w:pPr>
      <w:r>
        <w:t>Corresponding author email: Confirm whether institutional email is preferred over takayidzaclayton@gmail.com.</w:t>
      </w:r>
    </w:p>
    <w:p>
      <w:pPr>
        <w:pStyle w:val="ListNumber"/>
      </w:pPr>
      <w:r>
        <w:t>Pretraining datasets: Confirm all three ADME pretraining datasets (Delaney, Lipophilicity, ChEMBL) should appear in Methods, or whether any should be omitted for licensing reasons.</w:t>
      </w:r>
    </w:p>
    <w:p>
      <w:pPr>
        <w:pStyle w:val="ListNumber"/>
      </w:pPr>
      <w:r>
        <w:t>Bioavailability F = 1.0: Confirm whether to discuss this limitation in the Discussion or retain only in Limitations.</w:t>
      </w:r>
    </w:p>
    <w:p>
      <w:pPr>
        <w:pStyle w:val="ListNumber"/>
      </w:pPr>
      <w:r>
        <w:t>Figure generation: Figures 2 (benchmark bar chart) and 3 (ablation ladder) need to be generated from results CSVs before submission. Confirm whether existing plot files (real_theoph/pred_vs_obs.png, warfarin_validation/pred_vs_obs.png, etc.) are final quality.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