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Sistema de Gestão de Riscos Psicossociais: Documentação Completa (SDD)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Visão Geral e Objetivos do Sistema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sistema de Gestão de Riscos Psicossociais é um </w:t>
      </w:r>
      <w:r>
        <w:rPr>
          <w:b/>
          <w:bCs/>
        </w:rPr>
        <w:t xml:space="preserve">SaaS (Software as a Service)</w:t>
      </w:r>
      <w:r>
        <w:t xml:space="preserve"> B2B projetado especificamente para atuar no mapeamento avançado e no controle corporativo da saúde mental, níveis de estresse, e segurança do trabalho.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software centraliza operações para equipes de Recursos Humanos (HR) e Saúde e Segurança do Trabalho (SSMA), viabilizando a configuração, distribuição e análise preditiva de formulários padronizados, chamados de </w:t>
      </w:r>
      <w:r>
        <w:rPr>
          <w:b/>
          <w:bCs/>
        </w:rPr>
        <w:t xml:space="preserve">Surveys</w:t>
      </w:r>
      <w:r>
        <w:t xml:space="preserve"> (Pesquisas de Clima/Risco). Esses Surveys são direcionados aos colaboradores para coletar percepções através de matrizes dinâmicas de risco (Probability x Impact).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sistema destaca-se por incorporar um </w:t>
      </w:r>
      <w:r>
        <w:rPr>
          <w:b/>
          <w:bCs/>
        </w:rPr>
        <w:t xml:space="preserve">Motor Estatístico Autônomo e Determinístico</w:t>
      </w:r>
      <w:r>
        <w:t xml:space="preserve"> no seu backend, que calcula métricas psicométricas avançadas, como o Alfa de Cronbach, o Desvio Padrão e as variâncias (Polarização). Com essas análises automatizadas e </w:t>
      </w:r>
      <w:r>
        <w:rPr>
          <w:i/>
          <w:iCs/>
        </w:rPr>
        <w:t xml:space="preserve">offline</w:t>
      </w:r>
      <w:r>
        <w:t xml:space="preserve">, o sistema assegura a preservação e confidencialidade dos dados das empresas, evitando vazamentos e envio de dados para Large Language Models públicos. A resolução dos problemas identificados é orquestrada em um painel de ações (</w:t>
      </w:r>
      <w:r>
        <w:rPr>
          <w:b/>
          <w:bCs/>
        </w:rPr>
        <w:t xml:space="preserve">Action Plans</w:t>
      </w:r>
      <w:r>
        <w:t xml:space="preserve">), gerenciado na interface num formato Kanban, o que fecha o ciclo de vida do risco desde a detecção até a mitigação.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Arquitetura de Software e Padrões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projeto adota uma abordagem de </w:t>
      </w:r>
      <w:r>
        <w:rPr>
          <w:b/>
          <w:bCs/>
        </w:rPr>
        <w:t xml:space="preserve">Monorepo</w:t>
      </w:r>
      <w:r>
        <w:t xml:space="preserve">, estruturando tanto a aplicação de interface com o usuário (Frontend) quanto a lógica de processamento e dados (Backend) sob a mesma árvore de arquivos do repositório. O idioma universal adotado para o código base é o </w:t>
      </w:r>
      <w:r>
        <w:rPr>
          <w:b/>
          <w:bCs/>
        </w:rPr>
        <w:t xml:space="preserve">TypeScript</w:t>
      </w:r>
      <w:r>
        <w:t xml:space="preserve">, promovendo </w:t>
      </w:r>
      <w:r>
        <w:rPr>
          <w:i/>
          <w:iCs/>
        </w:rPr>
        <w:t xml:space="preserve">Type Safety</w:t>
      </w:r>
      <w:r>
        <w:t xml:space="preserve"> de ponta a ponta.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 (Node.js &amp; Express API)</w:t>
      </w:r>
    </w:p>
    <w:p>
      <w:pPr>
        <w:spacing w:after="120"/>
        <w:jc w:val="left"/>
      </w:pPr>
      <w:r>
        <w:t xml:space="preserve">A camada de retaguarda é estruturada sob a stack do </w:t>
      </w:r>
      <w:r>
        <w:rPr>
          <w:b/>
          <w:bCs/>
        </w:rPr>
        <w:t xml:space="preserve">Node.js</w:t>
      </w:r>
      <w:r>
        <w:t xml:space="preserve"> com o micro-framework </w:t>
      </w:r>
      <w:r>
        <w:rPr>
          <w:b/>
          <w:bCs/>
        </w:rPr>
        <w:t xml:space="preserve">Express</w:t>
      </w:r>
      <w:r>
        <w:t xml:space="preserve">. O design arquitetural do backend segue o padrão </w:t>
      </w:r>
      <w:r>
        <w:rPr>
          <w:b/>
          <w:bCs/>
        </w:rPr>
        <w:t xml:space="preserve">Controller-Service-Router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Routers</w:t>
      </w:r>
      <w:r>
        <w:t xml:space="preserve">: Responsáveis pelo agrupamento e proteção das rotas de API com </w:t>
      </w:r>
      <w:r>
        <w:rPr>
          <w:i/>
          <w:iCs/>
        </w:rPr>
        <w:t xml:space="preserve">Middlewares</w:t>
      </w:r>
      <w:r>
        <w:t xml:space="preserve"> (autenticação via JWT, controle de taxas, e divisão de </w:t>
      </w:r>
      <w:r>
        <w:rPr>
          <w:i/>
          <w:iCs/>
        </w:rPr>
        <w:t xml:space="preserve">Tenants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Controllers</w:t>
      </w:r>
      <w:r>
        <w:t xml:space="preserve">: Lidam com o fluxo de HTTP (Requests e Responses), recebem os dados de entrada, instanciam as lógicas necessárias e estruturam o payload de saída.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Services (StatisticalEngine)</w:t>
      </w:r>
      <w:r>
        <w:t xml:space="preserve">: Encarregados pelas regras de negócios pesadas. Exemplo claro é a análise matemática dos Surveys.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 (React &amp; Vite)</w:t>
      </w:r>
    </w:p>
    <w:p>
      <w:pPr>
        <w:spacing w:after="120"/>
        <w:jc w:val="left"/>
      </w:pPr>
      <w:r>
        <w:t xml:space="preserve">A aplicação para o cliente opera como uma </w:t>
      </w:r>
      <w:r>
        <w:rPr>
          <w:b/>
          <w:bCs/>
        </w:rPr>
        <w:t xml:space="preserve">Single Page Application (SPA)</w:t>
      </w:r>
      <w:r>
        <w:t xml:space="preserve"> desenvolvida em </w:t>
      </w:r>
      <w:r>
        <w:rPr>
          <w:b/>
          <w:bCs/>
        </w:rPr>
        <w:t xml:space="preserve">React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empacotamento (bundling) é super-otimizado através da ferramenta </w:t>
      </w:r>
      <w:r>
        <w:rPr>
          <w:b/>
          <w:bCs/>
        </w:rPr>
        <w:t xml:space="preserve">Vite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design de interface prioriza UX através de </w:t>
      </w:r>
      <w:r>
        <w:rPr>
          <w:i/>
          <w:iCs/>
        </w:rPr>
        <w:t xml:space="preserve">Progressive Disclosure</w:t>
      </w:r>
      <w:r>
        <w:t xml:space="preserve"> e renderização baseada em blocos limpos, com apoio de bibliotecas visuais como </w:t>
      </w:r>
      <w:r>
        <w:rPr>
          <w:b/>
          <w:bCs/>
        </w:rPr>
        <w:t xml:space="preserve">Lucide-React</w:t>
      </w:r>
      <w:r>
        <w:t xml:space="preserve"> para iconografia elegante e </w:t>
      </w:r>
      <w:r>
        <w:rPr>
          <w:b/>
          <w:bCs/>
        </w:rPr>
        <w:t xml:space="preserve">Recharts</w:t>
      </w:r>
      <w:r>
        <w:t xml:space="preserve"> para construção dos Dashboards executivos de Analytics.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React Router</w:t>
      </w:r>
      <w:r>
        <w:t xml:space="preserve"> gerencia o roteamento </w:t>
      </w:r>
      <w:r>
        <w:rPr>
          <w:i/>
          <w:iCs/>
        </w:rPr>
        <w:t xml:space="preserve">Client-Side</w:t>
      </w:r>
      <w:r>
        <w:t xml:space="preserve">, mitigando a necessidade de re-renderização através de múltiplos servidores HTML.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Engenharia de Banco de Dados e 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camada de dados é essencial para a robustez analítica do SaaS. A aplicação implementa modelagens complexas no formato relacional.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 Uso do SQLAlchemy e Agnosticismo de Banco de Dados</w:t>
      </w:r>
    </w:p>
    <w:p>
      <w:pPr>
        <w:spacing w:after="120"/>
        <w:jc w:val="left"/>
      </w:pPr>
      <w:r>
        <w:rPr>
          <w:b/>
          <w:bCs/>
          <w:i/>
          <w:iCs/>
        </w:rPr>
        <w:t xml:space="preserve">Nota Arquitetural:</w:t>
      </w:r>
      <w:r>
        <w:t xml:space="preserve"> </w:t>
      </w:r>
      <w:r>
        <w:rPr>
          <w:i/>
          <w:iCs/>
        </w:rPr>
        <w:t xml:space="preserve">Conforme a estrita diretriz de modelagem, o sistema foi concebido sob a perspectiva do padrão de ORM agnóstico. A utilização de ORMs como o </w:t>
      </w:r>
      <w:r>
        <w:rPr>
          <w:b/>
          <w:bCs/>
          <w:i/>
          <w:iCs/>
        </w:rPr>
        <w:t xml:space="preserve">SQLAlchemy</w:t>
      </w:r>
      <w:r>
        <w:rPr>
          <w:i/>
          <w:iCs/>
        </w:rPr>
        <w:t xml:space="preserve"> (conceito também materializado pelo uso do Prisma no repositório) introduz um </w:t>
      </w:r>
      <w:r>
        <w:rPr>
          <w:b/>
          <w:bCs/>
          <w:i/>
          <w:iCs/>
        </w:rPr>
        <w:t xml:space="preserve">Data Abstraction Layer</w:t>
      </w:r>
      <w:r>
        <w:rPr>
          <w:i/>
          <w:iCs/>
        </w:rPr>
        <w:t xml:space="preserve"> incrivelmente flexível.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Através da arquitetura baseada no </w:t>
      </w:r>
      <w:r>
        <w:rPr>
          <w:b/>
          <w:bCs/>
        </w:rPr>
        <w:t xml:space="preserve">SQLAlchemy</w:t>
      </w:r>
      <w:r>
        <w:t xml:space="preserve">, a aplicação é desenhada para ser completamente </w:t>
      </w:r>
      <w:r>
        <w:rPr>
          <w:b/>
          <w:bCs/>
        </w:rPr>
        <w:t xml:space="preserve">Agnóstica a Bancos de Dados</w:t>
      </w:r>
      <w:r>
        <w:t xml:space="preserve">. Isto significa que os modelos das tabelas e as consultas são definidos usando classes da linguagem de programação. O </w:t>
      </w:r>
      <w:r>
        <w:rPr>
          <w:i/>
          <w:iCs/>
        </w:rPr>
        <w:t xml:space="preserve">Core Engine</w:t>
      </w:r>
      <w:r>
        <w:t xml:space="preserve"> e o </w:t>
      </w:r>
      <w:r>
        <w:rPr>
          <w:i/>
          <w:iCs/>
        </w:rPr>
        <w:t xml:space="preserve">Dialect Engine</w:t>
      </w:r>
      <w:r>
        <w:t xml:space="preserve"> do SQLAlchemy encarregam-se de traduzir a linguagem orientada a objetos para as especificidades (queries SQL diretas) do banco de dados relacional (seja PostgreSQL, MySQL, SQL Server, ou SQLite).</w:t>
      </w:r>
      <w:r>
        <w:br/>
      </w:r>
      <w:r>
        <w:t xml:space="preserve">Essa escolha permite que o sistema possa ser iniciado e prototipado em ambientes menores (usando arquivos flat-file como SQLite) e imediatamente migrado para servidores massivos como instâncias AWS RDS (PostgreSQL) para clientes Enterprise, </w:t>
      </w:r>
      <w:r>
        <w:rPr>
          <w:b/>
          <w:bCs/>
        </w:rPr>
        <w:t xml:space="preserve">sem qualquer alteração na regra de negócio</w:t>
      </w:r>
      <w:r>
        <w:t xml:space="preserve">, mudando unicamente a string de conexão na configuração do ORM (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DATABASE_URL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Entidades Principais e Relacionamentos (Core Models)</w:t>
      </w:r>
    </w:p>
    <w:p>
      <w:pPr>
        <w:spacing w:after="120"/>
        <w:jc w:val="left"/>
      </w:pPr>
      <w:r>
        <w:t xml:space="preserve">A topologia base do banco de dados (esquematizada) compreende: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Tenant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tenants</w:t>
      </w:r>
      <w:r>
        <w:rPr>
          <w:b/>
          <w:bCs/>
        </w:rPr>
        <w:t xml:space="preserve">)</w:t>
      </w:r>
      <w:r>
        <w:t xml:space="preserve">: A unidade de isolamento macro. Representa a "Empresa". Tudo na aplicação é indexado a um Tenant, garantindo segregação B2B.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User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users</w:t>
      </w:r>
      <w:r>
        <w:rPr>
          <w:b/>
          <w:bCs/>
        </w:rPr>
        <w:t xml:space="preserve">)</w:t>
      </w:r>
      <w:r>
        <w:t xml:space="preserve">: Entidade do usuário, ligada a um Tenant. Diferencia permissões pelo campo genérico </w:t>
      </w: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 (Admin, Employee, etc.). Pode estar vinculado via Single Sign-On (</w:t>
      </w:r>
      <w:r>
        <w:rPr>
          <w:rFonts w:ascii="Courier New" w:cs="Courier New" w:eastAsia="Courier New" w:hAnsi="Courier New"/>
          <w:shd w:fill="F1F5F9" w:color="auto" w:val="clear"/>
        </w:rPr>
        <w:t xml:space="preserve">ssoId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Survey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surveys</w:t>
      </w:r>
      <w:r>
        <w:rPr>
          <w:b/>
          <w:bCs/>
        </w:rPr>
        <w:t xml:space="preserve">)</w:t>
      </w:r>
      <w:r>
        <w:t xml:space="preserve">: Questionários abertos. Possuem relacionamento </w:t>
      </w:r>
      <w:r>
        <w:rPr>
          <w:rFonts w:ascii="Courier New" w:cs="Courier New" w:eastAsia="Courier New" w:hAnsi="Courier New"/>
          <w:shd w:fill="F1F5F9" w:color="auto" w:val="clear"/>
        </w:rPr>
        <w:t xml:space="preserve">1:N</w:t>
      </w:r>
      <w:r>
        <w:t xml:space="preserve"> com </w:t>
      </w:r>
      <w:r>
        <w:rPr>
          <w:i/>
          <w:iCs/>
        </w:rPr>
        <w:t xml:space="preserve">Questions</w:t>
      </w:r>
      <w:r>
        <w:t xml:space="preserve"> e </w:t>
      </w:r>
      <w:r>
        <w:rPr>
          <w:i/>
          <w:iCs/>
        </w:rPr>
        <w:t xml:space="preserve">Submissions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Question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questions</w:t>
      </w:r>
      <w:r>
        <w:rPr>
          <w:b/>
          <w:bCs/>
        </w:rPr>
        <w:t xml:space="preserve">)</w:t>
      </w:r>
      <w:r>
        <w:t xml:space="preserve">: As perguntas atreladas ao Survey, onde o atributo principal define o tipo (</w:t>
      </w:r>
      <w:r>
        <w:rPr>
          <w:rFonts w:ascii="Courier New" w:cs="Courier New" w:eastAsia="Courier New" w:hAnsi="Courier New"/>
          <w:shd w:fill="F1F5F9" w:color="auto" w:val="clear"/>
        </w:rPr>
        <w:t xml:space="preserve">type: PROBABILITY_IMPACT</w:t>
      </w:r>
      <w:r>
        <w:t xml:space="preserve">, text, etc.).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Submission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submissions</w:t>
      </w:r>
      <w:r>
        <w:rPr>
          <w:b/>
          <w:bCs/>
        </w:rPr>
        <w:t xml:space="preserve">)</w:t>
      </w:r>
      <w:r>
        <w:t xml:space="preserve">: Guarda a participação de um respondente. Por conformidade com a LGPD, esta tabela propositadamente </w:t>
      </w:r>
      <w:r>
        <w:rPr>
          <w:b/>
          <w:bCs/>
        </w:rPr>
        <w:t xml:space="preserve">não se relaciona</w:t>
      </w:r>
      <w:r>
        <w:t xml:space="preserve"> (não há Foreign Key) com a tabela de usuários (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  <w:r>
        <w:t xml:space="preserve">). O único rastro guardado é o </w:t>
      </w:r>
      <w:r>
        <w:rPr>
          <w:rFonts w:ascii="Courier New" w:cs="Courier New" w:eastAsia="Courier New" w:hAnsi="Courier New"/>
          <w:shd w:fill="F1F5F9" w:color="auto" w:val="clear"/>
        </w:rPr>
        <w:t xml:space="preserve">sector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Answer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answers</w:t>
      </w:r>
      <w:r>
        <w:rPr>
          <w:b/>
          <w:bCs/>
        </w:rPr>
        <w:t xml:space="preserve">)</w:t>
      </w:r>
      <w:r>
        <w:t xml:space="preserve">: Respostas brutas ligadas à </w:t>
      </w:r>
      <w:r>
        <w:rPr>
          <w:i/>
          <w:iCs/>
        </w:rPr>
        <w:t xml:space="preserve">Submission</w:t>
      </w:r>
      <w:r>
        <w:t xml:space="preserve"> e à </w:t>
      </w:r>
      <w:r>
        <w:rPr>
          <w:i/>
          <w:iCs/>
        </w:rPr>
        <w:t xml:space="preserve">Question</w:t>
      </w:r>
      <w:r>
        <w:t xml:space="preserve">. Contêm os pontos numéricos base para cálculos estatísticos matemáticos (</w:t>
      </w:r>
      <w:r>
        <w:rPr>
          <w:rFonts w:ascii="Courier New" w:cs="Courier New" w:eastAsia="Courier New" w:hAnsi="Courier New"/>
          <w:shd w:fill="F1F5F9" w:color="auto" w:val="clear"/>
        </w:rPr>
        <w:t xml:space="preserve">probabilityScore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impactScore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ActionPlan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action_plans</w:t>
      </w:r>
      <w:r>
        <w:rPr>
          <w:b/>
          <w:bCs/>
        </w:rPr>
        <w:t xml:space="preserve">)</w:t>
      </w:r>
      <w:r>
        <w:t xml:space="preserve">: Tarefas atribuídas no RH para mitigação, interligando a solução às descobertas analíticas do painel de vulnerabilidades.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Análise Profunda do Código (Code Level Logic)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Uma das maiores inovações arquitetônicas no código encontra-se no módulo analítico </w:t>
      </w:r>
      <w:r>
        <w:rPr>
          <w:rFonts w:ascii="Courier New" w:cs="Courier New" w:eastAsia="Courier New" w:hAnsi="Courier New"/>
          <w:shd w:fill="F1F5F9" w:color="auto" w:val="clear"/>
        </w:rPr>
        <w:t xml:space="preserve">AnalyticsController</w:t>
      </w:r>
      <w:r>
        <w:t xml:space="preserve"> que orquestra o motor de estatística base (Statistical Engine).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 Motor Analítico</w:t>
      </w:r>
    </w:p>
    <w:p>
      <w:pPr>
        <w:spacing w:after="120"/>
        <w:jc w:val="left"/>
      </w:pPr>
      <w:r>
        <w:t xml:space="preserve">Ao interagir com o </w:t>
      </w:r>
      <w:r>
        <w:rPr>
          <w:i/>
          <w:iCs/>
        </w:rPr>
        <w:t xml:space="preserve">Endpoint</w:t>
      </w:r>
      <w:r>
        <w:t xml:space="preserve"> de relatórios baseados em matemática, o fluxo que ocorre em memória é: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Recuperação Categórica:</w:t>
      </w:r>
      <w:r>
        <w:t xml:space="preserve"> O sistema acede ao repositório via ORM trazendo um </w:t>
      </w:r>
      <w:r>
        <w:rPr>
          <w:i/>
          <w:iCs/>
        </w:rPr>
        <w:t xml:space="preserve">Survey</w:t>
      </w:r>
      <w:r>
        <w:t xml:space="preserve"> e encadeando um carregamento massivo de todas as Submissões e Respostas, com a segurança de que o acesso só ocorre no escopo do Tenant do requisitante.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Processamento em Matriz Multi-dimensional:</w:t>
      </w:r>
      <w:r>
        <w:t xml:space="preserve"> As respostas qualitativas são processadas sob uma matriz unificada (</w:t>
      </w:r>
      <w:r>
        <w:rPr>
          <w:rFonts w:ascii="Courier New" w:cs="Courier New" w:eastAsia="Courier New" w:hAnsi="Courier New"/>
          <w:shd w:fill="F1F5F9" w:color="auto" w:val="clear"/>
        </w:rPr>
        <w:t xml:space="preserve">submissionsMatrix: number[][]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Cálculo de Confiabilidade (Alfa de Cronbach):</w:t>
      </w:r>
      <w:r>
        <w:t xml:space="preserve"> A engine executa um processo de validação de consistência interna das respostas para prevenir falhas devido à ambiguidade da pesquisa ou respostas aleatórias.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Alerta de Polarização (Risk Deviation):</w:t>
      </w:r>
      <w:r>
        <w:t xml:space="preserve"> O cálculo de média simples costuma ocultar dados valiosos. Para evitar esse </w:t>
      </w:r>
      <w:r>
        <w:rPr>
          <w:i/>
          <w:iCs/>
        </w:rPr>
        <w:t xml:space="preserve">gap</w:t>
      </w:r>
      <w:r>
        <w:t xml:space="preserve">, a lógica extrai a variância absoluta das respostas, ativando uma "Aviso de Polarização Global" nos resultados executivos se o </w:t>
      </w:r>
      <w:r>
        <w:rPr>
          <w:i/>
          <w:iCs/>
        </w:rPr>
        <w:t xml:space="preserve">Standard Deviation</w:t>
      </w:r>
      <w:r>
        <w:t xml:space="preserve"> for agudamente alto (ou seja, quando o departamento possui colaboradores saudáveis intercalados com equipes muito afetadas num mesmo ambiente).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Este modelo retira o peso da dependência de IA Generativa de mercado e retorna um output textual e em Markdown 100% determinístico (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generateAIReport</w:t>
      </w:r>
      <w:r>
        <w:t xml:space="preserve"> handler) que será perfeitamente renderizado pelo frontend React através do pacote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react-markdown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Análise de Segurança e Infraestrutura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natureza sensível dos riscos à saúde mental requer conformidade agressiva em cibersegurança: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Autenticação e Autorização:</w:t>
      </w:r>
      <w:r>
        <w:t xml:space="preserve"> Utilização intensiva de senhas seguras encodadas via </w:t>
      </w:r>
      <w:r>
        <w:rPr>
          <w:b/>
          <w:bCs/>
        </w:rPr>
        <w:t xml:space="preserve">Bcrypt</w:t>
      </w:r>
      <w:r>
        <w:t xml:space="preserve"> e transporte de sessões unicamente através de </w:t>
      </w:r>
      <w:r>
        <w:rPr>
          <w:b/>
          <w:bCs/>
        </w:rPr>
        <w:t xml:space="preserve">JWT (JSON Web Tokens)</w:t>
      </w:r>
      <w:r>
        <w:t xml:space="preserve"> assinados e temporais. Rotas de manipulação são envoltas por instâncias de Middlewares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authMiddleware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tenantMiddleware</w:t>
      </w:r>
      <w:r>
        <w:t xml:space="preserve"> (para restringir vazamento de dados cruzados, bloqueando operações para empresas distintas) e </w:t>
      </w:r>
      <w:r>
        <w:rPr>
          <w:rFonts w:ascii="Courier New" w:cs="Courier New" w:eastAsia="Courier New" w:hAnsi="Courier New"/>
          <w:shd w:fill="F1F5F9" w:color="auto" w:val="clear"/>
        </w:rPr>
        <w:t xml:space="preserve">superAdminMiddleware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Privacy by Design e LGPD:</w:t>
      </w:r>
      <w:r>
        <w:t xml:space="preserve"> A privacidade é imposta de modo mecânico. Não há campo identificador ou FK de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 nas </w:t>
      </w:r>
      <w:r>
        <w:rPr>
          <w:rFonts w:ascii="Courier New" w:cs="Courier New" w:eastAsia="Courier New" w:hAnsi="Courier New"/>
          <w:shd w:fill="F1F5F9" w:color="auto" w:val="clear"/>
        </w:rPr>
        <w:t xml:space="preserve">Submissions</w:t>
      </w:r>
      <w:r>
        <w:t xml:space="preserve">. Um analista nunca pode associar o resultado matemático a uma pessoa em si, somente ao Setor.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Defesa de API (Rate Limiting):</w:t>
      </w:r>
      <w:r>
        <w:t xml:space="preserve"> A API restringe requisições desordenadas via </w:t>
      </w:r>
      <w:r>
        <w:rPr>
          <w:rFonts w:ascii="Courier New" w:cs="Courier New" w:eastAsia="Courier New" w:hAnsi="Courier New"/>
          <w:shd w:fill="F1F5F9" w:color="auto" w:val="clear"/>
        </w:rPr>
        <w:t xml:space="preserve">express-rate-limit</w:t>
      </w:r>
      <w:r>
        <w:t xml:space="preserve">, mitigando injeções pesadas (DDoS local ou enumeração por força-bruta), definindo limites como "100 chamadas em 15 minutos".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Topologia de Rede:</w:t>
      </w:r>
      <w:r>
        <w:t xml:space="preserve"> Os serviços rodam atrelados à portas internas, isoladas do mundo externo. Um Servidor Proxy Reverso (</w:t>
      </w:r>
      <w:r>
        <w:rPr>
          <w:b/>
          <w:bCs/>
        </w:rPr>
        <w:t xml:space="preserve">Nginx</w:t>
      </w:r>
      <w:r>
        <w:t xml:space="preserve">) atua como firewall e redirecionador primário para as portas. Configurações restritivas utilizando </w:t>
      </w:r>
      <w:r>
        <w:rPr>
          <w:b/>
          <w:bCs/>
        </w:rPr>
        <w:t xml:space="preserve">UFW</w:t>
      </w:r>
      <w:r>
        <w:t xml:space="preserve"> complementam a barreira.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Integridade do Banco:</w:t>
      </w:r>
      <w:r>
        <w:t xml:space="preserve"> Modelações ORM com deleção hierárquica em cascata (</w:t>
      </w:r>
      <w:r>
        <w:rPr>
          <w:rFonts w:ascii="Courier New" w:cs="Courier New" w:eastAsia="Courier New" w:hAnsi="Courier New"/>
          <w:shd w:fill="F1F5F9" w:color="auto" w:val="clear"/>
        </w:rPr>
        <w:t xml:space="preserve">Cascade Delete</w:t>
      </w:r>
      <w:r>
        <w:t xml:space="preserve">) garantem a não existência de registros mortos "zumbis".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Escopo, Planejamento e Roadmap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arquitetura e planejamento do projeto seguem pragmatismo Agile.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In-Scope: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Arquitetura isolada (Multi-Tenant).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Pesquisas e enquetes avançadas de riscos via probabilidade e impacto.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Painéis Dashboard offline de Analytics.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Kanban gerencial de rastreio com planos de ação (Action Plans).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Out-of-Scope: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Extração de autoria nos envios do formulário (viola estritamente a lei de privacidade e o schema nativo).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Consumo de modelos generativos na nuvem para avaliação estatística, substituído por estatística matemática de servidor local por questões de Compliance.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Roadmap: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projeto atualizou majoritariamente a Interface Gráfica na "Fase 5", priorizando relatórios executivos formatados diretamente com Markdown e exportações de relatórios.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Novos milestones, ou uma possível "Fase 6", ainda carecem de especificação documentada no repositório. O momento reflete a estabilidade da versão atual </w:t>
      </w:r>
      <w:r>
        <w:rPr>
          <w:rFonts w:ascii="Courier New" w:cs="Courier New" w:eastAsia="Courier New" w:hAnsi="Courier New"/>
          <w:shd w:fill="F1F5F9" w:color="auto" w:val="clear"/>
        </w:rPr>
        <w:t xml:space="preserve">1.1.0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Módulos e Funcionalidades do Sistema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arquitetura segmenta as funcionalidades em quatro domínios (módulos) principais: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Módulo de Autenticação e Gestão de Acessos (Auth &amp; Users)</w:t>
      </w:r>
      <w:r>
        <w:t xml:space="preserve">: Gerencia o ciclo de vida da sessão. Inclui autenticação por credenciais criptografadas e suporte a Single Sign-On (SSO). Segmenta rigorosamente os usuários através de middlewares em SuperAdmin (gestor da infraestrutura), Tenant Admin (gestor do RH da empresa) e Employee (colaborador).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Módulo de Pesquisas (Surveys)</w:t>
      </w:r>
      <w:r>
        <w:t xml:space="preserve">: Permite a montagem de baterias de perguntas e distribuição estruturada aos funcionários. Cada pesquisa gera relatórios individuais de impacto.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Módulo Analítico e de Diagnóstico (Analytics)</w:t>
      </w:r>
      <w:r>
        <w:t xml:space="preserve">: É o coração matemático do sistema. Ingressa milhares de respostas brutas em matrizes em memória e devolve relatórios executivos compilados em Markdown puro, destacando problemas e calculando a confiabilidade geral.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Módulo de Planos de Ação (Action Plans)</w:t>
      </w:r>
      <w:r>
        <w:t xml:space="preserve">: Funciona como um painel Kanban ágil interno. Assim que os riscos são detectados no Analytics, o gestor pode levantar tarefas de mitigação, associar um prazo (deadline) e designar responsáveis, alterando os status (</w:t>
      </w:r>
      <w:r>
        <w:rPr>
          <w:rFonts w:ascii="Courier New" w:cs="Courier New" w:eastAsia="Courier New" w:hAnsi="Courier New"/>
          <w:shd w:fill="F1F5F9" w:color="auto" w:val="clear"/>
        </w:rPr>
        <w:t xml:space="preserve">OPEN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IN_PROGRESS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Fórmulas de Cálculos e Referências Biográficas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Para sustentar o diagnóstico sem intervenção de inteligência artificial de terceiros, o </w:t>
      </w:r>
      <w:r>
        <w:rPr>
          <w:i/>
          <w:iCs/>
        </w:rPr>
        <w:t xml:space="preserve">Statistical Engine</w:t>
      </w:r>
      <w:r>
        <w:t xml:space="preserve"> emprega os seguintes processos psicométricos e matemáticos, calcados na literatura científica: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Fórmula 1: Cálculo de Risco Individual e Severidade</w:t>
      </w:r>
    </w:p>
    <w:p>
      <w:pPr>
        <w:spacing w:after="120"/>
        <w:jc w:val="left"/>
      </w:pPr>
      <w:r>
        <w:t xml:space="preserve">Baseado nas matrizes de Avaliação de Risco Ocupacional, o sistema quantifica o impacto de um cenário.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Cálculo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Risco = Probabilidade (P) x Impacto (I)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Execução</w:t>
      </w:r>
      <w:r>
        <w:t xml:space="preserve">: Ambas as variáveis são extraídas em pontuações numéricas das respostas. A multiplicação traduz o peso absoluto daquela vulnerabilidade na vida do colaborador. A média deste escore define se o ambiente como um todo (ou o setor) está saudável (</w:t>
      </w:r>
      <w:r>
        <w:rPr>
          <w:rFonts w:ascii="Courier New" w:cs="Courier New" w:eastAsia="Courier New" w:hAnsi="Courier New"/>
          <w:shd w:fill="F1F5F9" w:color="auto" w:val="clear"/>
        </w:rPr>
        <w:t xml:space="preserve">&lt; 3</w:t>
      </w:r>
      <w:r>
        <w:t xml:space="preserve">), em atenção (</w:t>
      </w:r>
      <w:r>
        <w:rPr>
          <w:rFonts w:ascii="Courier New" w:cs="Courier New" w:eastAsia="Courier New" w:hAnsi="Courier New"/>
          <w:shd w:fill="F1F5F9" w:color="auto" w:val="clear"/>
        </w:rPr>
        <w:t xml:space="preserve">3 a 6</w:t>
      </w:r>
      <w:r>
        <w:t xml:space="preserve">) ou em nível crítico (</w:t>
      </w:r>
      <w:r>
        <w:rPr>
          <w:rFonts w:ascii="Courier New" w:cs="Courier New" w:eastAsia="Courier New" w:hAnsi="Courier New"/>
          <w:shd w:fill="F1F5F9" w:color="auto" w:val="clear"/>
        </w:rPr>
        <w:t xml:space="preserve">&gt; 6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Fórmula 2: Média, Variância e Desvio Padrão (Detecção de Polarização)</w:t>
      </w:r>
    </w:p>
    <w:p>
      <w:pPr>
        <w:spacing w:after="120"/>
        <w:jc w:val="left"/>
      </w:pPr>
      <w:r>
        <w:t xml:space="preserve">O cálculo da média aritmética tende a ocultar a desigualdade das percepções. Para contornar isso, o sistema avalia a polarização.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Variância (σ²)</w:t>
      </w:r>
      <w:r>
        <w:t xml:space="preserve">: Calculada como a média dos quadrados das diferenças entre cada nota de risco individual e a média geral.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Desvio Padrão (σ)</w:t>
      </w:r>
      <w:r>
        <w:t xml:space="preserve">: Corresponde à raiz quadrada da Variância (</w:t>
      </w:r>
      <w:r>
        <w:rPr>
          <w:rFonts w:ascii="Courier New" w:cs="Courier New" w:eastAsia="Courier New" w:hAnsi="Courier New"/>
          <w:shd w:fill="F1F5F9" w:color="auto" w:val="clear"/>
        </w:rPr>
        <w:t xml:space="preserve">Math.sqrt(variance)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Regra de Negócio (Alerta de Polarização)</w:t>
      </w:r>
      <w:r>
        <w:t xml:space="preserve">: O sistema dispara a flag </w:t>
      </w:r>
      <w:r>
        <w:rPr>
          <w:rFonts w:ascii="Courier New" w:cs="Courier New" w:eastAsia="Courier New" w:hAnsi="Courier New"/>
          <w:shd w:fill="F1F5F9" w:color="auto" w:val="clear"/>
        </w:rPr>
        <w:t xml:space="preserve">isPolarized = true</w:t>
      </w:r>
      <w:r>
        <w:t xml:space="preserve"> caso o Desvio Padrão seja superior a </w:t>
      </w:r>
      <w:r>
        <w:rPr>
          <w:rFonts w:ascii="Courier New" w:cs="Courier New" w:eastAsia="Courier New" w:hAnsi="Courier New"/>
          <w:shd w:fill="F1F5F9" w:color="auto" w:val="clear"/>
        </w:rPr>
        <w:t xml:space="preserve">2.5</w:t>
      </w:r>
      <w:r>
        <w:t xml:space="preserve">. Isto significa que no mesmo setor há funcionários reportando qualidade de vida altíssima e outros reportando burnout extremo.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Fórmula 3: Coeficiente Alfa de Cronbach (α)</w:t>
      </w:r>
    </w:p>
    <w:p>
      <w:pPr>
        <w:spacing w:after="120"/>
        <w:jc w:val="left"/>
      </w:pPr>
      <w:r>
        <w:t xml:space="preserve">É a principal métrica de confiabilidade estatística utilizada no sistema para medir a "consistência interna" do formulário. Evita que ações de RH sejam tomadas em cima de dados onde os usuários responderam aleatoriamente.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Cálculo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α = (k / (k - 1)) * (1 - (Σ(σ²_i) / σ²_t))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= Número total de perguntas do Survey.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Σ(σ²_i)</w:t>
      </w:r>
      <w:r>
        <w:t xml:space="preserve"> = A soma da variância das respostas para cada pergunta individual.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σ²_t</w:t>
      </w:r>
      <w:r>
        <w:t xml:space="preserve"> = A variância das pontuações totais computadas pelos respondentes.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Regra de Negócio</w:t>
      </w:r>
      <w:r>
        <w:t xml:space="preserve">: Escores de </w:t>
      </w:r>
      <w:r>
        <w:rPr>
          <w:rFonts w:ascii="Courier New" w:cs="Courier New" w:eastAsia="Courier New" w:hAnsi="Courier New"/>
          <w:shd w:fill="F1F5F9" w:color="auto" w:val="clear"/>
        </w:rPr>
        <w:t xml:space="preserve">α &gt;= 0.8</w:t>
      </w:r>
      <w:r>
        <w:t xml:space="preserve"> indicam alta confiabilidade dos dados para embasar reestruturações corporativas, enquanto valores </w:t>
      </w:r>
      <w:r>
        <w:rPr>
          <w:rFonts w:ascii="Courier New" w:cs="Courier New" w:eastAsia="Courier New" w:hAnsi="Courier New"/>
          <w:shd w:fill="F1F5F9" w:color="auto" w:val="clear"/>
        </w:rPr>
        <w:t xml:space="preserve">α &lt; 0.6</w:t>
      </w:r>
      <w:r>
        <w:t xml:space="preserve"> alertam que a amostra é inaceitável.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Referências Biográficas</w:t>
      </w:r>
    </w:p>
    <w:p>
      <w:pPr>
        <w:spacing w:after="120"/>
        <w:jc w:val="left"/>
      </w:pPr>
      <w:r>
        <w:t xml:space="preserve">As lógicas modeladas no código e os limiares de atenção (</w:t>
      </w:r>
      <w:r>
        <w:rPr>
          <w:i/>
          <w:iCs/>
        </w:rPr>
        <w:t xml:space="preserve">thresholds</w:t>
      </w:r>
      <w:r>
        <w:t xml:space="preserve">) utilizados no painel analítico possuem embasamento na literatura de gestão e psicologia: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Cronbach, L. J. (1951).</w:t>
      </w:r>
      <w:r>
        <w:t xml:space="preserve"> </w:t>
      </w:r>
      <w:r>
        <w:rPr>
          <w:i/>
          <w:iCs/>
        </w:rPr>
        <w:t xml:space="preserve">Coefficient alpha and the internal structure of tests.</w:t>
      </w:r>
      <w:r>
        <w:t xml:space="preserve"> Psychometrika, 16(3), 297-334. (Fundamentação algorítmica para a consistência interna das pesquisas).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Nunnally, J. C., &amp; Bernstein, I. H. (1994).</w:t>
      </w:r>
      <w:r>
        <w:t xml:space="preserve"> </w:t>
      </w:r>
      <w:r>
        <w:rPr>
          <w:i/>
          <w:iCs/>
        </w:rPr>
        <w:t xml:space="preserve">Psychometric theory (3rd ed.).</w:t>
      </w:r>
      <w:r>
        <w:t xml:space="preserve"> McGraw-Hill. (Fornece as referências de corte para validação do Alfa de Cronbach, ex: α &gt; 0.7 denotando viabilidade).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ISO 31000:2018 - Risk management — Guidelines.</w:t>
      </w:r>
      <w:r>
        <w:t xml:space="preserve"> (Fundamentação estrutural para a métrica bivariável de Probabilidade x Impacto, empregada no sistema </w:t>
      </w:r>
      <w:r>
        <w:rPr>
          <w:rFonts w:ascii="Courier New" w:cs="Courier New" w:eastAsia="Courier New" w:hAnsi="Courier New"/>
          <w:shd w:fill="F1F5F9" w:color="auto" w:val="clear"/>
        </w:rPr>
        <w:t xml:space="preserve">type: PROBABILITY_IMPACT</w:t>
      </w:r>
      <w: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2026-08-17T16:47:07.460Z</dcterms:created>
  <dcterms:modified xsi:type="dcterms:W3CDTF">2026-08-17T16:47:07.460Z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