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E8" w:sz="1"/>
              <w:left w:val="single" w:color="B4C8E8" w:sz="1"/>
              <w:bottom w:val="single" w:color="B4C8E8" w:sz="1"/>
              <w:right w:val="single" w:color="B4C8E8" w:sz="1"/>
            </w:tcBorders>
            <w:shd w:fill="1F3864" w:val="clear"/>
            <w:tcMar>
              <w:top w:type="dxa" w:w="440"/>
              <w:left w:type="dxa" w:w="400"/>
              <w:bottom w:type="dxa" w:w="440"/>
              <w:right w:type="dxa" w:w="400"/>
            </w:tcMar>
          </w:tcPr>
          <w:p>
            <w:pPr>
              <w:jc w:val="center"/>
            </w:pPr>
            <w:r>
              <w:rPr>
                <w:rFonts w:ascii="Arial" w:cs="Arial" w:eastAsia="Arial" w:hAnsi="Arial"/>
                <w:b/>
                <w:bCs/>
                <w:color w:val="FFFFFF"/>
                <w:sz w:val="56"/>
                <w:szCs w:val="56"/>
              </w:rPr>
              <w:t xml:space="preserve">WHS / COMPLIANCE COURSES</w:t>
            </w:r>
          </w:p>
          <w:p>
            <w:pPr>
              <w:spacing w:after="0" w:before="100"/>
            </w:pPr>
            <w:r>
              <w:t xml:space="preserve"/>
            </w:r>
          </w:p>
          <w:p>
            <w:pPr>
              <w:jc w:val="center"/>
            </w:pPr>
            <w:r>
              <w:rPr>
                <w:rFonts w:ascii="Arial" w:cs="Arial" w:eastAsia="Arial" w:hAnsi="Arial"/>
                <w:i/>
                <w:iCs/>
                <w:color w:val="C9D9F0"/>
                <w:sz w:val="26"/>
                <w:szCs w:val="26"/>
              </w:rPr>
              <w:t xml:space="preserve">Complete Professional Course Curriculum</w:t>
            </w:r>
          </w:p>
          <w:p>
            <w:pPr>
              <w:spacing w:after="0" w:before="60"/>
            </w:pPr>
            <w:r>
              <w:t xml:space="preserve"/>
            </w:r>
          </w:p>
          <w:p>
            <w:pPr>
              <w:jc w:val="center"/>
            </w:pPr>
            <w:r>
              <w:rPr>
                <w:rFonts w:ascii="Arial" w:cs="Arial" w:eastAsia="Arial" w:hAnsi="Arial"/>
                <w:color w:val="A4BDD9"/>
                <w:sz w:val="21"/>
                <w:szCs w:val="21"/>
              </w:rPr>
              <w:t xml:space="preserve">9 Courses  |  Australian WHS Legislation Aligned  |  IICRC Best Practices</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8E8" w:sz="1"/>
              <w:left w:val="single" w:color="B4C8E8" w:sz="1"/>
              <w:bottom w:val="single" w:color="B4C8E8" w:sz="1"/>
              <w:right w:val="single" w:color="B4C8E8" w:sz="1"/>
            </w:tcBorders>
            <w:shd w:fill="D6E4F7" w:val="clear"/>
            <w:tcMar>
              <w:top w:type="dxa" w:w="110"/>
              <w:left w:type="dxa" w:w="140"/>
              <w:bottom w:type="dxa" w:w="110"/>
              <w:right w:type="dxa" w:w="140"/>
            </w:tcMar>
          </w:tcPr>
          <w:p>
            <w:pPr>
              <w:jc w:val="center"/>
            </w:pPr>
            <w:r>
              <w:rPr>
                <w:rFonts w:ascii="Arial" w:cs="Arial" w:eastAsia="Arial" w:hAnsi="Arial"/>
                <w:b/>
                <w:bCs/>
                <w:color w:val="1F3864"/>
                <w:sz w:val="20"/>
                <w:szCs w:val="20"/>
              </w:rPr>
              <w:t xml:space="preserve">MODEL WHS ACT</w:t>
            </w:r>
          </w:p>
          <w:p>
            <w:pPr>
              <w:jc w:val="center"/>
            </w:pPr>
            <w:r>
              <w:rPr>
                <w:rFonts w:ascii="Arial" w:cs="Arial" w:eastAsia="Arial" w:hAnsi="Arial"/>
                <w:color w:val="555555"/>
                <w:sz w:val="18"/>
                <w:szCs w:val="18"/>
              </w:rPr>
              <w:t xml:space="preserve">&amp; Regulations 2011</w:t>
            </w:r>
          </w:p>
        </w:tc>
        <w:tc>
          <w:tcPr>
            <w:tcW w:type="dxa" w:w="3120"/>
            <w:tcBorders>
              <w:top w:val="single" w:color="B4C8E8" w:sz="1"/>
              <w:left w:val="single" w:color="B4C8E8" w:sz="1"/>
              <w:bottom w:val="single" w:color="B4C8E8" w:sz="1"/>
              <w:right w:val="single" w:color="B4C8E8" w:sz="1"/>
            </w:tcBorders>
            <w:shd w:fill="D6E4F7" w:val="clear"/>
            <w:tcMar>
              <w:top w:type="dxa" w:w="110"/>
              <w:left w:type="dxa" w:w="140"/>
              <w:bottom w:type="dxa" w:w="110"/>
              <w:right w:type="dxa" w:w="140"/>
            </w:tcMar>
          </w:tcPr>
          <w:p>
            <w:pPr>
              <w:jc w:val="center"/>
            </w:pPr>
            <w:r>
              <w:rPr>
                <w:rFonts w:ascii="Arial" w:cs="Arial" w:eastAsia="Arial" w:hAnsi="Arial"/>
                <w:b/>
                <w:bCs/>
                <w:color w:val="1F3864"/>
                <w:sz w:val="20"/>
                <w:szCs w:val="20"/>
              </w:rPr>
              <w:t xml:space="preserve">IICRC STANDARDS</w:t>
            </w:r>
          </w:p>
          <w:p>
            <w:pPr>
              <w:jc w:val="center"/>
            </w:pPr>
            <w:r>
              <w:rPr>
                <w:rFonts w:ascii="Arial" w:cs="Arial" w:eastAsia="Arial" w:hAnsi="Arial"/>
                <w:color w:val="555555"/>
                <w:sz w:val="18"/>
                <w:szCs w:val="18"/>
              </w:rPr>
              <w:t xml:space="preserve">S500 | S520 | S100</w:t>
            </w:r>
          </w:p>
        </w:tc>
        <w:tc>
          <w:tcPr>
            <w:tcW w:type="dxa" w:w="3120"/>
            <w:tcBorders>
              <w:top w:val="single" w:color="B4C8E8" w:sz="1"/>
              <w:left w:val="single" w:color="B4C8E8" w:sz="1"/>
              <w:bottom w:val="single" w:color="B4C8E8" w:sz="1"/>
              <w:right w:val="single" w:color="B4C8E8" w:sz="1"/>
            </w:tcBorders>
            <w:shd w:fill="D6E4F7" w:val="clear"/>
            <w:tcMar>
              <w:top w:type="dxa" w:w="110"/>
              <w:left w:type="dxa" w:w="140"/>
              <w:bottom w:type="dxa" w:w="110"/>
              <w:right w:type="dxa" w:w="140"/>
            </w:tcMar>
          </w:tcPr>
          <w:p>
            <w:pPr>
              <w:jc w:val="center"/>
            </w:pPr>
            <w:r>
              <w:rPr>
                <w:rFonts w:ascii="Arial" w:cs="Arial" w:eastAsia="Arial" w:hAnsi="Arial"/>
                <w:b/>
                <w:bCs/>
                <w:color w:val="1F3864"/>
                <w:sz w:val="20"/>
                <w:szCs w:val="20"/>
              </w:rPr>
              <w:t xml:space="preserve">SAFE WORK AUS</w:t>
            </w:r>
          </w:p>
          <w:p>
            <w:pPr>
              <w:jc w:val="center"/>
            </w:pPr>
            <w:r>
              <w:rPr>
                <w:rFonts w:ascii="Arial" w:cs="Arial" w:eastAsia="Arial" w:hAnsi="Arial"/>
                <w:color w:val="555555"/>
                <w:sz w:val="18"/>
                <w:szCs w:val="18"/>
              </w:rPr>
              <w:t xml:space="preserve">WES &amp; Guidelines</w:t>
            </w:r>
          </w:p>
        </w:tc>
      </w:tr>
    </w:tbl>
    <w:p>
      <w:pPr>
        <w:spacing w:after="0" w:before="280"/>
      </w:pPr>
      <w:r>
        <w:t xml:space="preserve"/>
      </w:r>
    </w:p>
    <w:p>
      <w:pPr>
        <w:jc w:val="center"/>
      </w:pPr>
      <w:r>
        <w:rPr>
          <w:rFonts w:ascii="Arial" w:cs="Arial" w:eastAsia="Arial" w:hAnsi="Arial"/>
          <w:color w:val="888888"/>
          <w:sz w:val="20"/>
          <w:szCs w:val="20"/>
        </w:rPr>
        <w:t xml:space="preserve">CARSI — Cleaning and Restoration Standards Institute of Australia  |  carsi.com.au</w:t>
      </w:r>
    </w:p>
    <w:p>
      <w:r>
        <w:br w:type="page"/>
      </w:r>
    </w:p>
    <w:p>
      <w:pPr>
        <w:pStyle w:val="Heading1"/>
        <w:spacing w:after="100" w:before="260"/>
      </w:pPr>
      <w:r>
        <w:rPr>
          <w:rFonts w:ascii="Arial" w:cs="Arial" w:eastAsia="Arial" w:hAnsi="Arial"/>
          <w:b/>
          <w:bCs/>
          <w:color w:val="1F3864"/>
          <w:sz w:val="30"/>
          <w:szCs w:val="30"/>
        </w:rPr>
        <w:t xml:space="preserve">SERIES OVERVIEW</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The CARSI WHS / Compliance Course Series provides restoration, cleaning, and remediation professionals with the complete safety documentation, risk management, and compliance framework required to operate lawfully and safely under Australian Work Health and Safety legislation. Each course translates legal obligations into practical, job-site-ready skills.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600"/>
        <w:gridCol w:w="1960"/>
        <w:gridCol w:w="2320"/>
      </w:tblGrid>
      <w:tr>
        <w:tc>
          <w:tcPr>
            <w:tcW w:type="dxa" w:w="480"/>
            <w:tcBorders>
              <w:top w:val="single" w:color="B4C8E8" w:sz="1"/>
              <w:left w:val="single" w:color="B4C8E8" w:sz="1"/>
              <w:bottom w:val="single" w:color="B4C8E8" w:sz="1"/>
              <w:right w:val="single" w:color="B4C8E8"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4600"/>
            <w:tcBorders>
              <w:top w:val="single" w:color="B4C8E8" w:sz="1"/>
              <w:left w:val="single" w:color="B4C8E8" w:sz="1"/>
              <w:bottom w:val="single" w:color="B4C8E8" w:sz="1"/>
              <w:right w:val="single" w:color="B4C8E8"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Course Title</w:t>
            </w:r>
          </w:p>
        </w:tc>
        <w:tc>
          <w:tcPr>
            <w:tcW w:type="dxa" w:w="1960"/>
            <w:tcBorders>
              <w:top w:val="single" w:color="B4C8E8" w:sz="1"/>
              <w:left w:val="single" w:color="B4C8E8" w:sz="1"/>
              <w:bottom w:val="single" w:color="B4C8E8" w:sz="1"/>
              <w:right w:val="single" w:color="B4C8E8"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Modules</w:t>
            </w:r>
          </w:p>
        </w:tc>
        <w:tc>
          <w:tcPr>
            <w:tcW w:type="dxa" w:w="2320"/>
            <w:tcBorders>
              <w:top w:val="single" w:color="B4C8E8" w:sz="1"/>
              <w:left w:val="single" w:color="B4C8E8" w:sz="1"/>
              <w:bottom w:val="single" w:color="B4C8E8" w:sz="1"/>
              <w:right w:val="single" w:color="B4C8E8"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Price (AUD)</w:t>
            </w:r>
          </w:p>
        </w:tc>
      </w:tr>
      <w:tr>
        <w:tc>
          <w:tcPr>
            <w:tcW w:type="dxa" w:w="480"/>
            <w:tcBorders>
              <w:top w:val="single" w:color="B4C8E8" w:sz="1"/>
              <w:left w:val="single" w:color="B4C8E8" w:sz="1"/>
              <w:bottom w:val="single" w:color="B4C8E8" w:sz="1"/>
              <w:right w:val="single" w:color="B4C8E8" w:sz="1"/>
            </w:tcBorders>
            <w:shd w:fill="FFFFFF"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22</w:t>
            </w:r>
          </w:p>
        </w:tc>
        <w:tc>
          <w:tcPr>
            <w:tcW w:type="dxa" w:w="460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r>
              <w:rPr>
                <w:rFonts w:ascii="Arial" w:cs="Arial" w:eastAsia="Arial" w:hAnsi="Arial"/>
                <w:color w:val="2C2C2C"/>
                <w:sz w:val="19"/>
                <w:szCs w:val="19"/>
              </w:rPr>
              <w:t xml:space="preserve">Introduction to Asbestos: Asbestos Awareness</w:t>
            </w:r>
          </w:p>
        </w:tc>
        <w:tc>
          <w:tcPr>
            <w:tcW w:type="dxa" w:w="196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9</w:t>
            </w:r>
          </w:p>
        </w:tc>
        <w:tc>
          <w:tcPr>
            <w:tcW w:type="dxa" w:w="232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$29</w:t>
            </w:r>
          </w:p>
        </w:tc>
      </w:tr>
      <w:tr>
        <w:tc>
          <w:tcPr>
            <w:tcW w:type="dxa" w:w="480"/>
            <w:tcBorders>
              <w:top w:val="single" w:color="B4C8E8" w:sz="1"/>
              <w:left w:val="single" w:color="B4C8E8" w:sz="1"/>
              <w:bottom w:val="single" w:color="B4C8E8" w:sz="1"/>
              <w:right w:val="single" w:color="B4C8E8" w:sz="1"/>
            </w:tcBorders>
            <w:shd w:fill="EEF4FB"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30</w:t>
            </w:r>
          </w:p>
        </w:tc>
        <w:tc>
          <w:tcPr>
            <w:tcW w:type="dxa" w:w="460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r>
              <w:rPr>
                <w:rFonts w:ascii="Arial" w:cs="Arial" w:eastAsia="Arial" w:hAnsi="Arial"/>
                <w:color w:val="2C2C2C"/>
                <w:sz w:val="19"/>
                <w:szCs w:val="19"/>
              </w:rPr>
              <w:t xml:space="preserve">Safety Data Sheet (SDS) Course</w:t>
            </w:r>
          </w:p>
        </w:tc>
        <w:tc>
          <w:tcPr>
            <w:tcW w:type="dxa" w:w="196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pPr>
              <w:jc w:val="center"/>
            </w:pPr>
            <w:r>
              <w:rPr>
                <w:rFonts w:ascii="Arial" w:cs="Arial" w:eastAsia="Arial" w:hAnsi="Arial"/>
                <w:color w:val="2C2C2C"/>
                <w:sz w:val="19"/>
                <w:szCs w:val="19"/>
              </w:rPr>
              <w:t xml:space="preserve">1</w:t>
            </w:r>
          </w:p>
        </w:tc>
        <w:tc>
          <w:tcPr>
            <w:tcW w:type="dxa" w:w="232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pPr>
              <w:jc w:val="center"/>
            </w:pPr>
            <w:r>
              <w:rPr>
                <w:rFonts w:ascii="Arial" w:cs="Arial" w:eastAsia="Arial" w:hAnsi="Arial"/>
                <w:color w:val="2C2C2C"/>
                <w:sz w:val="19"/>
                <w:szCs w:val="19"/>
              </w:rPr>
              <w:t xml:space="preserve">$20</w:t>
            </w:r>
          </w:p>
        </w:tc>
      </w:tr>
      <w:tr>
        <w:tc>
          <w:tcPr>
            <w:tcW w:type="dxa" w:w="480"/>
            <w:tcBorders>
              <w:top w:val="single" w:color="B4C8E8" w:sz="1"/>
              <w:left w:val="single" w:color="B4C8E8" w:sz="1"/>
              <w:bottom w:val="single" w:color="B4C8E8" w:sz="1"/>
              <w:right w:val="single" w:color="B4C8E8" w:sz="1"/>
            </w:tcBorders>
            <w:shd w:fill="FFFFFF"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29</w:t>
            </w:r>
          </w:p>
        </w:tc>
        <w:tc>
          <w:tcPr>
            <w:tcW w:type="dxa" w:w="460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r>
              <w:rPr>
                <w:rFonts w:ascii="Arial" w:cs="Arial" w:eastAsia="Arial" w:hAnsi="Arial"/>
                <w:color w:val="2C2C2C"/>
                <w:sz w:val="19"/>
                <w:szCs w:val="19"/>
              </w:rPr>
              <w:t xml:space="preserve">Standard Operating Procedures (SOP) Course</w:t>
            </w:r>
          </w:p>
        </w:tc>
        <w:tc>
          <w:tcPr>
            <w:tcW w:type="dxa" w:w="196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1</w:t>
            </w:r>
          </w:p>
        </w:tc>
        <w:tc>
          <w:tcPr>
            <w:tcW w:type="dxa" w:w="232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$20</w:t>
            </w:r>
          </w:p>
        </w:tc>
      </w:tr>
      <w:tr>
        <w:tc>
          <w:tcPr>
            <w:tcW w:type="dxa" w:w="480"/>
            <w:tcBorders>
              <w:top w:val="single" w:color="B4C8E8" w:sz="1"/>
              <w:left w:val="single" w:color="B4C8E8" w:sz="1"/>
              <w:bottom w:val="single" w:color="B4C8E8" w:sz="1"/>
              <w:right w:val="single" w:color="B4C8E8" w:sz="1"/>
            </w:tcBorders>
            <w:shd w:fill="EEF4FB"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31</w:t>
            </w:r>
          </w:p>
        </w:tc>
        <w:tc>
          <w:tcPr>
            <w:tcW w:type="dxa" w:w="460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r>
              <w:rPr>
                <w:rFonts w:ascii="Arial" w:cs="Arial" w:eastAsia="Arial" w:hAnsi="Arial"/>
                <w:color w:val="2C2C2C"/>
                <w:sz w:val="19"/>
                <w:szCs w:val="19"/>
              </w:rPr>
              <w:t xml:space="preserve">Safe Work Method Statements (SWMS) Course</w:t>
            </w:r>
          </w:p>
        </w:tc>
        <w:tc>
          <w:tcPr>
            <w:tcW w:type="dxa" w:w="196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pPr>
              <w:jc w:val="center"/>
            </w:pPr>
            <w:r>
              <w:rPr>
                <w:rFonts w:ascii="Arial" w:cs="Arial" w:eastAsia="Arial" w:hAnsi="Arial"/>
                <w:color w:val="2C2C2C"/>
                <w:sz w:val="19"/>
                <w:szCs w:val="19"/>
              </w:rPr>
              <w:t xml:space="preserve">1</w:t>
            </w:r>
          </w:p>
        </w:tc>
        <w:tc>
          <w:tcPr>
            <w:tcW w:type="dxa" w:w="232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pPr>
              <w:jc w:val="center"/>
            </w:pPr>
            <w:r>
              <w:rPr>
                <w:rFonts w:ascii="Arial" w:cs="Arial" w:eastAsia="Arial" w:hAnsi="Arial"/>
                <w:color w:val="2C2C2C"/>
                <w:sz w:val="19"/>
                <w:szCs w:val="19"/>
              </w:rPr>
              <w:t xml:space="preserve">$20</w:t>
            </w:r>
          </w:p>
        </w:tc>
      </w:tr>
      <w:tr>
        <w:tc>
          <w:tcPr>
            <w:tcW w:type="dxa" w:w="480"/>
            <w:tcBorders>
              <w:top w:val="single" w:color="B4C8E8" w:sz="1"/>
              <w:left w:val="single" w:color="B4C8E8" w:sz="1"/>
              <w:bottom w:val="single" w:color="B4C8E8" w:sz="1"/>
              <w:right w:val="single" w:color="B4C8E8" w:sz="1"/>
            </w:tcBorders>
            <w:shd w:fill="FFFFFF"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40</w:t>
            </w:r>
          </w:p>
        </w:tc>
        <w:tc>
          <w:tcPr>
            <w:tcW w:type="dxa" w:w="460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r>
              <w:rPr>
                <w:rFonts w:ascii="Arial" w:cs="Arial" w:eastAsia="Arial" w:hAnsi="Arial"/>
                <w:color w:val="2C2C2C"/>
                <w:sz w:val="19"/>
                <w:szCs w:val="19"/>
              </w:rPr>
              <w:t xml:space="preserve">Job Safety and Environmental Analysis (JSEA) Course</w:t>
            </w:r>
          </w:p>
        </w:tc>
        <w:tc>
          <w:tcPr>
            <w:tcW w:type="dxa" w:w="196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2</w:t>
            </w:r>
          </w:p>
        </w:tc>
        <w:tc>
          <w:tcPr>
            <w:tcW w:type="dxa" w:w="232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$20</w:t>
            </w:r>
          </w:p>
        </w:tc>
      </w:tr>
      <w:tr>
        <w:tc>
          <w:tcPr>
            <w:tcW w:type="dxa" w:w="480"/>
            <w:tcBorders>
              <w:top w:val="single" w:color="B4C8E8" w:sz="1"/>
              <w:left w:val="single" w:color="B4C8E8" w:sz="1"/>
              <w:bottom w:val="single" w:color="B4C8E8" w:sz="1"/>
              <w:right w:val="single" w:color="B4C8E8" w:sz="1"/>
            </w:tcBorders>
            <w:shd w:fill="EEF4FB"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32</w:t>
            </w:r>
          </w:p>
        </w:tc>
        <w:tc>
          <w:tcPr>
            <w:tcW w:type="dxa" w:w="460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r>
              <w:rPr>
                <w:rFonts w:ascii="Arial" w:cs="Arial" w:eastAsia="Arial" w:hAnsi="Arial"/>
                <w:color w:val="2C2C2C"/>
                <w:sz w:val="19"/>
                <w:szCs w:val="19"/>
              </w:rPr>
              <w:t xml:space="preserve">Risk Assessment Course</w:t>
            </w:r>
          </w:p>
        </w:tc>
        <w:tc>
          <w:tcPr>
            <w:tcW w:type="dxa" w:w="196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pPr>
              <w:jc w:val="center"/>
            </w:pPr>
            <w:r>
              <w:rPr>
                <w:rFonts w:ascii="Arial" w:cs="Arial" w:eastAsia="Arial" w:hAnsi="Arial"/>
                <w:color w:val="2C2C2C"/>
                <w:sz w:val="19"/>
                <w:szCs w:val="19"/>
              </w:rPr>
              <w:t xml:space="preserve">8</w:t>
            </w:r>
          </w:p>
        </w:tc>
        <w:tc>
          <w:tcPr>
            <w:tcW w:type="dxa" w:w="232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pPr>
              <w:jc w:val="center"/>
            </w:pPr>
            <w:r>
              <w:rPr>
                <w:rFonts w:ascii="Arial" w:cs="Arial" w:eastAsia="Arial" w:hAnsi="Arial"/>
                <w:color w:val="2C2C2C"/>
                <w:sz w:val="19"/>
                <w:szCs w:val="19"/>
              </w:rPr>
              <w:t xml:space="preserve">$99</w:t>
            </w:r>
          </w:p>
        </w:tc>
      </w:tr>
      <w:tr>
        <w:tc>
          <w:tcPr>
            <w:tcW w:type="dxa" w:w="480"/>
            <w:tcBorders>
              <w:top w:val="single" w:color="B4C8E8" w:sz="1"/>
              <w:left w:val="single" w:color="B4C8E8" w:sz="1"/>
              <w:bottom w:val="single" w:color="B4C8E8" w:sz="1"/>
              <w:right w:val="single" w:color="B4C8E8" w:sz="1"/>
            </w:tcBorders>
            <w:shd w:fill="FFFFFF"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47</w:t>
            </w:r>
          </w:p>
        </w:tc>
        <w:tc>
          <w:tcPr>
            <w:tcW w:type="dxa" w:w="460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r>
              <w:rPr>
                <w:rFonts w:ascii="Arial" w:cs="Arial" w:eastAsia="Arial" w:hAnsi="Arial"/>
                <w:color w:val="2C2C2C"/>
                <w:sz w:val="19"/>
                <w:szCs w:val="19"/>
              </w:rPr>
              <w:t xml:space="preserve">Introduction to Using Personal Protective Equipment</w:t>
            </w:r>
          </w:p>
        </w:tc>
        <w:tc>
          <w:tcPr>
            <w:tcW w:type="dxa" w:w="196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5</w:t>
            </w:r>
          </w:p>
        </w:tc>
        <w:tc>
          <w:tcPr>
            <w:tcW w:type="dxa" w:w="232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$29</w:t>
            </w:r>
          </w:p>
        </w:tc>
      </w:tr>
      <w:tr>
        <w:tc>
          <w:tcPr>
            <w:tcW w:type="dxa" w:w="480"/>
            <w:tcBorders>
              <w:top w:val="single" w:color="B4C8E8" w:sz="1"/>
              <w:left w:val="single" w:color="B4C8E8" w:sz="1"/>
              <w:bottom w:val="single" w:color="B4C8E8" w:sz="1"/>
              <w:right w:val="single" w:color="B4C8E8" w:sz="1"/>
            </w:tcBorders>
            <w:shd w:fill="EEF4FB"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52</w:t>
            </w:r>
          </w:p>
        </w:tc>
        <w:tc>
          <w:tcPr>
            <w:tcW w:type="dxa" w:w="460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r>
              <w:rPr>
                <w:rFonts w:ascii="Arial" w:cs="Arial" w:eastAsia="Arial" w:hAnsi="Arial"/>
                <w:color w:val="2C2C2C"/>
                <w:sz w:val="19"/>
                <w:szCs w:val="19"/>
              </w:rPr>
              <w:t xml:space="preserve">Introduction to Safety Procedures for Water Damage Work</w:t>
            </w:r>
          </w:p>
        </w:tc>
        <w:tc>
          <w:tcPr>
            <w:tcW w:type="dxa" w:w="196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pPr>
              <w:jc w:val="center"/>
            </w:pPr>
            <w:r>
              <w:rPr>
                <w:rFonts w:ascii="Arial" w:cs="Arial" w:eastAsia="Arial" w:hAnsi="Arial"/>
                <w:color w:val="2C2C2C"/>
                <w:sz w:val="19"/>
                <w:szCs w:val="19"/>
              </w:rPr>
              <w:t xml:space="preserve">4</w:t>
            </w:r>
          </w:p>
        </w:tc>
        <w:tc>
          <w:tcPr>
            <w:tcW w:type="dxa" w:w="2320"/>
            <w:tcBorders>
              <w:top w:val="single" w:color="B4C8E8" w:sz="1"/>
              <w:left w:val="single" w:color="B4C8E8" w:sz="1"/>
              <w:bottom w:val="single" w:color="B4C8E8" w:sz="1"/>
              <w:right w:val="single" w:color="B4C8E8" w:sz="1"/>
            </w:tcBorders>
            <w:shd w:fill="EEF4FB" w:val="clear"/>
            <w:tcMar>
              <w:top w:type="dxa" w:w="78"/>
              <w:left w:type="dxa" w:w="120"/>
              <w:bottom w:type="dxa" w:w="78"/>
              <w:right w:type="dxa" w:w="120"/>
            </w:tcMar>
          </w:tcPr>
          <w:p>
            <w:pPr>
              <w:jc w:val="center"/>
            </w:pPr>
            <w:r>
              <w:rPr>
                <w:rFonts w:ascii="Arial" w:cs="Arial" w:eastAsia="Arial" w:hAnsi="Arial"/>
                <w:color w:val="2C2C2C"/>
                <w:sz w:val="19"/>
                <w:szCs w:val="19"/>
              </w:rPr>
              <w:t xml:space="preserve">$29</w:t>
            </w:r>
          </w:p>
        </w:tc>
      </w:tr>
      <w:tr>
        <w:tc>
          <w:tcPr>
            <w:tcW w:type="dxa" w:w="480"/>
            <w:tcBorders>
              <w:top w:val="single" w:color="B4C8E8" w:sz="1"/>
              <w:left w:val="single" w:color="B4C8E8" w:sz="1"/>
              <w:bottom w:val="single" w:color="B4C8E8" w:sz="1"/>
              <w:right w:val="single" w:color="B4C8E8" w:sz="1"/>
            </w:tcBorders>
            <w:shd w:fill="FFFFFF" w:val="clear"/>
            <w:tcMar>
              <w:top w:type="dxa" w:w="78"/>
              <w:left w:type="dxa" w:w="100"/>
              <w:bottom w:type="dxa" w:w="78"/>
              <w:right w:type="dxa" w:w="100"/>
            </w:tcMar>
          </w:tcPr>
          <w:p>
            <w:pPr>
              <w:jc w:val="center"/>
            </w:pPr>
            <w:r>
              <w:rPr>
                <w:rFonts w:ascii="Arial" w:cs="Arial" w:eastAsia="Arial" w:hAnsi="Arial"/>
                <w:b/>
                <w:bCs/>
                <w:color w:val="2E5FA3"/>
                <w:sz w:val="19"/>
                <w:szCs w:val="19"/>
              </w:rPr>
              <w:t xml:space="preserve">78</w:t>
            </w:r>
          </w:p>
        </w:tc>
        <w:tc>
          <w:tcPr>
            <w:tcW w:type="dxa" w:w="460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r>
              <w:rPr>
                <w:rFonts w:ascii="Arial" w:cs="Arial" w:eastAsia="Arial" w:hAnsi="Arial"/>
                <w:color w:val="2C2C2C"/>
                <w:sz w:val="19"/>
                <w:szCs w:val="19"/>
              </w:rPr>
              <w:t xml:space="preserve">Donning and Doffing PPE</w:t>
            </w:r>
          </w:p>
        </w:tc>
        <w:tc>
          <w:tcPr>
            <w:tcW w:type="dxa" w:w="196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3</w:t>
            </w:r>
          </w:p>
        </w:tc>
        <w:tc>
          <w:tcPr>
            <w:tcW w:type="dxa" w:w="2320"/>
            <w:tcBorders>
              <w:top w:val="single" w:color="B4C8E8" w:sz="1"/>
              <w:left w:val="single" w:color="B4C8E8" w:sz="1"/>
              <w:bottom w:val="single" w:color="B4C8E8" w:sz="1"/>
              <w:right w:val="single" w:color="B4C8E8" w:sz="1"/>
            </w:tcBorders>
            <w:shd w:fill="FFFFFF" w:val="clear"/>
            <w:tcMar>
              <w:top w:type="dxa" w:w="78"/>
              <w:left w:type="dxa" w:w="120"/>
              <w:bottom w:type="dxa" w:w="78"/>
              <w:right w:type="dxa" w:w="120"/>
            </w:tcMar>
          </w:tcPr>
          <w:p>
            <w:pPr>
              <w:jc w:val="center"/>
            </w:pPr>
            <w:r>
              <w:rPr>
                <w:rFonts w:ascii="Arial" w:cs="Arial" w:eastAsia="Arial" w:hAnsi="Arial"/>
                <w:color w:val="2C2C2C"/>
                <w:sz w:val="19"/>
                <w:szCs w:val="19"/>
              </w:rPr>
              <w:t xml:space="preserve">$39</w:t>
            </w:r>
          </w:p>
        </w:tc>
      </w:tr>
    </w:tbl>
    <w:p>
      <w:r>
        <w:br w:type="page"/>
      </w:r>
    </w:p>
    <w:p>
      <w:pPr>
        <w:pStyle w:val="Heading1"/>
        <w:spacing w:after="100" w:before="260"/>
      </w:pPr>
      <w:r>
        <w:rPr>
          <w:rFonts w:ascii="Arial" w:cs="Arial" w:eastAsia="Arial" w:hAnsi="Arial"/>
          <w:b/>
          <w:bCs/>
          <w:color w:val="1F3864"/>
          <w:sz w:val="30"/>
          <w:szCs w:val="30"/>
        </w:rPr>
        <w:t xml:space="preserve">COURSE #22: Introduction to Asbestos — Asbestos Awareness</w:t>
      </w:r>
    </w:p>
    <w:p>
      <w:pPr>
        <w:spacing w:after="55" w:before="55"/>
      </w:pPr>
      <w:r>
        <w:rPr>
          <w:rFonts w:ascii="Arial" w:cs="Arial" w:eastAsia="Arial" w:hAnsi="Arial"/>
          <w:color w:val="2C2C2C"/>
          <w:sz w:val="21"/>
          <w:szCs w:val="21"/>
        </w:rPr>
        <w:t xml:space="preserve">Published | AUD $29  |  9 Modules</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This course equips restoration and cleaning professionals with the knowledge required to identify, respond to, and correctly report asbestos-containing materials (ACMs) on Australian job sites. It covers the legal framework, health risks, ACM types, safe handling requirements, and mandatory documentation — ensuring every technician meets their duty of care under the Work Health and Safety Act 2011 and the relevant asbestos regulations.</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Introduction to Asbestos Awareness</w:t>
      </w:r>
    </w:p>
    <w:p>
      <w:pPr>
        <w:spacing w:after="55" w:before="55"/>
      </w:pPr>
      <w:r>
        <w:rPr>
          <w:rFonts w:ascii="Arial" w:cs="Arial" w:eastAsia="Arial" w:hAnsi="Arial"/>
          <w:color w:val="2C2C2C"/>
          <w:sz w:val="21"/>
          <w:szCs w:val="21"/>
        </w:rPr>
        <w:t xml:space="preserve">Asbestos awareness is a legal requirement for all workers who may encounter ACMs in buildings constructed or refurbished before 2004. This module establishes the baseline obligations.</w:t>
      </w:r>
    </w:p>
    <w:p>
      <w:pPr>
        <w:pStyle w:val="ListParagraph"/>
        <w:numPr>
          <w:ilvl w:val="0"/>
          <w:numId w:val="2"/>
        </w:numPr>
        <w:spacing w:after="38" w:before="38"/>
      </w:pPr>
      <w:r>
        <w:rPr>
          <w:rFonts w:ascii="Arial" w:cs="Arial" w:eastAsia="Arial" w:hAnsi="Arial"/>
          <w:color w:val="2C2C2C"/>
          <w:sz w:val="21"/>
          <w:szCs w:val="21"/>
        </w:rPr>
        <w:t xml:space="preserve">Asbestos awareness training is required under the Model WHS Regulations r.419 before any work in pre-2004 structures</w:t>
      </w:r>
    </w:p>
    <w:p>
      <w:pPr>
        <w:pStyle w:val="ListParagraph"/>
        <w:numPr>
          <w:ilvl w:val="0"/>
          <w:numId w:val="2"/>
        </w:numPr>
        <w:spacing w:after="38" w:before="38"/>
      </w:pPr>
      <w:r>
        <w:rPr>
          <w:rFonts w:ascii="Arial" w:cs="Arial" w:eastAsia="Arial" w:hAnsi="Arial"/>
          <w:color w:val="2C2C2C"/>
          <w:sz w:val="21"/>
          <w:szCs w:val="21"/>
        </w:rPr>
        <w:t xml:space="preserve">The asbestos awareness duty applies to all workers — not just licenced removalists</w:t>
      </w:r>
    </w:p>
    <w:p>
      <w:pPr>
        <w:pStyle w:val="ListParagraph"/>
        <w:numPr>
          <w:ilvl w:val="0"/>
          <w:numId w:val="2"/>
        </w:numPr>
        <w:spacing w:after="38" w:before="38"/>
      </w:pPr>
      <w:r>
        <w:rPr>
          <w:rFonts w:ascii="Arial" w:cs="Arial" w:eastAsia="Arial" w:hAnsi="Arial"/>
          <w:color w:val="2C2C2C"/>
          <w:sz w:val="21"/>
          <w:szCs w:val="21"/>
        </w:rPr>
        <w:t xml:space="preserve">Restoration technicians are high-risk due to frequent work in pre-2004 residential and commercial buildings</w:t>
      </w:r>
    </w:p>
    <w:p>
      <w:pPr>
        <w:pStyle w:val="ListParagraph"/>
        <w:numPr>
          <w:ilvl w:val="0"/>
          <w:numId w:val="2"/>
        </w:numPr>
        <w:spacing w:after="38" w:before="38"/>
      </w:pPr>
      <w:r>
        <w:rPr>
          <w:rFonts w:ascii="Arial" w:cs="Arial" w:eastAsia="Arial" w:hAnsi="Arial"/>
          <w:color w:val="2C2C2C"/>
          <w:sz w:val="21"/>
          <w:szCs w:val="21"/>
        </w:rPr>
        <w:t xml:space="preserve">Asbestos cannot be identified by sight alone — all suspected ACM must be treated as asbestos until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Before starting any job in a pre-2004 building, ask: Has an asbestos register been completed? If no register exists, engage a licenced asbestos assessor before any demolition, drilling, or cutting.</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2: </w:t>
      </w:r>
      <w:r>
        <w:rPr>
          <w:rFonts w:ascii="Arial" w:cs="Arial" w:eastAsia="Arial" w:hAnsi="Arial"/>
          <w:b/>
          <w:bCs/>
          <w:color w:val="1A1A2E"/>
          <w:sz w:val="24"/>
          <w:szCs w:val="24"/>
        </w:rPr>
        <w:t xml:space="preserve">History and Use of Asbestos</w:t>
      </w:r>
    </w:p>
    <w:p>
      <w:pPr>
        <w:pStyle w:val="ListParagraph"/>
        <w:numPr>
          <w:ilvl w:val="0"/>
          <w:numId w:val="2"/>
        </w:numPr>
        <w:spacing w:after="38" w:before="38"/>
      </w:pPr>
      <w:r>
        <w:rPr>
          <w:rFonts w:ascii="Arial" w:cs="Arial" w:eastAsia="Arial" w:hAnsi="Arial"/>
          <w:color w:val="2C2C2C"/>
          <w:sz w:val="21"/>
          <w:szCs w:val="21"/>
        </w:rPr>
        <w:t xml:space="preserve">Australia was one of the world's highest per-capita users of asbestos; widespread use from 1940s to mid-1980s</w:t>
      </w:r>
    </w:p>
    <w:p>
      <w:pPr>
        <w:pStyle w:val="ListParagraph"/>
        <w:numPr>
          <w:ilvl w:val="0"/>
          <w:numId w:val="2"/>
        </w:numPr>
        <w:spacing w:after="38" w:before="38"/>
      </w:pPr>
      <w:r>
        <w:rPr>
          <w:rFonts w:ascii="Arial" w:cs="Arial" w:eastAsia="Arial" w:hAnsi="Arial"/>
          <w:color w:val="2C2C2C"/>
          <w:sz w:val="21"/>
          <w:szCs w:val="21"/>
        </w:rPr>
        <w:t xml:space="preserve">Asbestos fully banned in Australia from 31 December 2003 (Industrial Chemicals (Notification and Assessment) Act)</w:t>
      </w:r>
    </w:p>
    <w:p>
      <w:pPr>
        <w:pStyle w:val="ListParagraph"/>
        <w:numPr>
          <w:ilvl w:val="0"/>
          <w:numId w:val="2"/>
        </w:numPr>
        <w:spacing w:after="38" w:before="38"/>
      </w:pPr>
      <w:r>
        <w:rPr>
          <w:rFonts w:ascii="Arial" w:cs="Arial" w:eastAsia="Arial" w:hAnsi="Arial"/>
          <w:color w:val="2C2C2C"/>
          <w:sz w:val="21"/>
          <w:szCs w:val="21"/>
        </w:rPr>
        <w:t xml:space="preserve">Primary uses: fibro sheeting (flat and corrugated), pipe lagging, floor tiles, roofing, textured ceiling coatings (Artex), adhesives</w:t>
      </w:r>
    </w:p>
    <w:p>
      <w:pPr>
        <w:pStyle w:val="ListParagraph"/>
        <w:numPr>
          <w:ilvl w:val="0"/>
          <w:numId w:val="2"/>
        </w:numPr>
        <w:spacing w:after="38" w:before="38"/>
      </w:pPr>
      <w:r>
        <w:rPr>
          <w:rFonts w:ascii="Arial" w:cs="Arial" w:eastAsia="Arial" w:hAnsi="Arial"/>
          <w:color w:val="2C2C2C"/>
          <w:sz w:val="21"/>
          <w:szCs w:val="21"/>
        </w:rPr>
        <w:t xml:space="preserve">Most pre-1990 residential homes contain some form of ACM — kitchens, bathrooms, eaves, and subfloors are highest risk areas</w:t>
      </w:r>
    </w:p>
    <w:p>
      <w:pPr>
        <w:pStyle w:val="ListParagraph"/>
        <w:numPr>
          <w:ilvl w:val="0"/>
          <w:numId w:val="2"/>
        </w:numPr>
        <w:spacing w:after="38" w:before="38"/>
      </w:pPr>
      <w:r>
        <w:rPr>
          <w:rFonts w:ascii="Arial" w:cs="Arial" w:eastAsia="Arial" w:hAnsi="Arial"/>
          <w:color w:val="2C2C2C"/>
          <w:sz w:val="21"/>
          <w:szCs w:val="21"/>
        </w:rPr>
        <w:t xml:space="preserve">Restoration techs frequently disturb ACM during: flood, fire, mould, and water damage remediation — awareness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All states and territories have specific asbestos management regulations under their WHS legislation that mirror or build on the Model WHS Regulations. Technicians must understand the rules in the state where they work.</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3: </w:t>
      </w:r>
      <w:r>
        <w:rPr>
          <w:rFonts w:ascii="Arial" w:cs="Arial" w:eastAsia="Arial" w:hAnsi="Arial"/>
          <w:b/>
          <w:bCs/>
          <w:color w:val="1A1A2E"/>
          <w:sz w:val="24"/>
          <w:szCs w:val="24"/>
        </w:rPr>
        <w:t xml:space="preserve">Dangers of Asbestos</w:t>
      </w:r>
    </w:p>
    <w:p>
      <w:pPr>
        <w:pStyle w:val="ListParagraph"/>
        <w:numPr>
          <w:ilvl w:val="0"/>
          <w:numId w:val="2"/>
        </w:numPr>
        <w:spacing w:after="38" w:before="38"/>
      </w:pPr>
      <w:r>
        <w:rPr>
          <w:rFonts w:ascii="Arial" w:cs="Arial" w:eastAsia="Arial" w:hAnsi="Arial"/>
          <w:color w:val="2C2C2C"/>
          <w:sz w:val="21"/>
          <w:szCs w:val="21"/>
        </w:rPr>
        <w:t xml:space="preserve">Inhalation of asbestos fibres causes: mesothelioma, asbestosis, pleural plaques, and lung cancer — all irreversible</w:t>
      </w:r>
    </w:p>
    <w:p>
      <w:pPr>
        <w:pStyle w:val="ListParagraph"/>
        <w:numPr>
          <w:ilvl w:val="0"/>
          <w:numId w:val="2"/>
        </w:numPr>
        <w:spacing w:after="38" w:before="38"/>
      </w:pPr>
      <w:r>
        <w:rPr>
          <w:rFonts w:ascii="Arial" w:cs="Arial" w:eastAsia="Arial" w:hAnsi="Arial"/>
          <w:color w:val="2C2C2C"/>
          <w:sz w:val="21"/>
          <w:szCs w:val="21"/>
        </w:rPr>
        <w:t xml:space="preserve">Latency period: 20–40 years between exposure and disease onset — making prevention critical</w:t>
      </w:r>
    </w:p>
    <w:p>
      <w:pPr>
        <w:pStyle w:val="ListParagraph"/>
        <w:numPr>
          <w:ilvl w:val="0"/>
          <w:numId w:val="2"/>
        </w:numPr>
        <w:spacing w:after="38" w:before="38"/>
      </w:pPr>
      <w:r>
        <w:rPr>
          <w:rFonts w:ascii="Arial" w:cs="Arial" w:eastAsia="Arial" w:hAnsi="Arial"/>
          <w:color w:val="2C2C2C"/>
          <w:sz w:val="21"/>
          <w:szCs w:val="21"/>
        </w:rPr>
        <w:t xml:space="preserve">There is NO safe level of asbestos exposure — the hierarchy of control mandates elimination</w:t>
      </w:r>
    </w:p>
    <w:p>
      <w:pPr>
        <w:pStyle w:val="ListParagraph"/>
        <w:numPr>
          <w:ilvl w:val="0"/>
          <w:numId w:val="2"/>
        </w:numPr>
        <w:spacing w:after="38" w:before="38"/>
      </w:pPr>
      <w:r>
        <w:rPr>
          <w:rFonts w:ascii="Arial" w:cs="Arial" w:eastAsia="Arial" w:hAnsi="Arial"/>
          <w:color w:val="2C2C2C"/>
          <w:sz w:val="21"/>
          <w:szCs w:val="21"/>
        </w:rPr>
        <w:t xml:space="preserve">Chrysotile (white), amosite (brown), and crocidolite (blue) — all three fibre types are hazardous</w:t>
      </w:r>
    </w:p>
    <w:p>
      <w:pPr>
        <w:pStyle w:val="ListParagraph"/>
        <w:numPr>
          <w:ilvl w:val="0"/>
          <w:numId w:val="2"/>
        </w:numPr>
        <w:spacing w:after="38" w:before="38"/>
      </w:pPr>
      <w:r>
        <w:rPr>
          <w:rFonts w:ascii="Arial" w:cs="Arial" w:eastAsia="Arial" w:hAnsi="Arial"/>
          <w:color w:val="2C2C2C"/>
          <w:sz w:val="21"/>
          <w:szCs w:val="21"/>
        </w:rPr>
        <w:t xml:space="preserve">Friable ACM (easily crumbled) releases far more fibres than bonded ACM — highest risk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C55A11"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WARNING</w:t>
            </w:r>
          </w:p>
        </w:tc>
        <w:tc>
          <w:tcPr>
            <w:tcW w:type="dxa" w:w="7400"/>
            <w:tcBorders>
              <w:top w:val="single" w:color="B4C8E8" w:sz="1"/>
              <w:left w:val="single" w:color="B4C8E8" w:sz="1"/>
              <w:bottom w:val="single" w:color="B4C8E8" w:sz="1"/>
              <w:right w:val="single" w:color="B4C8E8" w:sz="1"/>
            </w:tcBorders>
            <w:shd w:fill="FBE5D6" w:val="clear"/>
            <w:tcMar>
              <w:top w:type="dxa" w:w="80"/>
              <w:left w:type="dxa" w:w="140"/>
              <w:bottom w:type="dxa" w:w="80"/>
              <w:right w:type="dxa" w:w="140"/>
            </w:tcMar>
          </w:tcPr>
          <w:p>
            <w:r>
              <w:rPr>
                <w:rFonts w:ascii="Arial" w:cs="Arial" w:eastAsia="Arial" w:hAnsi="Arial"/>
                <w:color w:val="2C2C2C"/>
                <w:sz w:val="20"/>
                <w:szCs w:val="20"/>
              </w:rPr>
              <w:t xml:space="preserve">Any activity that disturbs or damages ACM — including drilling, cutting, sanding, and water damage — creates immediate airborne fibre risk. Stop work immediately if ACM is suspected. Do not disturb.</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4: </w:t>
      </w:r>
      <w:r>
        <w:rPr>
          <w:rFonts w:ascii="Arial" w:cs="Arial" w:eastAsia="Arial" w:hAnsi="Arial"/>
          <w:b/>
          <w:bCs/>
          <w:color w:val="1A1A2E"/>
          <w:sz w:val="24"/>
          <w:szCs w:val="24"/>
        </w:rPr>
        <w:t xml:space="preserve">Types of Asbestos Containing Materials</w:t>
      </w:r>
    </w:p>
    <w:p>
      <w:pPr>
        <w:pStyle w:val="ListParagraph"/>
        <w:numPr>
          <w:ilvl w:val="0"/>
          <w:numId w:val="2"/>
        </w:numPr>
        <w:spacing w:after="38" w:before="38"/>
      </w:pPr>
      <w:r>
        <w:rPr>
          <w:rFonts w:ascii="Arial" w:cs="Arial" w:eastAsia="Arial" w:hAnsi="Arial"/>
          <w:color w:val="2C2C2C"/>
          <w:sz w:val="21"/>
          <w:szCs w:val="21"/>
        </w:rPr>
        <w:t xml:space="preserve">Bonded ACM: fibres locked in cement or resin — fibro sheeting, floor tiles, pipe cement — lower release risk</w:t>
      </w:r>
    </w:p>
    <w:p>
      <w:pPr>
        <w:pStyle w:val="ListParagraph"/>
        <w:numPr>
          <w:ilvl w:val="0"/>
          <w:numId w:val="2"/>
        </w:numPr>
        <w:spacing w:after="38" w:before="38"/>
      </w:pPr>
      <w:r>
        <w:rPr>
          <w:rFonts w:ascii="Arial" w:cs="Arial" w:eastAsia="Arial" w:hAnsi="Arial"/>
          <w:color w:val="2C2C2C"/>
          <w:sz w:val="21"/>
          <w:szCs w:val="21"/>
        </w:rPr>
        <w:t xml:space="preserve">Friable ACM: loosely bound fibres — pipe lagging, sprayed coatings, insulation — high release risk</w:t>
      </w:r>
    </w:p>
    <w:p>
      <w:pPr>
        <w:pStyle w:val="ListParagraph"/>
        <w:numPr>
          <w:ilvl w:val="0"/>
          <w:numId w:val="2"/>
        </w:numPr>
        <w:spacing w:after="38" w:before="38"/>
      </w:pPr>
      <w:r>
        <w:rPr>
          <w:rFonts w:ascii="Arial" w:cs="Arial" w:eastAsia="Arial" w:hAnsi="Arial"/>
          <w:color w:val="2C2C2C"/>
          <w:sz w:val="21"/>
          <w:szCs w:val="21"/>
        </w:rPr>
        <w:t xml:space="preserve">Common bonded locations: eaves, soffits, exterior wall sheeting, wet area lining, backing to vinyl tiles</w:t>
      </w:r>
    </w:p>
    <w:p>
      <w:pPr>
        <w:pStyle w:val="ListParagraph"/>
        <w:numPr>
          <w:ilvl w:val="0"/>
          <w:numId w:val="2"/>
        </w:numPr>
        <w:spacing w:after="38" w:before="38"/>
      </w:pPr>
      <w:r>
        <w:rPr>
          <w:rFonts w:ascii="Arial" w:cs="Arial" w:eastAsia="Arial" w:hAnsi="Arial"/>
          <w:color w:val="2C2C2C"/>
          <w:sz w:val="21"/>
          <w:szCs w:val="21"/>
        </w:rPr>
        <w:t xml:space="preserve">Common friable locations: boiler insulation, pipe lagging, acoustic ceiling tiles, vermiculite insulation</w:t>
      </w:r>
    </w:p>
    <w:p>
      <w:pPr>
        <w:pStyle w:val="ListParagraph"/>
        <w:numPr>
          <w:ilvl w:val="0"/>
          <w:numId w:val="2"/>
        </w:numPr>
        <w:spacing w:after="38" w:before="38"/>
      </w:pPr>
      <w:r>
        <w:rPr>
          <w:rFonts w:ascii="Arial" w:cs="Arial" w:eastAsia="Arial" w:hAnsi="Arial"/>
          <w:color w:val="2C2C2C"/>
          <w:sz w:val="21"/>
          <w:szCs w:val="21"/>
        </w:rPr>
        <w:t xml:space="preserve">Textured paint coatings (e.g. Artex): may contain chrysotile; common on ceilings of 1960s–80s homes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Use the Asbestos Network Australia visual ID guide (asbestosnetwork.com.au) as a field reference — but never make a final determination without laboratory analysis. A 'looks like fibro' assessment is not sufficient.</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5: </w:t>
      </w:r>
      <w:r>
        <w:rPr>
          <w:rFonts w:ascii="Arial" w:cs="Arial" w:eastAsia="Arial" w:hAnsi="Arial"/>
          <w:b/>
          <w:bCs/>
          <w:color w:val="1A1A2E"/>
          <w:sz w:val="24"/>
          <w:szCs w:val="24"/>
        </w:rPr>
        <w:t xml:space="preserve">Handling Asbestos Containing Materials</w:t>
      </w:r>
    </w:p>
    <w:p>
      <w:pPr>
        <w:pStyle w:val="ListParagraph"/>
        <w:numPr>
          <w:ilvl w:val="0"/>
          <w:numId w:val="2"/>
        </w:numPr>
        <w:spacing w:after="38" w:before="38"/>
      </w:pPr>
      <w:r>
        <w:rPr>
          <w:rFonts w:ascii="Arial" w:cs="Arial" w:eastAsia="Arial" w:hAnsi="Arial"/>
          <w:color w:val="2C2C2C"/>
          <w:sz w:val="21"/>
          <w:szCs w:val="21"/>
        </w:rPr>
        <w:t xml:space="preserve">Unlicensed workers may only handle bonded ACM in an area &lt;10m² per Model WHS Regulations r.458</w:t>
      </w:r>
    </w:p>
    <w:p>
      <w:pPr>
        <w:pStyle w:val="ListParagraph"/>
        <w:numPr>
          <w:ilvl w:val="0"/>
          <w:numId w:val="2"/>
        </w:numPr>
        <w:spacing w:after="38" w:before="38"/>
      </w:pPr>
      <w:r>
        <w:rPr>
          <w:rFonts w:ascii="Arial" w:cs="Arial" w:eastAsia="Arial" w:hAnsi="Arial"/>
          <w:color w:val="2C2C2C"/>
          <w:sz w:val="21"/>
          <w:szCs w:val="21"/>
        </w:rPr>
        <w:t xml:space="preserve">Any friable ACM removal requires a Class A asbestos removalist licence</w:t>
      </w:r>
    </w:p>
    <w:p>
      <w:pPr>
        <w:pStyle w:val="ListParagraph"/>
        <w:numPr>
          <w:ilvl w:val="0"/>
          <w:numId w:val="2"/>
        </w:numPr>
        <w:spacing w:after="38" w:before="38"/>
      </w:pPr>
      <w:r>
        <w:rPr>
          <w:rFonts w:ascii="Arial" w:cs="Arial" w:eastAsia="Arial" w:hAnsi="Arial"/>
          <w:color w:val="2C2C2C"/>
          <w:sz w:val="21"/>
          <w:szCs w:val="21"/>
        </w:rPr>
        <w:t xml:space="preserve">Bonded ACM removal between 10m² and unlimited area requires a Class B asbestos removalist licence</w:t>
      </w:r>
    </w:p>
    <w:p>
      <w:pPr>
        <w:pStyle w:val="ListParagraph"/>
        <w:numPr>
          <w:ilvl w:val="0"/>
          <w:numId w:val="2"/>
        </w:numPr>
        <w:spacing w:after="38" w:before="38"/>
      </w:pPr>
      <w:r>
        <w:rPr>
          <w:rFonts w:ascii="Arial" w:cs="Arial" w:eastAsia="Arial" w:hAnsi="Arial"/>
          <w:color w:val="2C2C2C"/>
          <w:sz w:val="21"/>
          <w:szCs w:val="21"/>
        </w:rPr>
        <w:t xml:space="preserve">Wetting: keep ACM damp during any incidental disturbance — reduces airborne fibre release</w:t>
      </w:r>
    </w:p>
    <w:p>
      <w:pPr>
        <w:pStyle w:val="ListParagraph"/>
        <w:numPr>
          <w:ilvl w:val="0"/>
          <w:numId w:val="2"/>
        </w:numPr>
        <w:spacing w:after="38" w:before="38"/>
      </w:pPr>
      <w:r>
        <w:rPr>
          <w:rFonts w:ascii="Arial" w:cs="Arial" w:eastAsia="Arial" w:hAnsi="Arial"/>
          <w:color w:val="2C2C2C"/>
          <w:sz w:val="21"/>
          <w:szCs w:val="21"/>
        </w:rPr>
        <w:t xml:space="preserve">PPE minimum for bonded ACM: P2 disposable respirator, disposable coveralls, gloves, eye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Never use an angle grinder, drill, saw, or abrasive on suspected ACM. These actions are unlawful without a licence and appropriate controls in place. Immediately cease work and contact a licenced assessor.</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6: </w:t>
      </w:r>
      <w:r>
        <w:rPr>
          <w:rFonts w:ascii="Arial" w:cs="Arial" w:eastAsia="Arial" w:hAnsi="Arial"/>
          <w:b/>
          <w:bCs/>
          <w:color w:val="1A1A2E"/>
          <w:sz w:val="24"/>
          <w:szCs w:val="24"/>
        </w:rPr>
        <w:t xml:space="preserve">Containing Asbestos if Damaged or Identified</w:t>
      </w:r>
    </w:p>
    <w:p>
      <w:pPr>
        <w:pStyle w:val="ListParagraph"/>
        <w:numPr>
          <w:ilvl w:val="0"/>
          <w:numId w:val="2"/>
        </w:numPr>
        <w:spacing w:after="38" w:before="38"/>
      </w:pPr>
      <w:r>
        <w:rPr>
          <w:rFonts w:ascii="Arial" w:cs="Arial" w:eastAsia="Arial" w:hAnsi="Arial"/>
          <w:color w:val="2C2C2C"/>
          <w:sz w:val="21"/>
          <w:szCs w:val="21"/>
        </w:rPr>
        <w:t xml:space="preserve">Isolate the area: restrict access with barrier tape and signage — minimum 3m exclusion zone</w:t>
      </w:r>
    </w:p>
    <w:p>
      <w:pPr>
        <w:pStyle w:val="ListParagraph"/>
        <w:numPr>
          <w:ilvl w:val="0"/>
          <w:numId w:val="2"/>
        </w:numPr>
        <w:spacing w:after="38" w:before="38"/>
      </w:pPr>
      <w:r>
        <w:rPr>
          <w:rFonts w:ascii="Arial" w:cs="Arial" w:eastAsia="Arial" w:hAnsi="Arial"/>
          <w:color w:val="2C2C2C"/>
          <w:sz w:val="21"/>
          <w:szCs w:val="21"/>
        </w:rPr>
        <w:t xml:space="preserve">Do not use HVAC or air movers near damaged ACM — these will distribute fibres through the structure</w:t>
      </w:r>
    </w:p>
    <w:p>
      <w:pPr>
        <w:pStyle w:val="ListParagraph"/>
        <w:numPr>
          <w:ilvl w:val="0"/>
          <w:numId w:val="2"/>
        </w:numPr>
        <w:spacing w:after="38" w:before="38"/>
      </w:pPr>
      <w:r>
        <w:rPr>
          <w:rFonts w:ascii="Arial" w:cs="Arial" w:eastAsia="Arial" w:hAnsi="Arial"/>
          <w:color w:val="2C2C2C"/>
          <w:sz w:val="21"/>
          <w:szCs w:val="21"/>
        </w:rPr>
        <w:t xml:space="preserve">Wet down the affected material gently with a fine mist sprayer — do not use high pressure</w:t>
      </w:r>
    </w:p>
    <w:p>
      <w:pPr>
        <w:pStyle w:val="ListParagraph"/>
        <w:numPr>
          <w:ilvl w:val="0"/>
          <w:numId w:val="2"/>
        </w:numPr>
        <w:spacing w:after="38" w:before="38"/>
      </w:pPr>
      <w:r>
        <w:rPr>
          <w:rFonts w:ascii="Arial" w:cs="Arial" w:eastAsia="Arial" w:hAnsi="Arial"/>
          <w:color w:val="2C2C2C"/>
          <w:sz w:val="21"/>
          <w:szCs w:val="21"/>
        </w:rPr>
        <w:t xml:space="preserve">Double-bag any loose ACM in 200-micron poly, seal, and label: 'ASBESTOS WASTE — HAZARDOUS'</w:t>
      </w:r>
    </w:p>
    <w:p>
      <w:pPr>
        <w:pStyle w:val="ListParagraph"/>
        <w:numPr>
          <w:ilvl w:val="0"/>
          <w:numId w:val="2"/>
        </w:numPr>
        <w:spacing w:after="38" w:before="38"/>
      </w:pPr>
      <w:r>
        <w:rPr>
          <w:rFonts w:ascii="Arial" w:cs="Arial" w:eastAsia="Arial" w:hAnsi="Arial"/>
          <w:color w:val="2C2C2C"/>
          <w:sz w:val="21"/>
          <w:szCs w:val="21"/>
        </w:rPr>
        <w:t xml:space="preserve">Do not vacuum ACM debris with standard vacuum — use only H-class HEPA vacuum or Type H industrial vac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If flood or fire damage has disturbed suspected ACM, stop all drying and remediation work. The site must be assessed by a licenced asbestos assessor before work continues. Document the stop-work decision in writing immediately.</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7: </w:t>
      </w:r>
      <w:r>
        <w:rPr>
          <w:rFonts w:ascii="Arial" w:cs="Arial" w:eastAsia="Arial" w:hAnsi="Arial"/>
          <w:b/>
          <w:bCs/>
          <w:color w:val="1A1A2E"/>
          <w:sz w:val="24"/>
          <w:szCs w:val="24"/>
        </w:rPr>
        <w:t xml:space="preserve">Reporting and Documentation</w:t>
      </w:r>
    </w:p>
    <w:p>
      <w:pPr>
        <w:pStyle w:val="ListParagraph"/>
        <w:numPr>
          <w:ilvl w:val="0"/>
          <w:numId w:val="2"/>
        </w:numPr>
        <w:spacing w:after="38" w:before="38"/>
      </w:pPr>
      <w:r>
        <w:rPr>
          <w:rFonts w:ascii="Arial" w:cs="Arial" w:eastAsia="Arial" w:hAnsi="Arial"/>
          <w:color w:val="2C2C2C"/>
          <w:sz w:val="21"/>
          <w:szCs w:val="21"/>
        </w:rPr>
        <w:t xml:space="preserve">Asbestos register: must be maintained by building owner/PCBU for workplaces — not required for domestic homes but best practice</w:t>
      </w:r>
    </w:p>
    <w:p>
      <w:pPr>
        <w:pStyle w:val="ListParagraph"/>
        <w:numPr>
          <w:ilvl w:val="0"/>
          <w:numId w:val="2"/>
        </w:numPr>
        <w:spacing w:after="38" w:before="38"/>
      </w:pPr>
      <w:r>
        <w:rPr>
          <w:rFonts w:ascii="Arial" w:cs="Arial" w:eastAsia="Arial" w:hAnsi="Arial"/>
          <w:color w:val="2C2C2C"/>
          <w:sz w:val="21"/>
          <w:szCs w:val="21"/>
        </w:rPr>
        <w:t xml:space="preserve">Incident report: any unplanned ACM disturbance must be reported internally and to SafeWork/WorkSafe in your state</w:t>
      </w:r>
    </w:p>
    <w:p>
      <w:pPr>
        <w:pStyle w:val="ListParagraph"/>
        <w:numPr>
          <w:ilvl w:val="0"/>
          <w:numId w:val="2"/>
        </w:numPr>
        <w:spacing w:after="38" w:before="38"/>
      </w:pPr>
      <w:r>
        <w:rPr>
          <w:rFonts w:ascii="Arial" w:cs="Arial" w:eastAsia="Arial" w:hAnsi="Arial"/>
          <w:color w:val="2C2C2C"/>
          <w:sz w:val="21"/>
          <w:szCs w:val="21"/>
        </w:rPr>
        <w:t xml:space="preserve">Air monitoring: post-disturbance clearance requires air monitoring by an independent licensed asbestos assessor</w:t>
      </w:r>
    </w:p>
    <w:p>
      <w:pPr>
        <w:pStyle w:val="ListParagraph"/>
        <w:numPr>
          <w:ilvl w:val="0"/>
          <w:numId w:val="2"/>
        </w:numPr>
        <w:spacing w:after="38" w:before="38"/>
      </w:pPr>
      <w:r>
        <w:rPr>
          <w:rFonts w:ascii="Arial" w:cs="Arial" w:eastAsia="Arial" w:hAnsi="Arial"/>
          <w:color w:val="2C2C2C"/>
          <w:sz w:val="21"/>
          <w:szCs w:val="21"/>
        </w:rPr>
        <w:t xml:space="preserve">Clearance certificate: required before workers can re-enter a zone where ACM was disturbed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Regulations r.426: The person who manages or controls a workplace must ensure an asbestos register is prepared before any demolition or refurbishment. Restoration contractors must request sight of this register before commencing work.</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8: </w:t>
      </w:r>
      <w:r>
        <w:rPr>
          <w:rFonts w:ascii="Arial" w:cs="Arial" w:eastAsia="Arial" w:hAnsi="Arial"/>
          <w:b/>
          <w:bCs/>
          <w:color w:val="1A1A2E"/>
          <w:sz w:val="24"/>
          <w:szCs w:val="24"/>
        </w:rPr>
        <w:t xml:space="preserve">Training and Certification</w:t>
      </w:r>
    </w:p>
    <w:p>
      <w:pPr>
        <w:pStyle w:val="ListParagraph"/>
        <w:numPr>
          <w:ilvl w:val="0"/>
          <w:numId w:val="2"/>
        </w:numPr>
        <w:spacing w:after="38" w:before="38"/>
      </w:pPr>
      <w:r>
        <w:rPr>
          <w:rFonts w:ascii="Arial" w:cs="Arial" w:eastAsia="Arial" w:hAnsi="Arial"/>
          <w:color w:val="2C2C2C"/>
          <w:sz w:val="21"/>
          <w:szCs w:val="21"/>
        </w:rPr>
        <w:t xml:space="preserve">All workers in workplaces where ACM may be present must complete asbestos awareness training — refresher every 2 years recommended</w:t>
      </w:r>
    </w:p>
    <w:p>
      <w:pPr>
        <w:pStyle w:val="ListParagraph"/>
        <w:numPr>
          <w:ilvl w:val="0"/>
          <w:numId w:val="2"/>
        </w:numPr>
        <w:spacing w:after="38" w:before="38"/>
      </w:pPr>
      <w:r>
        <w:rPr>
          <w:rFonts w:ascii="Arial" w:cs="Arial" w:eastAsia="Arial" w:hAnsi="Arial"/>
          <w:color w:val="2C2C2C"/>
          <w:sz w:val="21"/>
          <w:szCs w:val="21"/>
        </w:rPr>
        <w:t xml:space="preserve">Class A licence: required for friable asbestos removal — national scheme, state-issued via SafeWork/WorkSafe</w:t>
      </w:r>
    </w:p>
    <w:p>
      <w:pPr>
        <w:pStyle w:val="ListParagraph"/>
        <w:numPr>
          <w:ilvl w:val="0"/>
          <w:numId w:val="2"/>
        </w:numPr>
        <w:spacing w:after="38" w:before="38"/>
      </w:pPr>
      <w:r>
        <w:rPr>
          <w:rFonts w:ascii="Arial" w:cs="Arial" w:eastAsia="Arial" w:hAnsi="Arial"/>
          <w:color w:val="2C2C2C"/>
          <w:sz w:val="21"/>
          <w:szCs w:val="21"/>
        </w:rPr>
        <w:t xml:space="preserve">Class B licence: required for bonded asbestos removal &gt;10m²</w:t>
      </w:r>
    </w:p>
    <w:p>
      <w:pPr>
        <w:pStyle w:val="ListParagraph"/>
        <w:numPr>
          <w:ilvl w:val="0"/>
          <w:numId w:val="2"/>
        </w:numPr>
        <w:spacing w:after="38" w:before="38"/>
      </w:pPr>
      <w:r>
        <w:rPr>
          <w:rFonts w:ascii="Arial" w:cs="Arial" w:eastAsia="Arial" w:hAnsi="Arial"/>
          <w:color w:val="2C2C2C"/>
          <w:sz w:val="21"/>
          <w:szCs w:val="21"/>
        </w:rPr>
        <w:t xml:space="preserve">Licenced asbestos assessor (LAA): independent role for air monitoring and clearance inspections — must not be the removalist</w:t>
      </w:r>
    </w:p>
    <w:p>
      <w:pPr>
        <w:pStyle w:val="ListParagraph"/>
        <w:numPr>
          <w:ilvl w:val="0"/>
          <w:numId w:val="2"/>
        </w:numPr>
        <w:spacing w:after="38" w:before="38"/>
      </w:pPr>
      <w:r>
        <w:rPr>
          <w:rFonts w:ascii="Arial" w:cs="Arial" w:eastAsia="Arial" w:hAnsi="Arial"/>
          <w:color w:val="2C2C2C"/>
          <w:sz w:val="21"/>
          <w:szCs w:val="21"/>
        </w:rPr>
        <w:t xml:space="preserve">Training providers: must meet the requirements of the Model WHS Regulations and be delivered by a competent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Keep a training record for every team member showing: date of asbestos awareness training, provider, and expiry. This is required evidence in the event of a SafeWork/WorkSafe inspection or incident investigation.</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9: </w:t>
      </w:r>
      <w:r>
        <w:rPr>
          <w:rFonts w:ascii="Arial" w:cs="Arial" w:eastAsia="Arial" w:hAnsi="Arial"/>
          <w:b/>
          <w:bCs/>
          <w:color w:val="1A1A2E"/>
          <w:sz w:val="24"/>
          <w:szCs w:val="24"/>
        </w:rPr>
        <w:t xml:space="preserve">Legal and Regulatory Requirements</w:t>
      </w:r>
    </w:p>
    <w:p>
      <w:pPr>
        <w:pStyle w:val="ListParagraph"/>
        <w:numPr>
          <w:ilvl w:val="0"/>
          <w:numId w:val="2"/>
        </w:numPr>
        <w:spacing w:after="38" w:before="38"/>
      </w:pPr>
      <w:r>
        <w:rPr>
          <w:rFonts w:ascii="Arial" w:cs="Arial" w:eastAsia="Arial" w:hAnsi="Arial"/>
          <w:color w:val="2C2C2C"/>
          <w:sz w:val="21"/>
          <w:szCs w:val="21"/>
        </w:rPr>
        <w:t xml:space="preserve">Work Health and Safety Act 2011 (Model): primary duty of care for PCBUs — includes managing asbestos risks</w:t>
      </w:r>
    </w:p>
    <w:p>
      <w:pPr>
        <w:pStyle w:val="ListParagraph"/>
        <w:numPr>
          <w:ilvl w:val="0"/>
          <w:numId w:val="2"/>
        </w:numPr>
        <w:spacing w:after="38" w:before="38"/>
      </w:pPr>
      <w:r>
        <w:rPr>
          <w:rFonts w:ascii="Arial" w:cs="Arial" w:eastAsia="Arial" w:hAnsi="Arial"/>
          <w:color w:val="2C2C2C"/>
          <w:sz w:val="21"/>
          <w:szCs w:val="21"/>
        </w:rPr>
        <w:t xml:space="preserve">Model WHS Regulations Part 8.5: specific asbestos obligations for removal, management, and demolition work</w:t>
      </w:r>
    </w:p>
    <w:p>
      <w:pPr>
        <w:pStyle w:val="ListParagraph"/>
        <w:numPr>
          <w:ilvl w:val="0"/>
          <w:numId w:val="2"/>
        </w:numPr>
        <w:spacing w:after="38" w:before="38"/>
      </w:pPr>
      <w:r>
        <w:rPr>
          <w:rFonts w:ascii="Arial" w:cs="Arial" w:eastAsia="Arial" w:hAnsi="Arial"/>
          <w:color w:val="2C2C2C"/>
          <w:sz w:val="21"/>
          <w:szCs w:val="21"/>
        </w:rPr>
        <w:t xml:space="preserve">Safe Work Australia Code of Practice: How to Manage and Control Asbestos in the Workplace (2011, updated)</w:t>
      </w:r>
    </w:p>
    <w:p>
      <w:pPr>
        <w:pStyle w:val="ListParagraph"/>
        <w:numPr>
          <w:ilvl w:val="0"/>
          <w:numId w:val="2"/>
        </w:numPr>
        <w:spacing w:after="38" w:before="38"/>
      </w:pPr>
      <w:r>
        <w:rPr>
          <w:rFonts w:ascii="Arial" w:cs="Arial" w:eastAsia="Arial" w:hAnsi="Arial"/>
          <w:color w:val="2C2C2C"/>
          <w:sz w:val="21"/>
          <w:szCs w:val="21"/>
        </w:rPr>
        <w:t xml:space="preserve">State legislation: each state has its own WHS Act that mirrors or supplements the Model WHS framework</w:t>
      </w:r>
    </w:p>
    <w:p>
      <w:pPr>
        <w:pStyle w:val="ListParagraph"/>
        <w:numPr>
          <w:ilvl w:val="0"/>
          <w:numId w:val="2"/>
        </w:numPr>
        <w:spacing w:after="38" w:before="38"/>
      </w:pPr>
      <w:r>
        <w:rPr>
          <w:rFonts w:ascii="Arial" w:cs="Arial" w:eastAsia="Arial" w:hAnsi="Arial"/>
          <w:color w:val="2C2C2C"/>
          <w:sz w:val="21"/>
          <w:szCs w:val="21"/>
        </w:rPr>
        <w:t xml:space="preserve">Penalties: breaches involving asbestos can attract Category 1 (reckless) offences — up to $3.3M for corporations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Restoration companies must have a documented asbestos management procedure as part of their WHS management system. Verbal instructions are not sufficient — the procedure must be in writing, accessible to all workers, and reviewed annually.</w:t>
            </w:r>
          </w:p>
        </w:tc>
      </w:tr>
    </w:tbl>
    <w:p>
      <w:r>
        <w:br w:type="page"/>
      </w:r>
    </w:p>
    <w:p>
      <w:pPr>
        <w:pStyle w:val="Heading1"/>
        <w:spacing w:after="100" w:before="260"/>
      </w:pPr>
      <w:r>
        <w:rPr>
          <w:rFonts w:ascii="Arial" w:cs="Arial" w:eastAsia="Arial" w:hAnsi="Arial"/>
          <w:b/>
          <w:bCs/>
          <w:color w:val="1F3864"/>
          <w:sz w:val="30"/>
          <w:szCs w:val="30"/>
        </w:rPr>
        <w:t xml:space="preserve">COURSE #30: Safety Data Sheet (SDS) Course</w:t>
      </w:r>
    </w:p>
    <w:p>
      <w:pPr>
        <w:spacing w:after="55" w:before="55"/>
      </w:pPr>
      <w:r>
        <w:rPr>
          <w:rFonts w:ascii="Arial" w:cs="Arial" w:eastAsia="Arial" w:hAnsi="Arial"/>
          <w:color w:val="2C2C2C"/>
          <w:sz w:val="21"/>
          <w:szCs w:val="21"/>
        </w:rPr>
        <w:t xml:space="preserve">Published | AUD $20  |  1 Module</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Safety Data Sheets are legally required documents that accompany every hazardous chemical used on Australian job sites. This course teaches restoration and cleaning professionals how to locate, read, and apply the information in an SDS to protect themselves, their team, and the occupants of every building they work in — in full compliance with the GHS-aligned Australian chemical labelling system.</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Safety Data Sheets — Reading and Application</w:t>
      </w:r>
    </w:p>
    <w:p>
      <w:pPr>
        <w:spacing w:after="55" w:before="55"/>
      </w:pPr>
      <w:r>
        <w:rPr>
          <w:rFonts w:ascii="Arial" w:cs="Arial" w:eastAsia="Arial" w:hAnsi="Arial"/>
          <w:color w:val="2C2C2C"/>
          <w:sz w:val="21"/>
          <w:szCs w:val="21"/>
        </w:rPr>
        <w:t xml:space="preserve">An SDS must be supplied by the manufacturer for every hazardous chemical and be accessible on site at all times. Knowing how to extract actionable information is a core WHS competency.</w:t>
      </w:r>
    </w:p>
    <w:p>
      <w:pPr>
        <w:spacing w:after="0" w:before="60"/>
      </w:pPr>
      <w:r>
        <w:t xml:space="preserve"/>
      </w:r>
    </w:p>
    <w:p>
      <w:pPr>
        <w:spacing w:after="55" w:before="55"/>
      </w:pPr>
      <w:r>
        <w:rPr>
          <w:rFonts w:ascii="Arial" w:cs="Arial" w:eastAsia="Arial" w:hAnsi="Arial"/>
          <w:b/>
          <w:bCs/>
          <w:color w:val="1A1A2E"/>
          <w:sz w:val="21"/>
          <w:szCs w:val="21"/>
        </w:rPr>
        <w:t xml:space="preserve">The 16 GHS Sections — What Each Tells You On The Job</w:t>
      </w:r>
    </w:p>
    <w:p>
      <w:pPr>
        <w:pStyle w:val="ListParagraph"/>
        <w:numPr>
          <w:ilvl w:val="0"/>
          <w:numId w:val="2"/>
        </w:numPr>
        <w:spacing w:after="38" w:before="38"/>
      </w:pPr>
      <w:r>
        <w:rPr>
          <w:rFonts w:ascii="Arial" w:cs="Arial" w:eastAsia="Arial" w:hAnsi="Arial"/>
          <w:color w:val="2C2C2C"/>
          <w:sz w:val="21"/>
          <w:szCs w:val="21"/>
        </w:rPr>
        <w:t xml:space="preserve">Section 1 — Identification: product name, supplier, emergency contacts — confirm you have the right SDS for the exact product in hand</w:t>
      </w:r>
    </w:p>
    <w:p>
      <w:pPr>
        <w:pStyle w:val="ListParagraph"/>
        <w:numPr>
          <w:ilvl w:val="0"/>
          <w:numId w:val="2"/>
        </w:numPr>
        <w:spacing w:after="38" w:before="38"/>
      </w:pPr>
      <w:r>
        <w:rPr>
          <w:rFonts w:ascii="Arial" w:cs="Arial" w:eastAsia="Arial" w:hAnsi="Arial"/>
          <w:color w:val="2C2C2C"/>
          <w:sz w:val="21"/>
          <w:szCs w:val="21"/>
        </w:rPr>
        <w:t xml:space="preserve">Section 2 — Hazard Identification: GHS hazard categories and signal words (DANGER/WARNING); pictograms — your first risk signal</w:t>
      </w:r>
    </w:p>
    <w:p>
      <w:pPr>
        <w:pStyle w:val="ListParagraph"/>
        <w:numPr>
          <w:ilvl w:val="0"/>
          <w:numId w:val="2"/>
        </w:numPr>
        <w:spacing w:after="38" w:before="38"/>
      </w:pPr>
      <w:r>
        <w:rPr>
          <w:rFonts w:ascii="Arial" w:cs="Arial" w:eastAsia="Arial" w:hAnsi="Arial"/>
          <w:color w:val="2C2C2C"/>
          <w:sz w:val="21"/>
          <w:szCs w:val="21"/>
        </w:rPr>
        <w:t xml:space="preserve">Section 3 — Composition: ingredients and concentrations — check for restricted substances under Australian regulations</w:t>
      </w:r>
    </w:p>
    <w:p>
      <w:pPr>
        <w:pStyle w:val="ListParagraph"/>
        <w:numPr>
          <w:ilvl w:val="0"/>
          <w:numId w:val="2"/>
        </w:numPr>
        <w:spacing w:after="38" w:before="38"/>
      </w:pPr>
      <w:r>
        <w:rPr>
          <w:rFonts w:ascii="Arial" w:cs="Arial" w:eastAsia="Arial" w:hAnsi="Arial"/>
          <w:color w:val="2C2C2C"/>
          <w:sz w:val="21"/>
          <w:szCs w:val="21"/>
        </w:rPr>
        <w:t xml:space="preserve">Section 4 — First Aid: know before you need it; pin this to your first aid kit for every chemical in use</w:t>
      </w:r>
    </w:p>
    <w:p>
      <w:pPr>
        <w:pStyle w:val="ListParagraph"/>
        <w:numPr>
          <w:ilvl w:val="0"/>
          <w:numId w:val="2"/>
        </w:numPr>
        <w:spacing w:after="38" w:before="38"/>
      </w:pPr>
      <w:r>
        <w:rPr>
          <w:rFonts w:ascii="Arial" w:cs="Arial" w:eastAsia="Arial" w:hAnsi="Arial"/>
          <w:color w:val="2C2C2C"/>
          <w:sz w:val="21"/>
          <w:szCs w:val="21"/>
        </w:rPr>
        <w:t xml:space="preserve">Section 5 — Firefighting: compatible extinguisher types; critical for storage and emergency planning</w:t>
      </w:r>
    </w:p>
    <w:p>
      <w:pPr>
        <w:pStyle w:val="ListParagraph"/>
        <w:numPr>
          <w:ilvl w:val="0"/>
          <w:numId w:val="2"/>
        </w:numPr>
        <w:spacing w:after="38" w:before="38"/>
      </w:pPr>
      <w:r>
        <w:rPr>
          <w:rFonts w:ascii="Arial" w:cs="Arial" w:eastAsia="Arial" w:hAnsi="Arial"/>
          <w:color w:val="2C2C2C"/>
          <w:sz w:val="21"/>
          <w:szCs w:val="21"/>
        </w:rPr>
        <w:t xml:space="preserve">Section 6 — Accidental Release: spill kit requirements, notification triggers, PPE for cleanup</w:t>
      </w:r>
    </w:p>
    <w:p>
      <w:pPr>
        <w:pStyle w:val="ListParagraph"/>
        <w:numPr>
          <w:ilvl w:val="0"/>
          <w:numId w:val="2"/>
        </w:numPr>
        <w:spacing w:after="38" w:before="38"/>
      </w:pPr>
      <w:r>
        <w:rPr>
          <w:rFonts w:ascii="Arial" w:cs="Arial" w:eastAsia="Arial" w:hAnsi="Arial"/>
          <w:color w:val="2C2C2C"/>
          <w:sz w:val="21"/>
          <w:szCs w:val="21"/>
        </w:rPr>
        <w:t xml:space="preserve">Section 7 — Handling and Storage: incompatible materials, temperature limits, ventilation requirements</w:t>
      </w:r>
    </w:p>
    <w:p>
      <w:pPr>
        <w:pStyle w:val="ListParagraph"/>
        <w:numPr>
          <w:ilvl w:val="0"/>
          <w:numId w:val="2"/>
        </w:numPr>
        <w:spacing w:after="38" w:before="38"/>
      </w:pPr>
      <w:r>
        <w:rPr>
          <w:rFonts w:ascii="Arial" w:cs="Arial" w:eastAsia="Arial" w:hAnsi="Arial"/>
          <w:color w:val="2C2C2C"/>
          <w:sz w:val="21"/>
          <w:szCs w:val="21"/>
        </w:rPr>
        <w:t xml:space="preserve">Section 8 — Exposure Controls/PPE: Workplace Exposure Standards (WES); specific PPE type with standard reference</w:t>
      </w:r>
    </w:p>
    <w:p>
      <w:pPr>
        <w:pStyle w:val="ListParagraph"/>
        <w:numPr>
          <w:ilvl w:val="0"/>
          <w:numId w:val="2"/>
        </w:numPr>
        <w:spacing w:after="38" w:before="38"/>
      </w:pPr>
      <w:r>
        <w:rPr>
          <w:rFonts w:ascii="Arial" w:cs="Arial" w:eastAsia="Arial" w:hAnsi="Arial"/>
          <w:color w:val="2C2C2C"/>
          <w:sz w:val="21"/>
          <w:szCs w:val="21"/>
        </w:rPr>
        <w:t xml:space="preserve">Section 9 — Physical/Chemical Properties: flash point, pH, evaporation rate — essential for confined space and fire risk assessment</w:t>
      </w:r>
    </w:p>
    <w:p>
      <w:pPr>
        <w:pStyle w:val="ListParagraph"/>
        <w:numPr>
          <w:ilvl w:val="0"/>
          <w:numId w:val="2"/>
        </w:numPr>
        <w:spacing w:after="38" w:before="38"/>
      </w:pPr>
      <w:r>
        <w:rPr>
          <w:rFonts w:ascii="Arial" w:cs="Arial" w:eastAsia="Arial" w:hAnsi="Arial"/>
          <w:color w:val="2C2C2C"/>
          <w:sz w:val="21"/>
          <w:szCs w:val="21"/>
        </w:rPr>
        <w:t xml:space="preserve">Section 10 — Stability and Reactivity: what not to mix this product with — prevents accidental chemical reactions</w:t>
      </w:r>
    </w:p>
    <w:p>
      <w:pPr>
        <w:pStyle w:val="ListParagraph"/>
        <w:numPr>
          <w:ilvl w:val="0"/>
          <w:numId w:val="2"/>
        </w:numPr>
        <w:spacing w:after="38" w:before="38"/>
      </w:pPr>
      <w:r>
        <w:rPr>
          <w:rFonts w:ascii="Arial" w:cs="Arial" w:eastAsia="Arial" w:hAnsi="Arial"/>
          <w:color w:val="2C2C2C"/>
          <w:sz w:val="21"/>
          <w:szCs w:val="21"/>
        </w:rPr>
        <w:t xml:space="preserve">Section 11 — Toxicology: routes of exposure (inhalation, skin, ingestion); LD50 values — used to assess severity of exposure</w:t>
      </w:r>
    </w:p>
    <w:p>
      <w:pPr>
        <w:pStyle w:val="ListParagraph"/>
        <w:numPr>
          <w:ilvl w:val="0"/>
          <w:numId w:val="2"/>
        </w:numPr>
        <w:spacing w:after="38" w:before="38"/>
      </w:pPr>
      <w:r>
        <w:rPr>
          <w:rFonts w:ascii="Arial" w:cs="Arial" w:eastAsia="Arial" w:hAnsi="Arial"/>
          <w:color w:val="2C2C2C"/>
          <w:sz w:val="21"/>
          <w:szCs w:val="21"/>
        </w:rPr>
        <w:t xml:space="preserve">Section 12 — Ecological Information: environmental persistence and toxicity — relevant to drain disposal and outdoor use</w:t>
      </w:r>
    </w:p>
    <w:p>
      <w:pPr>
        <w:pStyle w:val="ListParagraph"/>
        <w:numPr>
          <w:ilvl w:val="0"/>
          <w:numId w:val="2"/>
        </w:numPr>
        <w:spacing w:after="38" w:before="38"/>
      </w:pPr>
      <w:r>
        <w:rPr>
          <w:rFonts w:ascii="Arial" w:cs="Arial" w:eastAsia="Arial" w:hAnsi="Arial"/>
          <w:color w:val="2C2C2C"/>
          <w:sz w:val="21"/>
          <w:szCs w:val="21"/>
        </w:rPr>
        <w:t xml:space="preserve">Section 13 — Disposal: correct disposal method and regulatory classification — required for waste management compliance</w:t>
      </w:r>
    </w:p>
    <w:p>
      <w:pPr>
        <w:pStyle w:val="ListParagraph"/>
        <w:numPr>
          <w:ilvl w:val="0"/>
          <w:numId w:val="2"/>
        </w:numPr>
        <w:spacing w:after="38" w:before="38"/>
      </w:pPr>
      <w:r>
        <w:rPr>
          <w:rFonts w:ascii="Arial" w:cs="Arial" w:eastAsia="Arial" w:hAnsi="Arial"/>
          <w:color w:val="2C2C2C"/>
          <w:sz w:val="21"/>
          <w:szCs w:val="21"/>
        </w:rPr>
        <w:t xml:space="preserve">Section 14 — Transport: ADG Code classification — required when transporting chemicals to or from job sites</w:t>
      </w:r>
    </w:p>
    <w:p>
      <w:pPr>
        <w:pStyle w:val="ListParagraph"/>
        <w:numPr>
          <w:ilvl w:val="0"/>
          <w:numId w:val="2"/>
        </w:numPr>
        <w:spacing w:after="38" w:before="38"/>
      </w:pPr>
      <w:r>
        <w:rPr>
          <w:rFonts w:ascii="Arial" w:cs="Arial" w:eastAsia="Arial" w:hAnsi="Arial"/>
          <w:color w:val="2C2C2C"/>
          <w:sz w:val="21"/>
          <w:szCs w:val="21"/>
        </w:rPr>
        <w:t xml:space="preserve">Section 15 — Regulatory: state/territory-specific obligations; poisons scheduling if applicable</w:t>
      </w:r>
    </w:p>
    <w:p>
      <w:pPr>
        <w:pStyle w:val="ListParagraph"/>
        <w:numPr>
          <w:ilvl w:val="0"/>
          <w:numId w:val="2"/>
        </w:numPr>
        <w:spacing w:after="38" w:before="38"/>
      </w:pPr>
      <w:r>
        <w:rPr>
          <w:rFonts w:ascii="Arial" w:cs="Arial" w:eastAsia="Arial" w:hAnsi="Arial"/>
          <w:color w:val="2C2C2C"/>
          <w:sz w:val="21"/>
          <w:szCs w:val="21"/>
        </w:rPr>
        <w:t xml:space="preserve">Section 16 — Other Information: revision date — verify SDS is current within 5 years; older SDS may not reflect current regulatory WES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Regulations r.337: The PCBU must ensure an SDS is provided to any person who is likely to be affected by a hazardous chemical. The SDS must be current (within 5 years of issue date) and must be accessible at the workplace — not locked in a car or back at the office.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Before using any chemical on a job site: (1) confirm the SDS is on site, (2) check Section 8 for the correct PPE and WES, (3) check Section 7 for ventilation requirements, (4) check Section 6 so your team knows the spill response. Time spent reading Section 4 before an incident is far better than reading it during 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37562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STANDARD REF</w:t>
            </w:r>
          </w:p>
        </w:tc>
        <w:tc>
          <w:tcPr>
            <w:tcW w:type="dxa" w:w="7400"/>
            <w:tcBorders>
              <w:top w:val="single" w:color="B4C8E8" w:sz="1"/>
              <w:left w:val="single" w:color="B4C8E8" w:sz="1"/>
              <w:bottom w:val="single" w:color="B4C8E8" w:sz="1"/>
              <w:right w:val="single" w:color="B4C8E8" w:sz="1"/>
            </w:tcBorders>
            <w:shd w:fill="E2EFDA" w:val="clear"/>
            <w:tcMar>
              <w:top w:type="dxa" w:w="80"/>
              <w:left w:type="dxa" w:w="140"/>
              <w:bottom w:type="dxa" w:w="80"/>
              <w:right w:type="dxa" w:w="140"/>
            </w:tcMar>
          </w:tcPr>
          <w:p>
            <w:r>
              <w:rPr>
                <w:rFonts w:ascii="Arial" w:cs="Arial" w:eastAsia="Arial" w:hAnsi="Arial"/>
                <w:color w:val="2C2C2C"/>
                <w:sz w:val="20"/>
                <w:szCs w:val="20"/>
              </w:rPr>
              <w:t xml:space="preserve">Safe Work Australia — Preparation of Safety Data Sheets for Hazardous Chemicals Code of Practice (2021). All SDS must comply with GHS (7th revision). Products labelled under earlier versions must be updated by the manufacturer's compliance date.</w:t>
            </w:r>
          </w:p>
        </w:tc>
      </w:tr>
    </w:tbl>
    <w:p>
      <w:r>
        <w:br w:type="page"/>
      </w:r>
    </w:p>
    <w:p>
      <w:pPr>
        <w:pStyle w:val="Heading1"/>
        <w:spacing w:after="100" w:before="260"/>
      </w:pPr>
      <w:r>
        <w:rPr>
          <w:rFonts w:ascii="Arial" w:cs="Arial" w:eastAsia="Arial" w:hAnsi="Arial"/>
          <w:b/>
          <w:bCs/>
          <w:color w:val="1F3864"/>
          <w:sz w:val="30"/>
          <w:szCs w:val="30"/>
        </w:rPr>
        <w:t xml:space="preserve">COURSE #29: Standard Operating Procedures (SOP) Course</w:t>
      </w:r>
    </w:p>
    <w:p>
      <w:pPr>
        <w:spacing w:after="55" w:before="55"/>
      </w:pPr>
      <w:r>
        <w:rPr>
          <w:rFonts w:ascii="Arial" w:cs="Arial" w:eastAsia="Arial" w:hAnsi="Arial"/>
          <w:color w:val="2C2C2C"/>
          <w:sz w:val="21"/>
          <w:szCs w:val="21"/>
        </w:rPr>
        <w:t xml:space="preserve">Published | AUD $20  |  1 Module</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Standard Operating Procedures define the consistent, compliant, and safe method for completing every task in a restoration or cleaning business. This course teaches you how to write, implement, and review SOPs that protect your workers, satisfy your WHS legal obligations, and deliver repeatable, professional results on every job.</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Standard Operating Procedures</w:t>
      </w:r>
    </w:p>
    <w:p>
      <w:pPr>
        <w:spacing w:after="55" w:before="55"/>
      </w:pPr>
      <w:r>
        <w:rPr>
          <w:rFonts w:ascii="Arial" w:cs="Arial" w:eastAsia="Arial" w:hAnsi="Arial"/>
          <w:color w:val="2C2C2C"/>
          <w:sz w:val="21"/>
          <w:szCs w:val="21"/>
        </w:rPr>
        <w:t xml:space="preserve">An SOP is a documented, step-by-step procedure for performing a task correctly and safely every time. For restoration businesses, SOPs eliminate guesswork, reduce incidents, and form the backbone of any WHS management system.</w:t>
      </w:r>
    </w:p>
    <w:p>
      <w:pPr>
        <w:spacing w:after="0" w:before="60"/>
      </w:pPr>
      <w:r>
        <w:t xml:space="preserve"/>
      </w:r>
    </w:p>
    <w:p>
      <w:pPr>
        <w:spacing w:after="55" w:before="55"/>
      </w:pPr>
      <w:r>
        <w:rPr>
          <w:rFonts w:ascii="Arial" w:cs="Arial" w:eastAsia="Arial" w:hAnsi="Arial"/>
          <w:b/>
          <w:bCs/>
          <w:color w:val="1A1A2E"/>
          <w:sz w:val="21"/>
          <w:szCs w:val="21"/>
        </w:rPr>
        <w:t xml:space="preserve">Why SOPs Are a Legal Obligation</w:t>
      </w:r>
    </w:p>
    <w:p>
      <w:pPr>
        <w:pStyle w:val="ListParagraph"/>
        <w:numPr>
          <w:ilvl w:val="0"/>
          <w:numId w:val="2"/>
        </w:numPr>
        <w:spacing w:after="38" w:before="38"/>
      </w:pPr>
      <w:r>
        <w:rPr>
          <w:rFonts w:ascii="Arial" w:cs="Arial" w:eastAsia="Arial" w:hAnsi="Arial"/>
          <w:color w:val="2C2C2C"/>
          <w:sz w:val="21"/>
          <w:szCs w:val="21"/>
        </w:rPr>
        <w:t xml:space="preserve">Model WHS Act s.19: the PCBU must provide safe systems of work — documented SOPs are evidence of this</w:t>
      </w:r>
    </w:p>
    <w:p>
      <w:pPr>
        <w:pStyle w:val="ListParagraph"/>
        <w:numPr>
          <w:ilvl w:val="0"/>
          <w:numId w:val="2"/>
        </w:numPr>
        <w:spacing w:after="38" w:before="38"/>
      </w:pPr>
      <w:r>
        <w:rPr>
          <w:rFonts w:ascii="Arial" w:cs="Arial" w:eastAsia="Arial" w:hAnsi="Arial"/>
          <w:color w:val="2C2C2C"/>
          <w:sz w:val="21"/>
          <w:szCs w:val="21"/>
        </w:rPr>
        <w:t xml:space="preserve">Without SOPs, each technician invents their own method — inconsistency creates preventable risks</w:t>
      </w:r>
    </w:p>
    <w:p>
      <w:pPr>
        <w:pStyle w:val="ListParagraph"/>
        <w:numPr>
          <w:ilvl w:val="0"/>
          <w:numId w:val="2"/>
        </w:numPr>
        <w:spacing w:after="38" w:before="38"/>
      </w:pPr>
      <w:r>
        <w:rPr>
          <w:rFonts w:ascii="Arial" w:cs="Arial" w:eastAsia="Arial" w:hAnsi="Arial"/>
          <w:color w:val="2C2C2C"/>
          <w:sz w:val="21"/>
          <w:szCs w:val="21"/>
        </w:rPr>
        <w:t xml:space="preserve">In an incident investigation or prosecution, the absence of an SOP is evidence of a failure in the safety management system</w:t>
      </w:r>
    </w:p>
    <w:p>
      <w:pPr>
        <w:pStyle w:val="ListParagraph"/>
        <w:numPr>
          <w:ilvl w:val="0"/>
          <w:numId w:val="2"/>
        </w:numPr>
        <w:spacing w:after="38" w:before="38"/>
      </w:pPr>
      <w:r>
        <w:rPr>
          <w:rFonts w:ascii="Arial" w:cs="Arial" w:eastAsia="Arial" w:hAnsi="Arial"/>
          <w:color w:val="2C2C2C"/>
          <w:sz w:val="21"/>
          <w:szCs w:val="21"/>
        </w:rPr>
        <w:t xml:space="preserve">Insurers increasingly require documented SOPs as part of liability and workers compensation coverage conditions</w:t>
      </w:r>
    </w:p>
    <w:p>
      <w:pPr>
        <w:spacing w:after="0" w:before="60"/>
      </w:pPr>
      <w:r>
        <w:t xml:space="preserve"/>
      </w:r>
    </w:p>
    <w:p>
      <w:pPr>
        <w:spacing w:after="55" w:before="55"/>
      </w:pPr>
      <w:r>
        <w:rPr>
          <w:rFonts w:ascii="Arial" w:cs="Arial" w:eastAsia="Arial" w:hAnsi="Arial"/>
          <w:b/>
          <w:bCs/>
          <w:color w:val="1A1A2E"/>
          <w:sz w:val="21"/>
          <w:szCs w:val="21"/>
        </w:rPr>
        <w:t xml:space="preserve">Structure of an Effective SOP</w:t>
      </w:r>
    </w:p>
    <w:p>
      <w:pPr>
        <w:pStyle w:val="ListParagraph"/>
        <w:numPr>
          <w:ilvl w:val="0"/>
          <w:numId w:val="2"/>
        </w:numPr>
        <w:spacing w:after="38" w:before="38"/>
      </w:pPr>
      <w:r>
        <w:rPr>
          <w:rFonts w:ascii="Arial" w:cs="Arial" w:eastAsia="Arial" w:hAnsi="Arial"/>
          <w:color w:val="2C2C2C"/>
          <w:sz w:val="21"/>
          <w:szCs w:val="21"/>
        </w:rPr>
        <w:t xml:space="preserve">Title and version number — document control is critical; always work from the current version</w:t>
      </w:r>
    </w:p>
    <w:p>
      <w:pPr>
        <w:pStyle w:val="ListParagraph"/>
        <w:numPr>
          <w:ilvl w:val="0"/>
          <w:numId w:val="2"/>
        </w:numPr>
        <w:spacing w:after="38" w:before="38"/>
      </w:pPr>
      <w:r>
        <w:rPr>
          <w:rFonts w:ascii="Arial" w:cs="Arial" w:eastAsia="Arial" w:hAnsi="Arial"/>
          <w:color w:val="2C2C2C"/>
          <w:sz w:val="21"/>
          <w:szCs w:val="21"/>
        </w:rPr>
        <w:t xml:space="preserve">Scope: what jobs, tasks, or scenarios this SOP applies to</w:t>
      </w:r>
    </w:p>
    <w:p>
      <w:pPr>
        <w:pStyle w:val="ListParagraph"/>
        <w:numPr>
          <w:ilvl w:val="0"/>
          <w:numId w:val="2"/>
        </w:numPr>
        <w:spacing w:after="38" w:before="38"/>
      </w:pPr>
      <w:r>
        <w:rPr>
          <w:rFonts w:ascii="Arial" w:cs="Arial" w:eastAsia="Arial" w:hAnsi="Arial"/>
          <w:color w:val="2C2C2C"/>
          <w:sz w:val="21"/>
          <w:szCs w:val="21"/>
        </w:rPr>
        <w:t xml:space="preserve">Responsibilities: who authorises, who performs, who checks</w:t>
      </w:r>
    </w:p>
    <w:p>
      <w:pPr>
        <w:pStyle w:val="ListParagraph"/>
        <w:numPr>
          <w:ilvl w:val="0"/>
          <w:numId w:val="2"/>
        </w:numPr>
        <w:spacing w:after="38" w:before="38"/>
      </w:pPr>
      <w:r>
        <w:rPr>
          <w:rFonts w:ascii="Arial" w:cs="Arial" w:eastAsia="Arial" w:hAnsi="Arial"/>
          <w:color w:val="2C2C2C"/>
          <w:sz w:val="21"/>
          <w:szCs w:val="21"/>
        </w:rPr>
        <w:t xml:space="preserve">Required equipment and chemicals: with SDS references for each chemical listed</w:t>
      </w:r>
    </w:p>
    <w:p>
      <w:pPr>
        <w:pStyle w:val="ListParagraph"/>
        <w:numPr>
          <w:ilvl w:val="0"/>
          <w:numId w:val="2"/>
        </w:numPr>
        <w:spacing w:after="38" w:before="38"/>
      </w:pPr>
      <w:r>
        <w:rPr>
          <w:rFonts w:ascii="Arial" w:cs="Arial" w:eastAsia="Arial" w:hAnsi="Arial"/>
          <w:color w:val="2C2C2C"/>
          <w:sz w:val="21"/>
          <w:szCs w:val="21"/>
        </w:rPr>
        <w:t xml:space="preserve">Step-by-step procedure: numbered, sequential, unambiguous — written at the literacy level of the user</w:t>
      </w:r>
    </w:p>
    <w:p>
      <w:pPr>
        <w:pStyle w:val="ListParagraph"/>
        <w:numPr>
          <w:ilvl w:val="0"/>
          <w:numId w:val="2"/>
        </w:numPr>
        <w:spacing w:after="38" w:before="38"/>
      </w:pPr>
      <w:r>
        <w:rPr>
          <w:rFonts w:ascii="Arial" w:cs="Arial" w:eastAsia="Arial" w:hAnsi="Arial"/>
          <w:color w:val="2C2C2C"/>
          <w:sz w:val="21"/>
          <w:szCs w:val="21"/>
        </w:rPr>
        <w:t xml:space="preserve">Safety requirements: PPE specification per task step, not just generic at the top</w:t>
      </w:r>
    </w:p>
    <w:p>
      <w:pPr>
        <w:pStyle w:val="ListParagraph"/>
        <w:numPr>
          <w:ilvl w:val="0"/>
          <w:numId w:val="2"/>
        </w:numPr>
        <w:spacing w:after="38" w:before="38"/>
      </w:pPr>
      <w:r>
        <w:rPr>
          <w:rFonts w:ascii="Arial" w:cs="Arial" w:eastAsia="Arial" w:hAnsi="Arial"/>
          <w:color w:val="2C2C2C"/>
          <w:sz w:val="21"/>
          <w:szCs w:val="21"/>
        </w:rPr>
        <w:t xml:space="preserve">Emergency response: what to do if something goes wrong during this specific task</w:t>
      </w:r>
    </w:p>
    <w:p>
      <w:pPr>
        <w:pStyle w:val="ListParagraph"/>
        <w:numPr>
          <w:ilvl w:val="0"/>
          <w:numId w:val="2"/>
        </w:numPr>
        <w:spacing w:after="38" w:before="38"/>
      </w:pPr>
      <w:r>
        <w:rPr>
          <w:rFonts w:ascii="Arial" w:cs="Arial" w:eastAsia="Arial" w:hAnsi="Arial"/>
          <w:color w:val="2C2C2C"/>
          <w:sz w:val="21"/>
          <w:szCs w:val="21"/>
        </w:rPr>
        <w:t xml:space="preserve">Review date and sign-off: reviewed at minimum annually or after any incident involving this task</w:t>
      </w:r>
    </w:p>
    <w:p>
      <w:pPr>
        <w:spacing w:after="0" w:before="60"/>
      </w:pPr>
      <w:r>
        <w:t xml:space="preserve"/>
      </w:r>
    </w:p>
    <w:p>
      <w:pPr>
        <w:spacing w:after="55" w:before="55"/>
      </w:pPr>
      <w:r>
        <w:rPr>
          <w:rFonts w:ascii="Arial" w:cs="Arial" w:eastAsia="Arial" w:hAnsi="Arial"/>
          <w:b/>
          <w:bCs/>
          <w:color w:val="1A1A2E"/>
          <w:sz w:val="21"/>
          <w:szCs w:val="21"/>
        </w:rPr>
        <w:t xml:space="preserve">Key SOPs Every Restoration Business Must Have</w:t>
      </w:r>
    </w:p>
    <w:p>
      <w:pPr>
        <w:pStyle w:val="ListParagraph"/>
        <w:numPr>
          <w:ilvl w:val="0"/>
          <w:numId w:val="2"/>
        </w:numPr>
        <w:spacing w:after="38" w:before="38"/>
      </w:pPr>
      <w:r>
        <w:rPr>
          <w:rFonts w:ascii="Arial" w:cs="Arial" w:eastAsia="Arial" w:hAnsi="Arial"/>
          <w:color w:val="2C2C2C"/>
          <w:sz w:val="21"/>
          <w:szCs w:val="21"/>
        </w:rPr>
        <w:t xml:space="preserve">Water damage initial response — Category 1/2/3 differentiation, PPE, notification</w:t>
      </w:r>
    </w:p>
    <w:p>
      <w:pPr>
        <w:pStyle w:val="ListParagraph"/>
        <w:numPr>
          <w:ilvl w:val="0"/>
          <w:numId w:val="2"/>
        </w:numPr>
        <w:spacing w:after="38" w:before="38"/>
      </w:pPr>
      <w:r>
        <w:rPr>
          <w:rFonts w:ascii="Arial" w:cs="Arial" w:eastAsia="Arial" w:hAnsi="Arial"/>
          <w:color w:val="2C2C2C"/>
          <w:sz w:val="21"/>
          <w:szCs w:val="21"/>
        </w:rPr>
        <w:t xml:space="preserve">Mould remediation — containment setup, negative pressure verification, clearance criteria</w:t>
      </w:r>
    </w:p>
    <w:p>
      <w:pPr>
        <w:pStyle w:val="ListParagraph"/>
        <w:numPr>
          <w:ilvl w:val="0"/>
          <w:numId w:val="2"/>
        </w:numPr>
        <w:spacing w:after="38" w:before="38"/>
      </w:pPr>
      <w:r>
        <w:rPr>
          <w:rFonts w:ascii="Arial" w:cs="Arial" w:eastAsia="Arial" w:hAnsi="Arial"/>
          <w:color w:val="2C2C2C"/>
          <w:sz w:val="21"/>
          <w:szCs w:val="21"/>
        </w:rPr>
        <w:t xml:space="preserve">Chemical application — mixing ratios, dwell times, ventilation, PPE, disposal</w:t>
      </w:r>
    </w:p>
    <w:p>
      <w:pPr>
        <w:pStyle w:val="ListParagraph"/>
        <w:numPr>
          <w:ilvl w:val="0"/>
          <w:numId w:val="2"/>
        </w:numPr>
        <w:spacing w:after="38" w:before="38"/>
      </w:pPr>
      <w:r>
        <w:rPr>
          <w:rFonts w:ascii="Arial" w:cs="Arial" w:eastAsia="Arial" w:hAnsi="Arial"/>
          <w:color w:val="2C2C2C"/>
          <w:sz w:val="21"/>
          <w:szCs w:val="21"/>
        </w:rPr>
        <w:t xml:space="preserve">Asbestos suspected — stop-work, isolation, notification procedure</w:t>
      </w:r>
    </w:p>
    <w:p>
      <w:pPr>
        <w:pStyle w:val="ListParagraph"/>
        <w:numPr>
          <w:ilvl w:val="0"/>
          <w:numId w:val="2"/>
        </w:numPr>
        <w:spacing w:after="38" w:before="38"/>
      </w:pPr>
      <w:r>
        <w:rPr>
          <w:rFonts w:ascii="Arial" w:cs="Arial" w:eastAsia="Arial" w:hAnsi="Arial"/>
          <w:color w:val="2C2C2C"/>
          <w:sz w:val="21"/>
          <w:szCs w:val="21"/>
        </w:rPr>
        <w:t xml:space="preserve">Confined space entry (subfloor, tank, pit) — permit, atmosphere testing, rescue plan</w:t>
      </w:r>
    </w:p>
    <w:p>
      <w:pPr>
        <w:pStyle w:val="ListParagraph"/>
        <w:numPr>
          <w:ilvl w:val="0"/>
          <w:numId w:val="2"/>
        </w:numPr>
        <w:spacing w:after="38" w:before="38"/>
      </w:pPr>
      <w:r>
        <w:rPr>
          <w:rFonts w:ascii="Arial" w:cs="Arial" w:eastAsia="Arial" w:hAnsi="Arial"/>
          <w:color w:val="2C2C2C"/>
          <w:sz w:val="21"/>
          <w:szCs w:val="21"/>
        </w:rPr>
        <w:t xml:space="preserve">Emergency evacuation from a contaminated site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Review your SOPs after every near-miss or incident — if the procedure was followed and the incident still happened, the SOP needs updating. If the procedure wasn't followed, that's a training and supervision issue, not an SOP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Act s.22: Officers (directors, senior managers) have a positive duty to ensure the organisation has and uses safe systems of work. SOPs that exist but are not enforced or not known to workers provide limited legal protection.</w:t>
            </w:r>
          </w:p>
        </w:tc>
      </w:tr>
    </w:tbl>
    <w:p>
      <w:r>
        <w:br w:type="page"/>
      </w:r>
    </w:p>
    <w:p>
      <w:pPr>
        <w:pStyle w:val="Heading1"/>
        <w:spacing w:after="100" w:before="260"/>
      </w:pPr>
      <w:r>
        <w:rPr>
          <w:rFonts w:ascii="Arial" w:cs="Arial" w:eastAsia="Arial" w:hAnsi="Arial"/>
          <w:b/>
          <w:bCs/>
          <w:color w:val="1F3864"/>
          <w:sz w:val="30"/>
          <w:szCs w:val="30"/>
        </w:rPr>
        <w:t xml:space="preserve">COURSE #31: Safe Work Method Statements (SWMS) Course</w:t>
      </w:r>
    </w:p>
    <w:p>
      <w:pPr>
        <w:spacing w:after="55" w:before="55"/>
      </w:pPr>
      <w:r>
        <w:rPr>
          <w:rFonts w:ascii="Arial" w:cs="Arial" w:eastAsia="Arial" w:hAnsi="Arial"/>
          <w:color w:val="2C2C2C"/>
          <w:sz w:val="21"/>
          <w:szCs w:val="21"/>
        </w:rPr>
        <w:t xml:space="preserve">Published | AUD $20  |  1 Module</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A Safe Work Method Statement (SWMS) is a legislatively required document for all high-risk construction work in Australia. This course teaches restoration and cleaning professionals when a SWMS is legally required, how to write one that is accurate and useful, and how to implement it effectively on the job site.</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Safe Work Method Statements</w:t>
      </w:r>
    </w:p>
    <w:p>
      <w:pPr>
        <w:spacing w:after="55" w:before="55"/>
      </w:pPr>
      <w:r>
        <w:rPr>
          <w:rFonts w:ascii="Arial" w:cs="Arial" w:eastAsia="Arial" w:hAnsi="Arial"/>
          <w:color w:val="2C2C2C"/>
          <w:sz w:val="21"/>
          <w:szCs w:val="21"/>
        </w:rPr>
        <w:t xml:space="preserve">A SWMS is not optional for high-risk construction work — it is a legal requirement under the Model WHS Regulations Schedule 18. In restoration, many common tasks qualify as high-risk construction work.</w:t>
      </w:r>
    </w:p>
    <w:p>
      <w:pPr>
        <w:spacing w:after="0" w:before="60"/>
      </w:pPr>
      <w:r>
        <w:t xml:space="preserve"/>
      </w:r>
    </w:p>
    <w:p>
      <w:pPr>
        <w:spacing w:after="55" w:before="55"/>
      </w:pPr>
      <w:r>
        <w:rPr>
          <w:rFonts w:ascii="Arial" w:cs="Arial" w:eastAsia="Arial" w:hAnsi="Arial"/>
          <w:b/>
          <w:bCs/>
          <w:color w:val="1A1A2E"/>
          <w:sz w:val="21"/>
          <w:szCs w:val="21"/>
        </w:rPr>
        <w:t xml:space="preserve">When a SWMS Is Legally Required</w:t>
      </w:r>
    </w:p>
    <w:p>
      <w:pPr>
        <w:pStyle w:val="ListParagraph"/>
        <w:numPr>
          <w:ilvl w:val="0"/>
          <w:numId w:val="2"/>
        </w:numPr>
        <w:spacing w:after="38" w:before="38"/>
      </w:pPr>
      <w:r>
        <w:rPr>
          <w:rFonts w:ascii="Arial" w:cs="Arial" w:eastAsia="Arial" w:hAnsi="Arial"/>
          <w:color w:val="2C2C2C"/>
          <w:sz w:val="21"/>
          <w:szCs w:val="21"/>
        </w:rPr>
        <w:t xml:space="preserve">Any work involving a risk of a person falling more than 2 metres</w:t>
      </w:r>
    </w:p>
    <w:p>
      <w:pPr>
        <w:pStyle w:val="ListParagraph"/>
        <w:numPr>
          <w:ilvl w:val="0"/>
          <w:numId w:val="2"/>
        </w:numPr>
        <w:spacing w:after="38" w:before="38"/>
      </w:pPr>
      <w:r>
        <w:rPr>
          <w:rFonts w:ascii="Arial" w:cs="Arial" w:eastAsia="Arial" w:hAnsi="Arial"/>
          <w:color w:val="2C2C2C"/>
          <w:sz w:val="21"/>
          <w:szCs w:val="21"/>
        </w:rPr>
        <w:t xml:space="preserve">Work in or near a confined space (including subfloors and roof voids)</w:t>
      </w:r>
    </w:p>
    <w:p>
      <w:pPr>
        <w:pStyle w:val="ListParagraph"/>
        <w:numPr>
          <w:ilvl w:val="0"/>
          <w:numId w:val="2"/>
        </w:numPr>
        <w:spacing w:after="38" w:before="38"/>
      </w:pPr>
      <w:r>
        <w:rPr>
          <w:rFonts w:ascii="Arial" w:cs="Arial" w:eastAsia="Arial" w:hAnsi="Arial"/>
          <w:color w:val="2C2C2C"/>
          <w:sz w:val="21"/>
          <w:szCs w:val="21"/>
        </w:rPr>
        <w:t xml:space="preserve">Demolition of a structure or part of a structure — including controlled demolition for water damage</w:t>
      </w:r>
    </w:p>
    <w:p>
      <w:pPr>
        <w:pStyle w:val="ListParagraph"/>
        <w:numPr>
          <w:ilvl w:val="0"/>
          <w:numId w:val="2"/>
        </w:numPr>
        <w:spacing w:after="38" w:before="38"/>
      </w:pPr>
      <w:r>
        <w:rPr>
          <w:rFonts w:ascii="Arial" w:cs="Arial" w:eastAsia="Arial" w:hAnsi="Arial"/>
          <w:color w:val="2C2C2C"/>
          <w:sz w:val="21"/>
          <w:szCs w:val="21"/>
        </w:rPr>
        <w:t xml:space="preserve">Work involving asbestos or ACM</w:t>
      </w:r>
    </w:p>
    <w:p>
      <w:pPr>
        <w:pStyle w:val="ListParagraph"/>
        <w:numPr>
          <w:ilvl w:val="0"/>
          <w:numId w:val="2"/>
        </w:numPr>
        <w:spacing w:after="38" w:before="38"/>
      </w:pPr>
      <w:r>
        <w:rPr>
          <w:rFonts w:ascii="Arial" w:cs="Arial" w:eastAsia="Arial" w:hAnsi="Arial"/>
          <w:color w:val="2C2C2C"/>
          <w:sz w:val="21"/>
          <w:szCs w:val="21"/>
        </w:rPr>
        <w:t xml:space="preserve">Use of explosives or work in areas with a risk of implosion</w:t>
      </w:r>
    </w:p>
    <w:p>
      <w:pPr>
        <w:pStyle w:val="ListParagraph"/>
        <w:numPr>
          <w:ilvl w:val="0"/>
          <w:numId w:val="2"/>
        </w:numPr>
        <w:spacing w:after="38" w:before="38"/>
      </w:pPr>
      <w:r>
        <w:rPr>
          <w:rFonts w:ascii="Arial" w:cs="Arial" w:eastAsia="Arial" w:hAnsi="Arial"/>
          <w:color w:val="2C2C2C"/>
          <w:sz w:val="21"/>
          <w:szCs w:val="21"/>
        </w:rPr>
        <w:t xml:space="preserve">Work in an area with a contaminated or flammable atmosphere</w:t>
      </w:r>
    </w:p>
    <w:p>
      <w:pPr>
        <w:pStyle w:val="ListParagraph"/>
        <w:numPr>
          <w:ilvl w:val="0"/>
          <w:numId w:val="2"/>
        </w:numPr>
        <w:spacing w:after="38" w:before="38"/>
      </w:pPr>
      <w:r>
        <w:rPr>
          <w:rFonts w:ascii="Arial" w:cs="Arial" w:eastAsia="Arial" w:hAnsi="Arial"/>
          <w:color w:val="2C2C2C"/>
          <w:sz w:val="21"/>
          <w:szCs w:val="21"/>
        </w:rPr>
        <w:t xml:space="preserve">Live electrical work, or work near electrical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Regulations r.291: Before any high-risk construction work commences, the person conducting the work must prepare or obtain a SWMS. The SWMS must be followed throughout the work and kept accessible on site.</w:t>
            </w:r>
          </w:p>
        </w:tc>
      </w:tr>
    </w:tbl>
    <w:p>
      <w:pPr>
        <w:spacing w:after="0" w:before="60"/>
      </w:pPr>
      <w:r>
        <w:t xml:space="preserve"/>
      </w:r>
    </w:p>
    <w:p>
      <w:pPr>
        <w:spacing w:after="55" w:before="55"/>
      </w:pPr>
      <w:r>
        <w:rPr>
          <w:rFonts w:ascii="Arial" w:cs="Arial" w:eastAsia="Arial" w:hAnsi="Arial"/>
          <w:b/>
          <w:bCs/>
          <w:color w:val="1A1A2E"/>
          <w:sz w:val="21"/>
          <w:szCs w:val="21"/>
        </w:rPr>
        <w:t xml:space="preserve">SWMS Structure — What Must Be Included</w:t>
      </w:r>
    </w:p>
    <w:p>
      <w:pPr>
        <w:pStyle w:val="ListParagraph"/>
        <w:numPr>
          <w:ilvl w:val="0"/>
          <w:numId w:val="2"/>
        </w:numPr>
        <w:spacing w:after="38" w:before="38"/>
      </w:pPr>
      <w:r>
        <w:rPr>
          <w:rFonts w:ascii="Arial" w:cs="Arial" w:eastAsia="Arial" w:hAnsi="Arial"/>
          <w:color w:val="2C2C2C"/>
          <w:sz w:val="21"/>
          <w:szCs w:val="21"/>
        </w:rPr>
        <w:t xml:space="preserve">Description of the work and the work site address</w:t>
      </w:r>
    </w:p>
    <w:p>
      <w:pPr>
        <w:pStyle w:val="ListParagraph"/>
        <w:numPr>
          <w:ilvl w:val="0"/>
          <w:numId w:val="2"/>
        </w:numPr>
        <w:spacing w:after="38" w:before="38"/>
      </w:pPr>
      <w:r>
        <w:rPr>
          <w:rFonts w:ascii="Arial" w:cs="Arial" w:eastAsia="Arial" w:hAnsi="Arial"/>
          <w:color w:val="2C2C2C"/>
          <w:sz w:val="21"/>
          <w:szCs w:val="21"/>
        </w:rPr>
        <w:t xml:space="preserve">List of identified high-risk construction work activities</w:t>
      </w:r>
    </w:p>
    <w:p>
      <w:pPr>
        <w:pStyle w:val="ListParagraph"/>
        <w:numPr>
          <w:ilvl w:val="0"/>
          <w:numId w:val="2"/>
        </w:numPr>
        <w:spacing w:after="38" w:before="38"/>
      </w:pPr>
      <w:r>
        <w:rPr>
          <w:rFonts w:ascii="Arial" w:cs="Arial" w:eastAsia="Arial" w:hAnsi="Arial"/>
          <w:color w:val="2C2C2C"/>
          <w:sz w:val="21"/>
          <w:szCs w:val="21"/>
        </w:rPr>
        <w:t xml:space="preserve">Hazards and risks identified for each activity</w:t>
      </w:r>
    </w:p>
    <w:p>
      <w:pPr>
        <w:pStyle w:val="ListParagraph"/>
        <w:numPr>
          <w:ilvl w:val="0"/>
          <w:numId w:val="2"/>
        </w:numPr>
        <w:spacing w:after="38" w:before="38"/>
      </w:pPr>
      <w:r>
        <w:rPr>
          <w:rFonts w:ascii="Arial" w:cs="Arial" w:eastAsia="Arial" w:hAnsi="Arial"/>
          <w:color w:val="2C2C2C"/>
          <w:sz w:val="21"/>
          <w:szCs w:val="21"/>
        </w:rPr>
        <w:t xml:space="preserve">Control measures to eliminate or minimise each risk — referenced to the Hierarchy of Controls</w:t>
      </w:r>
    </w:p>
    <w:p>
      <w:pPr>
        <w:pStyle w:val="ListParagraph"/>
        <w:numPr>
          <w:ilvl w:val="0"/>
          <w:numId w:val="2"/>
        </w:numPr>
        <w:spacing w:after="38" w:before="38"/>
      </w:pPr>
      <w:r>
        <w:rPr>
          <w:rFonts w:ascii="Arial" w:cs="Arial" w:eastAsia="Arial" w:hAnsi="Arial"/>
          <w:color w:val="2C2C2C"/>
          <w:sz w:val="21"/>
          <w:szCs w:val="21"/>
        </w:rPr>
        <w:t xml:space="preserve">How the control measures will be implemented and monitored</w:t>
      </w:r>
    </w:p>
    <w:p>
      <w:pPr>
        <w:pStyle w:val="ListParagraph"/>
        <w:numPr>
          <w:ilvl w:val="0"/>
          <w:numId w:val="2"/>
        </w:numPr>
        <w:spacing w:after="38" w:before="38"/>
      </w:pPr>
      <w:r>
        <w:rPr>
          <w:rFonts w:ascii="Arial" w:cs="Arial" w:eastAsia="Arial" w:hAnsi="Arial"/>
          <w:color w:val="2C2C2C"/>
          <w:sz w:val="21"/>
          <w:szCs w:val="21"/>
        </w:rPr>
        <w:t xml:space="preserve">Names and signatures of workers who have read and understood the SWMS</w:t>
      </w:r>
    </w:p>
    <w:p>
      <w:pPr>
        <w:pStyle w:val="ListParagraph"/>
        <w:numPr>
          <w:ilvl w:val="0"/>
          <w:numId w:val="2"/>
        </w:numPr>
        <w:spacing w:after="38" w:before="38"/>
      </w:pPr>
      <w:r>
        <w:rPr>
          <w:rFonts w:ascii="Arial" w:cs="Arial" w:eastAsia="Arial" w:hAnsi="Arial"/>
          <w:color w:val="2C2C2C"/>
          <w:sz w:val="21"/>
          <w:szCs w:val="21"/>
        </w:rPr>
        <w:t xml:space="preserve">Date and version number; review trigger events</w:t>
      </w:r>
    </w:p>
    <w:p>
      <w:pPr>
        <w:spacing w:after="0" w:before="60"/>
      </w:pPr>
      <w:r>
        <w:t xml:space="preserve"/>
      </w:r>
    </w:p>
    <w:p>
      <w:pPr>
        <w:spacing w:after="55" w:before="55"/>
      </w:pPr>
      <w:r>
        <w:rPr>
          <w:rFonts w:ascii="Arial" w:cs="Arial" w:eastAsia="Arial" w:hAnsi="Arial"/>
          <w:b/>
          <w:bCs/>
          <w:color w:val="1A1A2E"/>
          <w:sz w:val="21"/>
          <w:szCs w:val="21"/>
        </w:rPr>
        <w:t xml:space="preserve">Hierarchy of Controls Applied in a SWMS</w:t>
      </w:r>
    </w:p>
    <w:p>
      <w:pPr>
        <w:pStyle w:val="ListParagraph"/>
        <w:numPr>
          <w:ilvl w:val="0"/>
          <w:numId w:val="2"/>
        </w:numPr>
        <w:spacing w:after="38" w:before="38"/>
      </w:pPr>
      <w:r>
        <w:rPr>
          <w:rFonts w:ascii="Arial" w:cs="Arial" w:eastAsia="Arial" w:hAnsi="Arial"/>
          <w:color w:val="2C2C2C"/>
          <w:sz w:val="21"/>
          <w:szCs w:val="21"/>
        </w:rPr>
        <w:t xml:space="preserve">Elimination — can the hazardous task be removed entirely from the scope of work?</w:t>
      </w:r>
    </w:p>
    <w:p>
      <w:pPr>
        <w:pStyle w:val="ListParagraph"/>
        <w:numPr>
          <w:ilvl w:val="0"/>
          <w:numId w:val="2"/>
        </w:numPr>
        <w:spacing w:after="38" w:before="38"/>
      </w:pPr>
      <w:r>
        <w:rPr>
          <w:rFonts w:ascii="Arial" w:cs="Arial" w:eastAsia="Arial" w:hAnsi="Arial"/>
          <w:color w:val="2C2C2C"/>
          <w:sz w:val="21"/>
          <w:szCs w:val="21"/>
        </w:rPr>
        <w:t xml:space="preserve">Substitution — can a safer method, material, or chemical achieve the same outcome?</w:t>
      </w:r>
    </w:p>
    <w:p>
      <w:pPr>
        <w:pStyle w:val="ListParagraph"/>
        <w:numPr>
          <w:ilvl w:val="0"/>
          <w:numId w:val="2"/>
        </w:numPr>
        <w:spacing w:after="38" w:before="38"/>
      </w:pPr>
      <w:r>
        <w:rPr>
          <w:rFonts w:ascii="Arial" w:cs="Arial" w:eastAsia="Arial" w:hAnsi="Arial"/>
          <w:color w:val="2C2C2C"/>
          <w:sz w:val="21"/>
          <w:szCs w:val="21"/>
        </w:rPr>
        <w:t xml:space="preserve">Engineering controls — can the risk be isolated through design? (e.g. guardrails, containment, ventilation)</w:t>
      </w:r>
    </w:p>
    <w:p>
      <w:pPr>
        <w:pStyle w:val="ListParagraph"/>
        <w:numPr>
          <w:ilvl w:val="0"/>
          <w:numId w:val="2"/>
        </w:numPr>
        <w:spacing w:after="38" w:before="38"/>
      </w:pPr>
      <w:r>
        <w:rPr>
          <w:rFonts w:ascii="Arial" w:cs="Arial" w:eastAsia="Arial" w:hAnsi="Arial"/>
          <w:color w:val="2C2C2C"/>
          <w:sz w:val="21"/>
          <w:szCs w:val="21"/>
        </w:rPr>
        <w:t xml:space="preserve">Administrative controls — SOPs, permits, signage, work schedules, supervision</w:t>
      </w:r>
    </w:p>
    <w:p>
      <w:pPr>
        <w:pStyle w:val="ListParagraph"/>
        <w:numPr>
          <w:ilvl w:val="0"/>
          <w:numId w:val="2"/>
        </w:numPr>
        <w:spacing w:after="38" w:before="38"/>
      </w:pPr>
      <w:r>
        <w:rPr>
          <w:rFonts w:ascii="Arial" w:cs="Arial" w:eastAsia="Arial" w:hAnsi="Arial"/>
          <w:color w:val="2C2C2C"/>
          <w:sz w:val="21"/>
          <w:szCs w:val="21"/>
        </w:rPr>
        <w:t xml:space="preserve">PPE — last resort; never the primary or sole control measure</w:t>
      </w:r>
    </w:p>
    <w:p>
      <w:pPr>
        <w:spacing w:after="0" w:before="60"/>
      </w:pPr>
      <w:r>
        <w:t xml:space="preserve"/>
      </w:r>
    </w:p>
    <w:p>
      <w:pPr>
        <w:spacing w:after="55" w:before="55"/>
      </w:pPr>
      <w:r>
        <w:rPr>
          <w:rFonts w:ascii="Arial" w:cs="Arial" w:eastAsia="Arial" w:hAnsi="Arial"/>
          <w:b/>
          <w:bCs/>
          <w:color w:val="1A1A2E"/>
          <w:sz w:val="21"/>
          <w:szCs w:val="21"/>
        </w:rPr>
        <w:t xml:space="preserve">Common SWMS Failures to Avoid</w:t>
      </w:r>
    </w:p>
    <w:p>
      <w:pPr>
        <w:pStyle w:val="ListParagraph"/>
        <w:numPr>
          <w:ilvl w:val="0"/>
          <w:numId w:val="2"/>
        </w:numPr>
        <w:spacing w:after="38" w:before="38"/>
      </w:pPr>
      <w:r>
        <w:rPr>
          <w:rFonts w:ascii="Arial" w:cs="Arial" w:eastAsia="Arial" w:hAnsi="Arial"/>
          <w:color w:val="2C2C2C"/>
          <w:sz w:val="21"/>
          <w:szCs w:val="21"/>
        </w:rPr>
        <w:t xml:space="preserve">Generic SWMS not specific to the actual site or task — inspectors and courts see through generic documents immediately</w:t>
      </w:r>
    </w:p>
    <w:p>
      <w:pPr>
        <w:pStyle w:val="ListParagraph"/>
        <w:numPr>
          <w:ilvl w:val="0"/>
          <w:numId w:val="2"/>
        </w:numPr>
        <w:spacing w:after="38" w:before="38"/>
      </w:pPr>
      <w:r>
        <w:rPr>
          <w:rFonts w:ascii="Arial" w:cs="Arial" w:eastAsia="Arial" w:hAnsi="Arial"/>
          <w:color w:val="2C2C2C"/>
          <w:sz w:val="21"/>
          <w:szCs w:val="21"/>
        </w:rPr>
        <w:t xml:space="preserve">Workers signed the SWMS but were not consulted in its preparation — consultation is mandatory</w:t>
      </w:r>
    </w:p>
    <w:p>
      <w:pPr>
        <w:pStyle w:val="ListParagraph"/>
        <w:numPr>
          <w:ilvl w:val="0"/>
          <w:numId w:val="2"/>
        </w:numPr>
        <w:spacing w:after="38" w:before="38"/>
      </w:pPr>
      <w:r>
        <w:rPr>
          <w:rFonts w:ascii="Arial" w:cs="Arial" w:eastAsia="Arial" w:hAnsi="Arial"/>
          <w:color w:val="2C2C2C"/>
          <w:sz w:val="21"/>
          <w:szCs w:val="21"/>
        </w:rPr>
        <w:t xml:space="preserve">SWMS prepared for regulatory compliance only — not actually followed during the work</w:t>
      </w:r>
    </w:p>
    <w:p>
      <w:pPr>
        <w:pStyle w:val="ListParagraph"/>
        <w:numPr>
          <w:ilvl w:val="0"/>
          <w:numId w:val="2"/>
        </w:numPr>
        <w:spacing w:after="38" w:before="38"/>
      </w:pPr>
      <w:r>
        <w:rPr>
          <w:rFonts w:ascii="Arial" w:cs="Arial" w:eastAsia="Arial" w:hAnsi="Arial"/>
          <w:color w:val="2C2C2C"/>
          <w:sz w:val="21"/>
          <w:szCs w:val="21"/>
        </w:rPr>
        <w:t xml:space="preserve">Not reviewed after a change in conditions, personnel, or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Walk the site with your SWMS before work starts. Any hazard visible on site that is not addressed in the SWMS must be added before work begins. Never accept a pre-prepared SWMS without verifying it matches the actual work conditions.</w:t>
            </w:r>
          </w:p>
        </w:tc>
      </w:tr>
    </w:tbl>
    <w:p>
      <w:r>
        <w:br w:type="page"/>
      </w:r>
    </w:p>
    <w:p>
      <w:pPr>
        <w:pStyle w:val="Heading1"/>
        <w:spacing w:after="100" w:before="260"/>
      </w:pPr>
      <w:r>
        <w:rPr>
          <w:rFonts w:ascii="Arial" w:cs="Arial" w:eastAsia="Arial" w:hAnsi="Arial"/>
          <w:b/>
          <w:bCs/>
          <w:color w:val="1F3864"/>
          <w:sz w:val="30"/>
          <w:szCs w:val="30"/>
        </w:rPr>
        <w:t xml:space="preserve">COURSE #40: Job Safety and Environmental Analysis (JSEA) Course</w:t>
      </w:r>
    </w:p>
    <w:p>
      <w:pPr>
        <w:spacing w:after="55" w:before="55"/>
      </w:pPr>
      <w:r>
        <w:rPr>
          <w:rFonts w:ascii="Arial" w:cs="Arial" w:eastAsia="Arial" w:hAnsi="Arial"/>
          <w:color w:val="2C2C2C"/>
          <w:sz w:val="21"/>
          <w:szCs w:val="21"/>
        </w:rPr>
        <w:t xml:space="preserve">Published | AUD $20  |  2 Modules</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A Job Safety and Environmental Analysis (JSEA) is a dynamic, task-specific hazard identification and control tool used before starting work each day. Unlike a SWMS, a JSEA is completed by the crew on site and adapted to actual site conditions. This course covers how to complete a JSEA correctly and embed it as a daily practice in restoration operations.</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Job Safety and Environmental Analysis (JSEA)</w:t>
      </w:r>
    </w:p>
    <w:p>
      <w:pPr>
        <w:spacing w:after="55" w:before="55"/>
      </w:pPr>
      <w:r>
        <w:rPr>
          <w:rFonts w:ascii="Arial" w:cs="Arial" w:eastAsia="Arial" w:hAnsi="Arial"/>
          <w:color w:val="2C2C2C"/>
          <w:sz w:val="21"/>
          <w:szCs w:val="21"/>
        </w:rPr>
        <w:t xml:space="preserve">The JSEA captures the specific hazards of the work being done today, at this site, with this crew. It is completed before every task that may present a risk — not just once at project start.</w:t>
      </w:r>
    </w:p>
    <w:p>
      <w:pPr>
        <w:spacing w:after="0" w:before="60"/>
      </w:pPr>
      <w:r>
        <w:t xml:space="preserve"/>
      </w:r>
    </w:p>
    <w:p>
      <w:pPr>
        <w:spacing w:after="55" w:before="55"/>
      </w:pPr>
      <w:r>
        <w:rPr>
          <w:rFonts w:ascii="Arial" w:cs="Arial" w:eastAsia="Arial" w:hAnsi="Arial"/>
          <w:b/>
          <w:bCs/>
          <w:color w:val="1A1A2E"/>
          <w:sz w:val="21"/>
          <w:szCs w:val="21"/>
        </w:rPr>
        <w:t xml:space="preserve">JSEA vs SWMS — Understanding the Difference</w:t>
      </w:r>
    </w:p>
    <w:p>
      <w:pPr>
        <w:pStyle w:val="ListParagraph"/>
        <w:numPr>
          <w:ilvl w:val="0"/>
          <w:numId w:val="2"/>
        </w:numPr>
        <w:spacing w:after="38" w:before="38"/>
      </w:pPr>
      <w:r>
        <w:rPr>
          <w:rFonts w:ascii="Arial" w:cs="Arial" w:eastAsia="Arial" w:hAnsi="Arial"/>
          <w:color w:val="2C2C2C"/>
          <w:sz w:val="21"/>
          <w:szCs w:val="21"/>
        </w:rPr>
        <w:t xml:space="preserve">SWMS: legislatively required document for high-risk construction work; prepared before work commences; formally reviewed</w:t>
      </w:r>
    </w:p>
    <w:p>
      <w:pPr>
        <w:pStyle w:val="ListParagraph"/>
        <w:numPr>
          <w:ilvl w:val="0"/>
          <w:numId w:val="2"/>
        </w:numPr>
        <w:spacing w:after="38" w:before="38"/>
      </w:pPr>
      <w:r>
        <w:rPr>
          <w:rFonts w:ascii="Arial" w:cs="Arial" w:eastAsia="Arial" w:hAnsi="Arial"/>
          <w:color w:val="2C2C2C"/>
          <w:sz w:val="21"/>
          <w:szCs w:val="21"/>
        </w:rPr>
        <w:t xml:space="preserve">JSEA: proactive, operational tool; completed daily or per task; team-led and site-specific</w:t>
      </w:r>
    </w:p>
    <w:p>
      <w:pPr>
        <w:pStyle w:val="ListParagraph"/>
        <w:numPr>
          <w:ilvl w:val="0"/>
          <w:numId w:val="2"/>
        </w:numPr>
        <w:spacing w:after="38" w:before="38"/>
      </w:pPr>
      <w:r>
        <w:rPr>
          <w:rFonts w:ascii="Arial" w:cs="Arial" w:eastAsia="Arial" w:hAnsi="Arial"/>
          <w:color w:val="2C2C2C"/>
          <w:sz w:val="21"/>
          <w:szCs w:val="21"/>
        </w:rPr>
        <w:t xml:space="preserve">Both can be required on the same job — they complement, not replace, each other</w:t>
      </w:r>
    </w:p>
    <w:p>
      <w:pPr>
        <w:pStyle w:val="ListParagraph"/>
        <w:numPr>
          <w:ilvl w:val="0"/>
          <w:numId w:val="2"/>
        </w:numPr>
        <w:spacing w:after="38" w:before="38"/>
      </w:pPr>
      <w:r>
        <w:rPr>
          <w:rFonts w:ascii="Arial" w:cs="Arial" w:eastAsia="Arial" w:hAnsi="Arial"/>
          <w:color w:val="2C2C2C"/>
          <w:sz w:val="21"/>
          <w:szCs w:val="21"/>
        </w:rPr>
        <w:t xml:space="preserve">A JSEA can also be used to trigger a SWMS review when on-site conditions change</w:t>
      </w:r>
    </w:p>
    <w:p>
      <w:pPr>
        <w:spacing w:after="0" w:before="60"/>
      </w:pPr>
      <w:r>
        <w:t xml:space="preserve"/>
      </w:r>
    </w:p>
    <w:p>
      <w:pPr>
        <w:spacing w:after="55" w:before="55"/>
      </w:pPr>
      <w:r>
        <w:rPr>
          <w:rFonts w:ascii="Arial" w:cs="Arial" w:eastAsia="Arial" w:hAnsi="Arial"/>
          <w:b/>
          <w:bCs/>
          <w:color w:val="1A1A2E"/>
          <w:sz w:val="21"/>
          <w:szCs w:val="21"/>
        </w:rPr>
        <w:t xml:space="preserve">The JSEA Process — Step by Step</w:t>
      </w:r>
    </w:p>
    <w:p>
      <w:pPr>
        <w:pStyle w:val="ListParagraph"/>
        <w:numPr>
          <w:ilvl w:val="0"/>
          <w:numId w:val="2"/>
        </w:numPr>
        <w:spacing w:after="38" w:before="38"/>
      </w:pPr>
      <w:r>
        <w:rPr>
          <w:rFonts w:ascii="Arial" w:cs="Arial" w:eastAsia="Arial" w:hAnsi="Arial"/>
          <w:color w:val="2C2C2C"/>
          <w:sz w:val="21"/>
          <w:szCs w:val="21"/>
        </w:rPr>
        <w:t xml:space="preserve">Step 1 — Job description: name the specific task, location, and timeframe</w:t>
      </w:r>
    </w:p>
    <w:p>
      <w:pPr>
        <w:pStyle w:val="ListParagraph"/>
        <w:numPr>
          <w:ilvl w:val="0"/>
          <w:numId w:val="2"/>
        </w:numPr>
        <w:spacing w:after="38" w:before="38"/>
      </w:pPr>
      <w:r>
        <w:rPr>
          <w:rFonts w:ascii="Arial" w:cs="Arial" w:eastAsia="Arial" w:hAnsi="Arial"/>
          <w:color w:val="2C2C2C"/>
          <w:sz w:val="21"/>
          <w:szCs w:val="21"/>
        </w:rPr>
        <w:t xml:space="preserve">Step 2 — Break the task into steps: list each discrete activity in sequence</w:t>
      </w:r>
    </w:p>
    <w:p>
      <w:pPr>
        <w:pStyle w:val="ListParagraph"/>
        <w:numPr>
          <w:ilvl w:val="0"/>
          <w:numId w:val="2"/>
        </w:numPr>
        <w:spacing w:after="38" w:before="38"/>
      </w:pPr>
      <w:r>
        <w:rPr>
          <w:rFonts w:ascii="Arial" w:cs="Arial" w:eastAsia="Arial" w:hAnsi="Arial"/>
          <w:color w:val="2C2C2C"/>
          <w:sz w:val="21"/>
          <w:szCs w:val="21"/>
        </w:rPr>
        <w:t xml:space="preserve">Step 3 — Identify hazards for each step: physical, chemical, biological, ergonomic, environmental</w:t>
      </w:r>
    </w:p>
    <w:p>
      <w:pPr>
        <w:pStyle w:val="ListParagraph"/>
        <w:numPr>
          <w:ilvl w:val="0"/>
          <w:numId w:val="2"/>
        </w:numPr>
        <w:spacing w:after="38" w:before="38"/>
      </w:pPr>
      <w:r>
        <w:rPr>
          <w:rFonts w:ascii="Arial" w:cs="Arial" w:eastAsia="Arial" w:hAnsi="Arial"/>
          <w:color w:val="2C2C2C"/>
          <w:sz w:val="21"/>
          <w:szCs w:val="21"/>
        </w:rPr>
        <w:t xml:space="preserve">Step 4 — Assess the risk: use a risk matrix to score likelihood × consequence</w:t>
      </w:r>
    </w:p>
    <w:p>
      <w:pPr>
        <w:pStyle w:val="ListParagraph"/>
        <w:numPr>
          <w:ilvl w:val="0"/>
          <w:numId w:val="2"/>
        </w:numPr>
        <w:spacing w:after="38" w:before="38"/>
      </w:pPr>
      <w:r>
        <w:rPr>
          <w:rFonts w:ascii="Arial" w:cs="Arial" w:eastAsia="Arial" w:hAnsi="Arial"/>
          <w:color w:val="2C2C2C"/>
          <w:sz w:val="21"/>
          <w:szCs w:val="21"/>
        </w:rPr>
        <w:t xml:space="preserve">Step 5 — Apply controls: using the Hierarchy — from elimination down to PPE</w:t>
      </w:r>
    </w:p>
    <w:p>
      <w:pPr>
        <w:pStyle w:val="ListParagraph"/>
        <w:numPr>
          <w:ilvl w:val="0"/>
          <w:numId w:val="2"/>
        </w:numPr>
        <w:spacing w:after="38" w:before="38"/>
      </w:pPr>
      <w:r>
        <w:rPr>
          <w:rFonts w:ascii="Arial" w:cs="Arial" w:eastAsia="Arial" w:hAnsi="Arial"/>
          <w:color w:val="2C2C2C"/>
          <w:sz w:val="21"/>
          <w:szCs w:val="21"/>
        </w:rPr>
        <w:t xml:space="preserve">Step 6 — Assign responsibility: who is responsible for implementing each control?</w:t>
      </w:r>
    </w:p>
    <w:p>
      <w:pPr>
        <w:pStyle w:val="ListParagraph"/>
        <w:numPr>
          <w:ilvl w:val="0"/>
          <w:numId w:val="2"/>
        </w:numPr>
        <w:spacing w:after="38" w:before="38"/>
      </w:pPr>
      <w:r>
        <w:rPr>
          <w:rFonts w:ascii="Arial" w:cs="Arial" w:eastAsia="Arial" w:hAnsi="Arial"/>
          <w:color w:val="2C2C2C"/>
          <w:sz w:val="21"/>
          <w:szCs w:val="21"/>
        </w:rPr>
        <w:t xml:space="preserve">Step 7 — Sign on: all workers performing the task sign the JSEA before work starts</w:t>
      </w:r>
    </w:p>
    <w:p>
      <w:pPr>
        <w:pStyle w:val="ListParagraph"/>
        <w:numPr>
          <w:ilvl w:val="0"/>
          <w:numId w:val="2"/>
        </w:numPr>
        <w:spacing w:after="38" w:before="38"/>
      </w:pPr>
      <w:r>
        <w:rPr>
          <w:rFonts w:ascii="Arial" w:cs="Arial" w:eastAsia="Arial" w:hAnsi="Arial"/>
          <w:color w:val="2C2C2C"/>
          <w:sz w:val="21"/>
          <w:szCs w:val="21"/>
        </w:rPr>
        <w:t xml:space="preserve">Step 8 — Review: if conditions change, call a toolbox talk and update the JSEA</w:t>
      </w:r>
    </w:p>
    <w:p>
      <w:pPr>
        <w:spacing w:after="0" w:before="60"/>
      </w:pPr>
      <w:r>
        <w:t xml:space="preserve"/>
      </w:r>
    </w:p>
    <w:p>
      <w:pPr>
        <w:spacing w:after="55" w:before="55"/>
      </w:pPr>
      <w:r>
        <w:rPr>
          <w:rFonts w:ascii="Arial" w:cs="Arial" w:eastAsia="Arial" w:hAnsi="Arial"/>
          <w:b/>
          <w:bCs/>
          <w:color w:val="1A1A2E"/>
          <w:sz w:val="21"/>
          <w:szCs w:val="21"/>
        </w:rPr>
        <w:t xml:space="preserve">Practical Restoration JSEA Examples</w:t>
      </w:r>
    </w:p>
    <w:p>
      <w:pPr>
        <w:pStyle w:val="ListParagraph"/>
        <w:numPr>
          <w:ilvl w:val="0"/>
          <w:numId w:val="2"/>
        </w:numPr>
        <w:spacing w:after="38" w:before="38"/>
      </w:pPr>
      <w:r>
        <w:rPr>
          <w:rFonts w:ascii="Arial" w:cs="Arial" w:eastAsia="Arial" w:hAnsi="Arial"/>
          <w:color w:val="2C2C2C"/>
          <w:sz w:val="21"/>
          <w:szCs w:val="21"/>
        </w:rPr>
        <w:t xml:space="preserve">Wet carpet extraction in a Category 2 loss: hazard = slip risk, biological contact, electrical near water</w:t>
      </w:r>
    </w:p>
    <w:p>
      <w:pPr>
        <w:pStyle w:val="ListParagraph"/>
        <w:numPr>
          <w:ilvl w:val="0"/>
          <w:numId w:val="2"/>
        </w:numPr>
        <w:spacing w:after="38" w:before="38"/>
      </w:pPr>
      <w:r>
        <w:rPr>
          <w:rFonts w:ascii="Arial" w:cs="Arial" w:eastAsia="Arial" w:hAnsi="Arial"/>
          <w:color w:val="2C2C2C"/>
          <w:sz w:val="21"/>
          <w:szCs w:val="21"/>
        </w:rPr>
        <w:t xml:space="preserve">Wall demolition post-flood: hazard = suspected ACM, mould spores, nail/cut injuries, dust inhalation</w:t>
      </w:r>
    </w:p>
    <w:p>
      <w:pPr>
        <w:pStyle w:val="ListParagraph"/>
        <w:numPr>
          <w:ilvl w:val="0"/>
          <w:numId w:val="2"/>
        </w:numPr>
        <w:spacing w:after="38" w:before="38"/>
      </w:pPr>
      <w:r>
        <w:rPr>
          <w:rFonts w:ascii="Arial" w:cs="Arial" w:eastAsia="Arial" w:hAnsi="Arial"/>
          <w:color w:val="2C2C2C"/>
          <w:sz w:val="21"/>
          <w:szCs w:val="21"/>
        </w:rPr>
        <w:t xml:space="preserve">Subfloor inspection: hazard = confined space, poor lighting, biological (rodent), physical (low clearance)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Act s.47: workers must be consulted when changes affect WHS. The JSEA is one of the most practical tools for meeting this consultation requirement daily. It must be a genuine discussion — not a pre-filled form handed to workers for signature.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Keep completed JSEAs in the project file. In the event of a SafeWork/WorkSafe investigation, JSEAs demonstrate an ongoing, active safety management culture — not just paperwork filed at project start.</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2: </w:t>
      </w:r>
      <w:r>
        <w:rPr>
          <w:rFonts w:ascii="Arial" w:cs="Arial" w:eastAsia="Arial" w:hAnsi="Arial"/>
          <w:b/>
          <w:bCs/>
          <w:color w:val="1A1A2E"/>
          <w:sz w:val="24"/>
          <w:szCs w:val="24"/>
        </w:rPr>
        <w:t xml:space="preserve">Professional Carpet Cleaners and Restorers — Podcast Integration</w:t>
      </w:r>
    </w:p>
    <w:p>
      <w:pPr>
        <w:spacing w:after="55" w:before="55"/>
      </w:pPr>
      <w:r>
        <w:rPr>
          <w:rFonts w:ascii="Arial" w:cs="Arial" w:eastAsia="Arial" w:hAnsi="Arial"/>
          <w:color w:val="2C2C2C"/>
          <w:sz w:val="21"/>
          <w:szCs w:val="21"/>
        </w:rPr>
        <w:t xml:space="preserve">This supplementary module provides practical industry context through curated podcast content from Australian restoration and cleaning professionals, addressing real-world JSEA application challenges including: working in multi-tenancy buildings, managing subcontractor safety obligations, and adapting JSEAs for emergency response jobs where site conditions change rapidly.</w:t>
      </w:r>
    </w:p>
    <w:p>
      <w:pPr>
        <w:pStyle w:val="ListParagraph"/>
        <w:numPr>
          <w:ilvl w:val="0"/>
          <w:numId w:val="2"/>
        </w:numPr>
        <w:spacing w:after="38" w:before="38"/>
      </w:pPr>
      <w:r>
        <w:rPr>
          <w:rFonts w:ascii="Arial" w:cs="Arial" w:eastAsia="Arial" w:hAnsi="Arial"/>
          <w:color w:val="2C2C2C"/>
          <w:sz w:val="21"/>
          <w:szCs w:val="21"/>
        </w:rPr>
        <w:t xml:space="preserve">Key takeaway: a JSEA completed under time pressure is better than no JSEA — but a pre-planned JSEA template specific to common job types makes field completion faster and more consistent</w:t>
      </w:r>
    </w:p>
    <w:p>
      <w:pPr>
        <w:pStyle w:val="ListParagraph"/>
        <w:numPr>
          <w:ilvl w:val="0"/>
          <w:numId w:val="2"/>
        </w:numPr>
        <w:spacing w:after="38" w:before="38"/>
      </w:pPr>
      <w:r>
        <w:rPr>
          <w:rFonts w:ascii="Arial" w:cs="Arial" w:eastAsia="Arial" w:hAnsi="Arial"/>
          <w:color w:val="2C2C2C"/>
          <w:sz w:val="21"/>
          <w:szCs w:val="21"/>
        </w:rPr>
        <w:t xml:space="preserve">Template approach: build a library of task-specific JSEA templates for your 10 most common job types — technicians complete the site-specific details rather than starting from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Use your JSEA template library during induction for new starters — completing a practice JSEA is one of the most effective ways to ensure new workers understand the hazards of their role before they encounter them on the job.</w:t>
            </w:r>
          </w:p>
        </w:tc>
      </w:tr>
    </w:tbl>
    <w:p>
      <w:r>
        <w:br w:type="page"/>
      </w:r>
    </w:p>
    <w:p>
      <w:pPr>
        <w:pStyle w:val="Heading1"/>
        <w:spacing w:after="100" w:before="260"/>
      </w:pPr>
      <w:r>
        <w:rPr>
          <w:rFonts w:ascii="Arial" w:cs="Arial" w:eastAsia="Arial" w:hAnsi="Arial"/>
          <w:b/>
          <w:bCs/>
          <w:color w:val="1F3864"/>
          <w:sz w:val="30"/>
          <w:szCs w:val="30"/>
        </w:rPr>
        <w:t xml:space="preserve">COURSE #32: Risk Assessment Course</w:t>
      </w:r>
    </w:p>
    <w:p>
      <w:pPr>
        <w:spacing w:after="55" w:before="55"/>
      </w:pPr>
      <w:r>
        <w:rPr>
          <w:rFonts w:ascii="Arial" w:cs="Arial" w:eastAsia="Arial" w:hAnsi="Arial"/>
          <w:color w:val="2C2C2C"/>
          <w:sz w:val="21"/>
          <w:szCs w:val="21"/>
        </w:rPr>
        <w:t xml:space="preserve">Published | AUD $99  |  8 Modules</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Risk assessment is the foundation of every legally compliant WHS management system. This course provides restoration and cleaning professionals with a complete, practical risk assessment framework — from understanding Australian WHS law to building and using a risk matrix, completing a JSEA, writing a SWMS, and conducting genuine consultation with workers. Every module is grounded in real restoration and remediation scenarios.</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Introduction to WH&amp;S</w:t>
      </w:r>
    </w:p>
    <w:p>
      <w:pPr>
        <w:pStyle w:val="ListParagraph"/>
        <w:numPr>
          <w:ilvl w:val="0"/>
          <w:numId w:val="2"/>
        </w:numPr>
        <w:spacing w:after="38" w:before="38"/>
      </w:pPr>
      <w:r>
        <w:rPr>
          <w:rFonts w:ascii="Arial" w:cs="Arial" w:eastAsia="Arial" w:hAnsi="Arial"/>
          <w:color w:val="2C2C2C"/>
          <w:sz w:val="21"/>
          <w:szCs w:val="21"/>
        </w:rPr>
        <w:t xml:space="preserve">The Work Health and Safety Act 2011 (Model) establishes the primary duty of care for all PCBUs (businesses)</w:t>
      </w:r>
    </w:p>
    <w:p>
      <w:pPr>
        <w:pStyle w:val="ListParagraph"/>
        <w:numPr>
          <w:ilvl w:val="0"/>
          <w:numId w:val="2"/>
        </w:numPr>
        <w:spacing w:after="38" w:before="38"/>
      </w:pPr>
      <w:r>
        <w:rPr>
          <w:rFonts w:ascii="Arial" w:cs="Arial" w:eastAsia="Arial" w:hAnsi="Arial"/>
          <w:color w:val="2C2C2C"/>
          <w:sz w:val="21"/>
          <w:szCs w:val="21"/>
        </w:rPr>
        <w:t xml:space="preserve">Officers (directors, managers) have a due diligence duty — they must proactively verify WHS systems are working</w:t>
      </w:r>
    </w:p>
    <w:p>
      <w:pPr>
        <w:pStyle w:val="ListParagraph"/>
        <w:numPr>
          <w:ilvl w:val="0"/>
          <w:numId w:val="2"/>
        </w:numPr>
        <w:spacing w:after="38" w:before="38"/>
      </w:pPr>
      <w:r>
        <w:rPr>
          <w:rFonts w:ascii="Arial" w:cs="Arial" w:eastAsia="Arial" w:hAnsi="Arial"/>
          <w:color w:val="2C2C2C"/>
          <w:sz w:val="21"/>
          <w:szCs w:val="21"/>
        </w:rPr>
        <w:t xml:space="preserve">Workers have a duty to take reasonable care for their own health and safety and not adversely affect others</w:t>
      </w:r>
    </w:p>
    <w:p>
      <w:pPr>
        <w:pStyle w:val="ListParagraph"/>
        <w:numPr>
          <w:ilvl w:val="0"/>
          <w:numId w:val="2"/>
        </w:numPr>
        <w:spacing w:after="38" w:before="38"/>
      </w:pPr>
      <w:r>
        <w:rPr>
          <w:rFonts w:ascii="Arial" w:cs="Arial" w:eastAsia="Arial" w:hAnsi="Arial"/>
          <w:color w:val="2C2C2C"/>
          <w:sz w:val="21"/>
          <w:szCs w:val="21"/>
        </w:rPr>
        <w:t xml:space="preserve">WHS laws apply to all workplaces in Australia — including private homes used as a job site by a restoration contractor</w:t>
      </w:r>
    </w:p>
    <w:p>
      <w:pPr>
        <w:pStyle w:val="ListParagraph"/>
        <w:numPr>
          <w:ilvl w:val="0"/>
          <w:numId w:val="2"/>
        </w:numPr>
        <w:spacing w:after="38" w:before="38"/>
      </w:pPr>
      <w:r>
        <w:rPr>
          <w:rFonts w:ascii="Arial" w:cs="Arial" w:eastAsia="Arial" w:hAnsi="Arial"/>
          <w:color w:val="2C2C2C"/>
          <w:sz w:val="21"/>
          <w:szCs w:val="21"/>
        </w:rPr>
        <w:t xml:space="preserve">Penalties: Category 1 (reckless) — up to $3.3M for corporations; Category 2 (failure of duty) — up to $1.65M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The WHS Act does not require zero risk — it requires risk to be reduced 'so far as is reasonably practicable' (SFAIRP). This balance of risk, cost, and likelihood of harm must be actively assessed and documented.</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2: </w:t>
      </w:r>
      <w:r>
        <w:rPr>
          <w:rFonts w:ascii="Arial" w:cs="Arial" w:eastAsia="Arial" w:hAnsi="Arial"/>
          <w:b/>
          <w:bCs/>
          <w:color w:val="1A1A2E"/>
          <w:sz w:val="24"/>
          <w:szCs w:val="24"/>
        </w:rPr>
        <w:t xml:space="preserve">Hazards and Risks</w:t>
      </w:r>
    </w:p>
    <w:p>
      <w:pPr>
        <w:pStyle w:val="ListParagraph"/>
        <w:numPr>
          <w:ilvl w:val="0"/>
          <w:numId w:val="2"/>
        </w:numPr>
        <w:spacing w:after="38" w:before="38"/>
      </w:pPr>
      <w:r>
        <w:rPr>
          <w:rFonts w:ascii="Arial" w:cs="Arial" w:eastAsia="Arial" w:hAnsi="Arial"/>
          <w:color w:val="2C2C2C"/>
          <w:sz w:val="21"/>
          <w:szCs w:val="21"/>
        </w:rPr>
        <w:t xml:space="preserve">Hazard: anything with the potential to cause harm (e.g. a wet floor, a chemical, asbestos, a height)</w:t>
      </w:r>
    </w:p>
    <w:p>
      <w:pPr>
        <w:pStyle w:val="ListParagraph"/>
        <w:numPr>
          <w:ilvl w:val="0"/>
          <w:numId w:val="2"/>
        </w:numPr>
        <w:spacing w:after="38" w:before="38"/>
      </w:pPr>
      <w:r>
        <w:rPr>
          <w:rFonts w:ascii="Arial" w:cs="Arial" w:eastAsia="Arial" w:hAnsi="Arial"/>
          <w:color w:val="2C2C2C"/>
          <w:sz w:val="21"/>
          <w:szCs w:val="21"/>
        </w:rPr>
        <w:t xml:space="preserve">Risk: the likelihood and consequence of harm occurring from a hazard (e.g. slip injury from wet floor)</w:t>
      </w:r>
    </w:p>
    <w:p>
      <w:pPr>
        <w:pStyle w:val="ListParagraph"/>
        <w:numPr>
          <w:ilvl w:val="0"/>
          <w:numId w:val="2"/>
        </w:numPr>
        <w:spacing w:after="38" w:before="38"/>
      </w:pPr>
      <w:r>
        <w:rPr>
          <w:rFonts w:ascii="Arial" w:cs="Arial" w:eastAsia="Arial" w:hAnsi="Arial"/>
          <w:color w:val="2C2C2C"/>
          <w:sz w:val="21"/>
          <w:szCs w:val="21"/>
        </w:rPr>
        <w:t xml:space="preserve">Distinguishing hazards from risks is essential — you control hazards to reduce risks</w:t>
      </w:r>
    </w:p>
    <w:p>
      <w:pPr>
        <w:pStyle w:val="ListParagraph"/>
        <w:numPr>
          <w:ilvl w:val="0"/>
          <w:numId w:val="2"/>
        </w:numPr>
        <w:spacing w:after="38" w:before="38"/>
      </w:pPr>
      <w:r>
        <w:rPr>
          <w:rFonts w:ascii="Arial" w:cs="Arial" w:eastAsia="Arial" w:hAnsi="Arial"/>
          <w:color w:val="2C2C2C"/>
          <w:sz w:val="21"/>
          <w:szCs w:val="21"/>
        </w:rPr>
        <w:t xml:space="preserve">Restoration hazard categories: biological (mould, sewage), chemical (cleaning agents, VOCs), physical (noise, heat, heights), ergonomic (lifting, posture), psychosocial (trauma exposure in emergency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Walk every job site before work commences. Identify hazards by category — don't rely on memory or past experience of 'similar' sites. Two water damage jobs in the same suburb can have completely different hazard profiles.</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3: </w:t>
      </w:r>
      <w:r>
        <w:rPr>
          <w:rFonts w:ascii="Arial" w:cs="Arial" w:eastAsia="Arial" w:hAnsi="Arial"/>
          <w:b/>
          <w:bCs/>
          <w:color w:val="1A1A2E"/>
          <w:sz w:val="24"/>
          <w:szCs w:val="24"/>
        </w:rPr>
        <w:t xml:space="preserve">Hazard Identification</w:t>
      </w:r>
    </w:p>
    <w:p>
      <w:pPr>
        <w:pStyle w:val="ListParagraph"/>
        <w:numPr>
          <w:ilvl w:val="0"/>
          <w:numId w:val="2"/>
        </w:numPr>
        <w:spacing w:after="38" w:before="38"/>
      </w:pPr>
      <w:r>
        <w:rPr>
          <w:rFonts w:ascii="Arial" w:cs="Arial" w:eastAsia="Arial" w:hAnsi="Arial"/>
          <w:color w:val="2C2C2C"/>
          <w:sz w:val="21"/>
          <w:szCs w:val="21"/>
        </w:rPr>
        <w:t xml:space="preserve">Formal methods: site inspection checklist, incident review, consultation with experienced workers</w:t>
      </w:r>
    </w:p>
    <w:p>
      <w:pPr>
        <w:pStyle w:val="ListParagraph"/>
        <w:numPr>
          <w:ilvl w:val="0"/>
          <w:numId w:val="2"/>
        </w:numPr>
        <w:spacing w:after="38" w:before="38"/>
      </w:pPr>
      <w:r>
        <w:rPr>
          <w:rFonts w:ascii="Arial" w:cs="Arial" w:eastAsia="Arial" w:hAnsi="Arial"/>
          <w:color w:val="2C2C2C"/>
          <w:sz w:val="21"/>
          <w:szCs w:val="21"/>
        </w:rPr>
        <w:t xml:space="preserve">Informal methods: pre-task toolbox talk, daily JSEA, near-miss reporting</w:t>
      </w:r>
    </w:p>
    <w:p>
      <w:pPr>
        <w:pStyle w:val="ListParagraph"/>
        <w:numPr>
          <w:ilvl w:val="0"/>
          <w:numId w:val="2"/>
        </w:numPr>
        <w:spacing w:after="38" w:before="38"/>
      </w:pPr>
      <w:r>
        <w:rPr>
          <w:rFonts w:ascii="Arial" w:cs="Arial" w:eastAsia="Arial" w:hAnsi="Arial"/>
          <w:color w:val="2C2C2C"/>
          <w:sz w:val="21"/>
          <w:szCs w:val="21"/>
        </w:rPr>
        <w:t xml:space="preserve">Sources to check: Safe Work Australia industry hazard guides, IICRC reference standards, SDS for all chemicals on site</w:t>
      </w:r>
    </w:p>
    <w:p>
      <w:pPr>
        <w:pStyle w:val="ListParagraph"/>
        <w:numPr>
          <w:ilvl w:val="0"/>
          <w:numId w:val="2"/>
        </w:numPr>
        <w:spacing w:after="38" w:before="38"/>
      </w:pPr>
      <w:r>
        <w:rPr>
          <w:rFonts w:ascii="Arial" w:cs="Arial" w:eastAsia="Arial" w:hAnsi="Arial"/>
          <w:color w:val="2C2C2C"/>
          <w:sz w:val="21"/>
          <w:szCs w:val="21"/>
        </w:rPr>
        <w:t xml:space="preserve">Hidden hazards in restoration: ACM in wall linings, live wiring in wet walls, structural instability from water damage, biological agents in sewage or mould</w:t>
      </w:r>
    </w:p>
    <w:p>
      <w:pPr>
        <w:pStyle w:val="ListParagraph"/>
        <w:numPr>
          <w:ilvl w:val="0"/>
          <w:numId w:val="2"/>
        </w:numPr>
        <w:spacing w:after="38" w:before="38"/>
      </w:pPr>
      <w:r>
        <w:rPr>
          <w:rFonts w:ascii="Arial" w:cs="Arial" w:eastAsia="Arial" w:hAnsi="Arial"/>
          <w:color w:val="2C2C2C"/>
          <w:sz w:val="21"/>
          <w:szCs w:val="21"/>
        </w:rPr>
        <w:t xml:space="preserve">Psychosocial hazards: trauma exposure, client conflict, and extended emergency work hours — legally required to identify and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Act s.18: 'Reasonably practicable' means what a reasonable person knows about the hazard and the likelihood, degree, and severity of harm. Failing to identify a known industry hazard is indefensible.</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4: </w:t>
      </w:r>
      <w:r>
        <w:rPr>
          <w:rFonts w:ascii="Arial" w:cs="Arial" w:eastAsia="Arial" w:hAnsi="Arial"/>
          <w:b/>
          <w:bCs/>
          <w:color w:val="1A1A2E"/>
          <w:sz w:val="24"/>
          <w:szCs w:val="24"/>
        </w:rPr>
        <w:t xml:space="preserve">Managing Risks</w:t>
      </w:r>
    </w:p>
    <w:p>
      <w:pPr>
        <w:pStyle w:val="ListParagraph"/>
        <w:numPr>
          <w:ilvl w:val="0"/>
          <w:numId w:val="2"/>
        </w:numPr>
        <w:spacing w:after="38" w:before="38"/>
      </w:pPr>
      <w:r>
        <w:rPr>
          <w:rFonts w:ascii="Arial" w:cs="Arial" w:eastAsia="Arial" w:hAnsi="Arial"/>
          <w:color w:val="2C2C2C"/>
          <w:sz w:val="21"/>
          <w:szCs w:val="21"/>
        </w:rPr>
        <w:t xml:space="preserve">Apply the Hierarchy of Controls in order — never jump straight to PPE</w:t>
      </w:r>
    </w:p>
    <w:p>
      <w:pPr>
        <w:pStyle w:val="ListParagraph"/>
        <w:numPr>
          <w:ilvl w:val="0"/>
          <w:numId w:val="2"/>
        </w:numPr>
        <w:spacing w:after="38" w:before="38"/>
      </w:pPr>
      <w:r>
        <w:rPr>
          <w:rFonts w:ascii="Arial" w:cs="Arial" w:eastAsia="Arial" w:hAnsi="Arial"/>
          <w:color w:val="2C2C2C"/>
          <w:sz w:val="21"/>
          <w:szCs w:val="21"/>
        </w:rPr>
        <w:t xml:space="preserve">Elimination: redesign the task to remove the hazard (e.g. pre-cut contaminated materials outside the building rather than in it)</w:t>
      </w:r>
    </w:p>
    <w:p>
      <w:pPr>
        <w:pStyle w:val="ListParagraph"/>
        <w:numPr>
          <w:ilvl w:val="0"/>
          <w:numId w:val="2"/>
        </w:numPr>
        <w:spacing w:after="38" w:before="38"/>
      </w:pPr>
      <w:r>
        <w:rPr>
          <w:rFonts w:ascii="Arial" w:cs="Arial" w:eastAsia="Arial" w:hAnsi="Arial"/>
          <w:color w:val="2C2C2C"/>
          <w:sz w:val="21"/>
          <w:szCs w:val="21"/>
        </w:rPr>
        <w:t xml:space="preserve">Substitution: use a less hazardous chemical or method to achieve the same result</w:t>
      </w:r>
    </w:p>
    <w:p>
      <w:pPr>
        <w:pStyle w:val="ListParagraph"/>
        <w:numPr>
          <w:ilvl w:val="0"/>
          <w:numId w:val="2"/>
        </w:numPr>
        <w:spacing w:after="38" w:before="38"/>
      </w:pPr>
      <w:r>
        <w:rPr>
          <w:rFonts w:ascii="Arial" w:cs="Arial" w:eastAsia="Arial" w:hAnsi="Arial"/>
          <w:color w:val="2C2C2C"/>
          <w:sz w:val="21"/>
          <w:szCs w:val="21"/>
        </w:rPr>
        <w:t xml:space="preserve">Engineering controls: physical barriers, ventilation, guarding — do not rely on human behaviour to work</w:t>
      </w:r>
    </w:p>
    <w:p>
      <w:pPr>
        <w:pStyle w:val="ListParagraph"/>
        <w:numPr>
          <w:ilvl w:val="0"/>
          <w:numId w:val="2"/>
        </w:numPr>
        <w:spacing w:after="38" w:before="38"/>
      </w:pPr>
      <w:r>
        <w:rPr>
          <w:rFonts w:ascii="Arial" w:cs="Arial" w:eastAsia="Arial" w:hAnsi="Arial"/>
          <w:color w:val="2C2C2C"/>
          <w:sz w:val="21"/>
          <w:szCs w:val="21"/>
        </w:rPr>
        <w:t xml:space="preserve">Administrative controls: SOPs, training, scheduling, supervision — rely on behaviour; must be actively managed</w:t>
      </w:r>
    </w:p>
    <w:p>
      <w:pPr>
        <w:pStyle w:val="ListParagraph"/>
        <w:numPr>
          <w:ilvl w:val="0"/>
          <w:numId w:val="2"/>
        </w:numPr>
        <w:spacing w:after="38" w:before="38"/>
      </w:pPr>
      <w:r>
        <w:rPr>
          <w:rFonts w:ascii="Arial" w:cs="Arial" w:eastAsia="Arial" w:hAnsi="Arial"/>
          <w:color w:val="2C2C2C"/>
          <w:sz w:val="21"/>
          <w:szCs w:val="21"/>
        </w:rPr>
        <w:t xml:space="preserve">PPE: last resort and supplementary — never the primary or sole control for a significant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When selecting control measures, ask: will this control still work if the least experienced person on site is working alone? If the answer is no, the control is too dependent on behaviour — add an engineering or design control.</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5: </w:t>
      </w:r>
      <w:r>
        <w:rPr>
          <w:rFonts w:ascii="Arial" w:cs="Arial" w:eastAsia="Arial" w:hAnsi="Arial"/>
          <w:b/>
          <w:bCs/>
          <w:color w:val="1A1A2E"/>
          <w:sz w:val="24"/>
          <w:szCs w:val="24"/>
        </w:rPr>
        <w:t xml:space="preserve">Risk Matrix</w:t>
      </w:r>
    </w:p>
    <w:p>
      <w:pPr>
        <w:pStyle w:val="ListParagraph"/>
        <w:numPr>
          <w:ilvl w:val="0"/>
          <w:numId w:val="2"/>
        </w:numPr>
        <w:spacing w:after="38" w:before="38"/>
      </w:pPr>
      <w:r>
        <w:rPr>
          <w:rFonts w:ascii="Arial" w:cs="Arial" w:eastAsia="Arial" w:hAnsi="Arial"/>
          <w:color w:val="2C2C2C"/>
          <w:sz w:val="21"/>
          <w:szCs w:val="21"/>
        </w:rPr>
        <w:t xml:space="preserve">A risk matrix scores risk by multiplying likelihood (1–5) by consequence (1–5) to give a risk rating</w:t>
      </w:r>
    </w:p>
    <w:p>
      <w:pPr>
        <w:pStyle w:val="ListParagraph"/>
        <w:numPr>
          <w:ilvl w:val="0"/>
          <w:numId w:val="2"/>
        </w:numPr>
        <w:spacing w:after="38" w:before="38"/>
      </w:pPr>
      <w:r>
        <w:rPr>
          <w:rFonts w:ascii="Arial" w:cs="Arial" w:eastAsia="Arial" w:hAnsi="Arial"/>
          <w:color w:val="2C2C2C"/>
          <w:sz w:val="21"/>
          <w:szCs w:val="21"/>
        </w:rPr>
        <w:t xml:space="preserve">Likelihood scale: 1 = Rare, 2 = Unlikely, 3 = Possible, 4 = Likely, 5 = Almost Certain</w:t>
      </w:r>
    </w:p>
    <w:p>
      <w:pPr>
        <w:pStyle w:val="ListParagraph"/>
        <w:numPr>
          <w:ilvl w:val="0"/>
          <w:numId w:val="2"/>
        </w:numPr>
        <w:spacing w:after="38" w:before="38"/>
      </w:pPr>
      <w:r>
        <w:rPr>
          <w:rFonts w:ascii="Arial" w:cs="Arial" w:eastAsia="Arial" w:hAnsi="Arial"/>
          <w:color w:val="2C2C2C"/>
          <w:sz w:val="21"/>
          <w:szCs w:val="21"/>
        </w:rPr>
        <w:t xml:space="preserve">Consequence scale: 1 = Negligible, 2 = Minor, 3 = Moderate, 4 = Major, 5 = Catastrophic</w:t>
      </w:r>
    </w:p>
    <w:p>
      <w:pPr>
        <w:pStyle w:val="ListParagraph"/>
        <w:numPr>
          <w:ilvl w:val="0"/>
          <w:numId w:val="2"/>
        </w:numPr>
        <w:spacing w:after="38" w:before="38"/>
      </w:pPr>
      <w:r>
        <w:rPr>
          <w:rFonts w:ascii="Arial" w:cs="Arial" w:eastAsia="Arial" w:hAnsi="Arial"/>
          <w:color w:val="2C2C2C"/>
          <w:sz w:val="21"/>
          <w:szCs w:val="21"/>
        </w:rPr>
        <w:t xml:space="preserve">Risk ratings: 1–6 Low (monitor), 7–12 Medium (manage), 13–17 High (senior review), 18–25 Extreme (immediate action)</w:t>
      </w:r>
    </w:p>
    <w:p>
      <w:pPr>
        <w:pStyle w:val="ListParagraph"/>
        <w:numPr>
          <w:ilvl w:val="0"/>
          <w:numId w:val="2"/>
        </w:numPr>
        <w:spacing w:after="38" w:before="38"/>
      </w:pPr>
      <w:r>
        <w:rPr>
          <w:rFonts w:ascii="Arial" w:cs="Arial" w:eastAsia="Arial" w:hAnsi="Arial"/>
          <w:color w:val="2C2C2C"/>
          <w:sz w:val="21"/>
          <w:szCs w:val="21"/>
        </w:rPr>
        <w:t xml:space="preserve">Pre-control vs. post-control rating: always rate the risk before and after controls to verify the controls are effective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Use the same risk matrix format across all your JSEAs, SWMSs, and risk assessments. Consistency allows workers to apply the scoring intuitively in the field rather than having to re-learn a new scale for each document type.</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6: </w:t>
      </w:r>
      <w:r>
        <w:rPr>
          <w:rFonts w:ascii="Arial" w:cs="Arial" w:eastAsia="Arial" w:hAnsi="Arial"/>
          <w:b/>
          <w:bCs/>
          <w:color w:val="1A1A2E"/>
          <w:sz w:val="24"/>
          <w:szCs w:val="24"/>
        </w:rPr>
        <w:t xml:space="preserve">Job Safety and Environmental Analysis</w:t>
      </w:r>
    </w:p>
    <w:p>
      <w:pPr>
        <w:pStyle w:val="ListParagraph"/>
        <w:numPr>
          <w:ilvl w:val="0"/>
          <w:numId w:val="2"/>
        </w:numPr>
        <w:spacing w:after="38" w:before="38"/>
      </w:pPr>
      <w:r>
        <w:rPr>
          <w:rFonts w:ascii="Arial" w:cs="Arial" w:eastAsia="Arial" w:hAnsi="Arial"/>
          <w:color w:val="2C2C2C"/>
          <w:sz w:val="21"/>
          <w:szCs w:val="21"/>
        </w:rPr>
        <w:t xml:space="preserve">The JSEA is the daily, task-level application of the risk matrix — completed by the crew before starting each task</w:t>
      </w:r>
    </w:p>
    <w:p>
      <w:pPr>
        <w:pStyle w:val="ListParagraph"/>
        <w:numPr>
          <w:ilvl w:val="0"/>
          <w:numId w:val="2"/>
        </w:numPr>
        <w:spacing w:after="38" w:before="38"/>
      </w:pPr>
      <w:r>
        <w:rPr>
          <w:rFonts w:ascii="Arial" w:cs="Arial" w:eastAsia="Arial" w:hAnsi="Arial"/>
          <w:color w:val="2C2C2C"/>
          <w:sz w:val="21"/>
          <w:szCs w:val="21"/>
        </w:rPr>
        <w:t xml:space="preserve">Structure: task steps → hazards per step → risk score → controls → responsible person → sign-on</w:t>
      </w:r>
    </w:p>
    <w:p>
      <w:pPr>
        <w:pStyle w:val="ListParagraph"/>
        <w:numPr>
          <w:ilvl w:val="0"/>
          <w:numId w:val="2"/>
        </w:numPr>
        <w:spacing w:after="38" w:before="38"/>
      </w:pPr>
      <w:r>
        <w:rPr>
          <w:rFonts w:ascii="Arial" w:cs="Arial" w:eastAsia="Arial" w:hAnsi="Arial"/>
          <w:color w:val="2C2C2C"/>
          <w:sz w:val="21"/>
          <w:szCs w:val="21"/>
        </w:rPr>
        <w:t xml:space="preserve">Environmental analysis component: assess impact on drains, soil, air, and adjacent properties — required for chemical use and waste management</w:t>
      </w:r>
    </w:p>
    <w:p>
      <w:pPr>
        <w:pStyle w:val="ListParagraph"/>
        <w:numPr>
          <w:ilvl w:val="0"/>
          <w:numId w:val="2"/>
        </w:numPr>
        <w:spacing w:after="38" w:before="38"/>
      </w:pPr>
      <w:r>
        <w:rPr>
          <w:rFonts w:ascii="Arial" w:cs="Arial" w:eastAsia="Arial" w:hAnsi="Arial"/>
          <w:color w:val="2C2C2C"/>
          <w:sz w:val="21"/>
          <w:szCs w:val="21"/>
        </w:rPr>
        <w:t xml:space="preserve">Completed JSEAs must be retained on site and included in project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37562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STANDARD REF</w:t>
            </w:r>
          </w:p>
        </w:tc>
        <w:tc>
          <w:tcPr>
            <w:tcW w:type="dxa" w:w="7400"/>
            <w:tcBorders>
              <w:top w:val="single" w:color="B4C8E8" w:sz="1"/>
              <w:left w:val="single" w:color="B4C8E8" w:sz="1"/>
              <w:bottom w:val="single" w:color="B4C8E8" w:sz="1"/>
              <w:right w:val="single" w:color="B4C8E8" w:sz="1"/>
            </w:tcBorders>
            <w:shd w:fill="E2EFDA" w:val="clear"/>
            <w:tcMar>
              <w:top w:type="dxa" w:w="80"/>
              <w:left w:type="dxa" w:w="140"/>
              <w:bottom w:type="dxa" w:w="80"/>
              <w:right w:type="dxa" w:w="140"/>
            </w:tcMar>
          </w:tcPr>
          <w:p>
            <w:r>
              <w:rPr>
                <w:rFonts w:ascii="Arial" w:cs="Arial" w:eastAsia="Arial" w:hAnsi="Arial"/>
                <w:color w:val="2C2C2C"/>
                <w:sz w:val="20"/>
                <w:szCs w:val="20"/>
              </w:rPr>
              <w:t xml:space="preserve">Safe Work Australia: 'A Guide to the Model WHS Regulations' — outlines the mandatory requirements for worker consultation and risk management documentation in Australian workplaces.</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7: </w:t>
      </w:r>
      <w:r>
        <w:rPr>
          <w:rFonts w:ascii="Arial" w:cs="Arial" w:eastAsia="Arial" w:hAnsi="Arial"/>
          <w:b/>
          <w:bCs/>
          <w:color w:val="1A1A2E"/>
          <w:sz w:val="24"/>
          <w:szCs w:val="24"/>
        </w:rPr>
        <w:t xml:space="preserve">Safe Work Method Statements</w:t>
      </w:r>
    </w:p>
    <w:p>
      <w:pPr>
        <w:pStyle w:val="ListParagraph"/>
        <w:numPr>
          <w:ilvl w:val="0"/>
          <w:numId w:val="2"/>
        </w:numPr>
        <w:spacing w:after="38" w:before="38"/>
      </w:pPr>
      <w:r>
        <w:rPr>
          <w:rFonts w:ascii="Arial" w:cs="Arial" w:eastAsia="Arial" w:hAnsi="Arial"/>
          <w:color w:val="2C2C2C"/>
          <w:sz w:val="21"/>
          <w:szCs w:val="21"/>
        </w:rPr>
        <w:t xml:space="preserve">Required by law for ALL high-risk construction work under Model WHS Regulations Schedule 18</w:t>
      </w:r>
    </w:p>
    <w:p>
      <w:pPr>
        <w:pStyle w:val="ListParagraph"/>
        <w:numPr>
          <w:ilvl w:val="0"/>
          <w:numId w:val="2"/>
        </w:numPr>
        <w:spacing w:after="38" w:before="38"/>
      </w:pPr>
      <w:r>
        <w:rPr>
          <w:rFonts w:ascii="Arial" w:cs="Arial" w:eastAsia="Arial" w:hAnsi="Arial"/>
          <w:color w:val="2C2C2C"/>
          <w:sz w:val="21"/>
          <w:szCs w:val="21"/>
        </w:rPr>
        <w:t xml:space="preserve">The SWMS must identify: specific high-risk activities, hazards, risks, and controls before work begins</w:t>
      </w:r>
    </w:p>
    <w:p>
      <w:pPr>
        <w:pStyle w:val="ListParagraph"/>
        <w:numPr>
          <w:ilvl w:val="0"/>
          <w:numId w:val="2"/>
        </w:numPr>
        <w:spacing w:after="38" w:before="38"/>
      </w:pPr>
      <w:r>
        <w:rPr>
          <w:rFonts w:ascii="Arial" w:cs="Arial" w:eastAsia="Arial" w:hAnsi="Arial"/>
          <w:color w:val="2C2C2C"/>
          <w:sz w:val="21"/>
          <w:szCs w:val="21"/>
        </w:rPr>
        <w:t xml:space="preserve">Workers must sign the SWMS — but they must also be consulted in its preparation, not just presented with it</w:t>
      </w:r>
    </w:p>
    <w:p>
      <w:pPr>
        <w:pStyle w:val="ListParagraph"/>
        <w:numPr>
          <w:ilvl w:val="0"/>
          <w:numId w:val="2"/>
        </w:numPr>
        <w:spacing w:after="38" w:before="38"/>
      </w:pPr>
      <w:r>
        <w:rPr>
          <w:rFonts w:ascii="Arial" w:cs="Arial" w:eastAsia="Arial" w:hAnsi="Arial"/>
          <w:color w:val="2C2C2C"/>
          <w:sz w:val="21"/>
          <w:szCs w:val="21"/>
        </w:rPr>
        <w:t xml:space="preserve">If site conditions change materially, work must stop, the SWMS must be reviewed, and workers re-briefed before continuing</w:t>
      </w:r>
    </w:p>
    <w:p>
      <w:pPr>
        <w:pStyle w:val="ListParagraph"/>
        <w:numPr>
          <w:ilvl w:val="0"/>
          <w:numId w:val="2"/>
        </w:numPr>
        <w:spacing w:after="38" w:before="38"/>
      </w:pPr>
      <w:r>
        <w:rPr>
          <w:rFonts w:ascii="Arial" w:cs="Arial" w:eastAsia="Arial" w:hAnsi="Arial"/>
          <w:color w:val="2C2C2C"/>
          <w:sz w:val="21"/>
          <w:szCs w:val="21"/>
        </w:rPr>
        <w:t xml:space="preserve">Principal Contractors must obtain a copy of every subcontractor's SWMS for high-risk work on their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Regulations r.299: The principal contractor must keep a copy of each SWMS and make it available to any person involved in the work. Restoration companies acting as principal contractors must enforce this requirement with all subbies.</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8: </w:t>
      </w:r>
      <w:r>
        <w:rPr>
          <w:rFonts w:ascii="Arial" w:cs="Arial" w:eastAsia="Arial" w:hAnsi="Arial"/>
          <w:b/>
          <w:bCs/>
          <w:color w:val="1A1A2E"/>
          <w:sz w:val="24"/>
          <w:szCs w:val="24"/>
        </w:rPr>
        <w:t xml:space="preserve">WH&amp;S Communication and Consultation</w:t>
      </w:r>
    </w:p>
    <w:p>
      <w:pPr>
        <w:pStyle w:val="ListParagraph"/>
        <w:numPr>
          <w:ilvl w:val="0"/>
          <w:numId w:val="2"/>
        </w:numPr>
        <w:spacing w:after="38" w:before="38"/>
      </w:pPr>
      <w:r>
        <w:rPr>
          <w:rFonts w:ascii="Arial" w:cs="Arial" w:eastAsia="Arial" w:hAnsi="Arial"/>
          <w:color w:val="2C2C2C"/>
          <w:sz w:val="21"/>
          <w:szCs w:val="21"/>
        </w:rPr>
        <w:t xml:space="preserve">Consultation is legally required under the Model WHS Act s.47 — it is not optional or discretionary</w:t>
      </w:r>
    </w:p>
    <w:p>
      <w:pPr>
        <w:pStyle w:val="ListParagraph"/>
        <w:numPr>
          <w:ilvl w:val="0"/>
          <w:numId w:val="2"/>
        </w:numPr>
        <w:spacing w:after="38" w:before="38"/>
      </w:pPr>
      <w:r>
        <w:rPr>
          <w:rFonts w:ascii="Arial" w:cs="Arial" w:eastAsia="Arial" w:hAnsi="Arial"/>
          <w:color w:val="2C2C2C"/>
          <w:sz w:val="21"/>
          <w:szCs w:val="21"/>
        </w:rPr>
        <w:t xml:space="preserve">Mechanisms: toolbox talks, safety committee, designated worker WHS representative, JSEA team process</w:t>
      </w:r>
    </w:p>
    <w:p>
      <w:pPr>
        <w:pStyle w:val="ListParagraph"/>
        <w:numPr>
          <w:ilvl w:val="0"/>
          <w:numId w:val="2"/>
        </w:numPr>
        <w:spacing w:after="38" w:before="38"/>
      </w:pPr>
      <w:r>
        <w:rPr>
          <w:rFonts w:ascii="Arial" w:cs="Arial" w:eastAsia="Arial" w:hAnsi="Arial"/>
          <w:color w:val="2C2C2C"/>
          <w:sz w:val="21"/>
          <w:szCs w:val="21"/>
        </w:rPr>
        <w:t xml:space="preserve">Consultation must be genuine: workers must have the opportunity to express views AND those views must be considered</w:t>
      </w:r>
    </w:p>
    <w:p>
      <w:pPr>
        <w:pStyle w:val="ListParagraph"/>
        <w:numPr>
          <w:ilvl w:val="0"/>
          <w:numId w:val="2"/>
        </w:numPr>
        <w:spacing w:after="38" w:before="38"/>
      </w:pPr>
      <w:r>
        <w:rPr>
          <w:rFonts w:ascii="Arial" w:cs="Arial" w:eastAsia="Arial" w:hAnsi="Arial"/>
          <w:color w:val="2C2C2C"/>
          <w:sz w:val="21"/>
          <w:szCs w:val="21"/>
        </w:rPr>
        <w:t xml:space="preserve">Issue resolution: if a worker raises a safety concern, the PCBU must respond and document the resolution</w:t>
      </w:r>
    </w:p>
    <w:p>
      <w:pPr>
        <w:pStyle w:val="ListParagraph"/>
        <w:numPr>
          <w:ilvl w:val="0"/>
          <w:numId w:val="2"/>
        </w:numPr>
        <w:spacing w:after="38" w:before="38"/>
      </w:pPr>
      <w:r>
        <w:rPr>
          <w:rFonts w:ascii="Arial" w:cs="Arial" w:eastAsia="Arial" w:hAnsi="Arial"/>
          <w:color w:val="2C2C2C"/>
          <w:sz w:val="21"/>
          <w:szCs w:val="21"/>
        </w:rPr>
        <w:t xml:space="preserve">Health and safety representatives (HSRs): elected by workers; have legal powers including issuing Provisional Improvement Notices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Act s.48: Consultation must occur when changes are proposed that may affect WHS. Starting a new type of job, using a new chemical, or adding new equipment all trigger the consultation duty. Document every consultation — date, attendees, issues raised, and resolution.</w:t>
            </w:r>
          </w:p>
        </w:tc>
      </w:tr>
    </w:tbl>
    <w:p>
      <w:r>
        <w:br w:type="page"/>
      </w:r>
    </w:p>
    <w:p>
      <w:pPr>
        <w:pStyle w:val="Heading1"/>
        <w:spacing w:after="100" w:before="260"/>
      </w:pPr>
      <w:r>
        <w:rPr>
          <w:rFonts w:ascii="Arial" w:cs="Arial" w:eastAsia="Arial" w:hAnsi="Arial"/>
          <w:b/>
          <w:bCs/>
          <w:color w:val="1F3864"/>
          <w:sz w:val="30"/>
          <w:szCs w:val="30"/>
        </w:rPr>
        <w:t xml:space="preserve">COURSE #47: Introduction to Using Personal Protective Equipment</w:t>
      </w:r>
    </w:p>
    <w:p>
      <w:pPr>
        <w:spacing w:after="55" w:before="55"/>
      </w:pPr>
      <w:r>
        <w:rPr>
          <w:rFonts w:ascii="Arial" w:cs="Arial" w:eastAsia="Arial" w:hAnsi="Arial"/>
          <w:color w:val="2C2C2C"/>
          <w:sz w:val="21"/>
          <w:szCs w:val="21"/>
        </w:rPr>
        <w:t xml:space="preserve">Published | AUD $29  |  5 Modules</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PPE is the last line of defence in the Hierarchy of Controls — but it is also the most visible and most often misused element of a WHS program. This course provides restoration professionals with the practical knowledge to select, inspect, fit, use, and maintain the right PPE for every hazard encountered in restoration, mould remediation, water damage, and cleaning environments across Australia.</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Respiratory Protection</w:t>
      </w:r>
    </w:p>
    <w:p>
      <w:pPr>
        <w:pStyle w:val="ListParagraph"/>
        <w:numPr>
          <w:ilvl w:val="0"/>
          <w:numId w:val="2"/>
        </w:numPr>
        <w:spacing w:after="38" w:before="38"/>
      </w:pPr>
      <w:r>
        <w:rPr>
          <w:rFonts w:ascii="Arial" w:cs="Arial" w:eastAsia="Arial" w:hAnsi="Arial"/>
          <w:color w:val="2C2C2C"/>
          <w:sz w:val="21"/>
          <w:szCs w:val="21"/>
        </w:rPr>
        <w:t xml:space="preserve">P1 disposable (FFP1): nuisance dust only — not suitable for mould, silica, or asbestos</w:t>
      </w:r>
    </w:p>
    <w:p>
      <w:pPr>
        <w:pStyle w:val="ListParagraph"/>
        <w:numPr>
          <w:ilvl w:val="0"/>
          <w:numId w:val="2"/>
        </w:numPr>
        <w:spacing w:after="38" w:before="38"/>
      </w:pPr>
      <w:r>
        <w:rPr>
          <w:rFonts w:ascii="Arial" w:cs="Arial" w:eastAsia="Arial" w:hAnsi="Arial"/>
          <w:color w:val="2C2C2C"/>
          <w:sz w:val="21"/>
          <w:szCs w:val="21"/>
        </w:rPr>
        <w:t xml:space="preserve">P2 disposable (FFP2 / N95 equivalent): minimum for mould spores, asbestos fibres, silica, and sewage aerosols</w:t>
      </w:r>
    </w:p>
    <w:p>
      <w:pPr>
        <w:pStyle w:val="ListParagraph"/>
        <w:numPr>
          <w:ilvl w:val="0"/>
          <w:numId w:val="2"/>
        </w:numPr>
        <w:spacing w:after="38" w:before="38"/>
      </w:pPr>
      <w:r>
        <w:rPr>
          <w:rFonts w:ascii="Arial" w:cs="Arial" w:eastAsia="Arial" w:hAnsi="Arial"/>
          <w:color w:val="2C2C2C"/>
          <w:sz w:val="21"/>
          <w:szCs w:val="21"/>
        </w:rPr>
        <w:t xml:space="preserve">P3 half-face respirator with P3 filters: required for high concentrations of particulate — larger mould or asbestos jobs</w:t>
      </w:r>
    </w:p>
    <w:p>
      <w:pPr>
        <w:pStyle w:val="ListParagraph"/>
        <w:numPr>
          <w:ilvl w:val="0"/>
          <w:numId w:val="2"/>
        </w:numPr>
        <w:spacing w:after="38" w:before="38"/>
      </w:pPr>
      <w:r>
        <w:rPr>
          <w:rFonts w:ascii="Arial" w:cs="Arial" w:eastAsia="Arial" w:hAnsi="Arial"/>
          <w:color w:val="2C2C2C"/>
          <w:sz w:val="21"/>
          <w:szCs w:val="21"/>
        </w:rPr>
        <w:t xml:space="preserve">Full-face respirator with combination filters (P3 + organic vapour): fire/smoke remediation, chemical deodorisation</w:t>
      </w:r>
    </w:p>
    <w:p>
      <w:pPr>
        <w:pStyle w:val="ListParagraph"/>
        <w:numPr>
          <w:ilvl w:val="0"/>
          <w:numId w:val="2"/>
        </w:numPr>
        <w:spacing w:after="38" w:before="38"/>
      </w:pPr>
      <w:r>
        <w:rPr>
          <w:rFonts w:ascii="Arial" w:cs="Arial" w:eastAsia="Arial" w:hAnsi="Arial"/>
          <w:color w:val="2C2C2C"/>
          <w:sz w:val="21"/>
          <w:szCs w:val="21"/>
        </w:rPr>
        <w:t xml:space="preserve">Supplied air (SCBA/PAPR): confined space entry with unknown atmosphere; any asphyxiant or IDLH risk</w:t>
      </w:r>
    </w:p>
    <w:p>
      <w:pPr>
        <w:pStyle w:val="ListParagraph"/>
        <w:numPr>
          <w:ilvl w:val="0"/>
          <w:numId w:val="2"/>
        </w:numPr>
        <w:spacing w:after="38" w:before="38"/>
      </w:pPr>
      <w:r>
        <w:rPr>
          <w:rFonts w:ascii="Arial" w:cs="Arial" w:eastAsia="Arial" w:hAnsi="Arial"/>
          <w:color w:val="2C2C2C"/>
          <w:sz w:val="21"/>
          <w:szCs w:val="21"/>
        </w:rPr>
        <w:t xml:space="preserve">Fit testing: all tight-fitting respirators must be fit tested to the individual user — AS/NZS 1715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AS/NZS 1716: Selection, Use and Maintenance of Respiratory Protective Equipment. No P2 disposable provides effective protection if worn over a beard, dirty, or incorrectly fitted. Fit check (positive/negative pressure) must be performed every time a tight-fitting respirator is donned.</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2: </w:t>
      </w:r>
      <w:r>
        <w:rPr>
          <w:rFonts w:ascii="Arial" w:cs="Arial" w:eastAsia="Arial" w:hAnsi="Arial"/>
          <w:b/>
          <w:bCs/>
          <w:color w:val="1A1A2E"/>
          <w:sz w:val="24"/>
          <w:szCs w:val="24"/>
        </w:rPr>
        <w:t xml:space="preserve">Eye and Face Protection</w:t>
      </w:r>
    </w:p>
    <w:p>
      <w:pPr>
        <w:pStyle w:val="ListParagraph"/>
        <w:numPr>
          <w:ilvl w:val="0"/>
          <w:numId w:val="2"/>
        </w:numPr>
        <w:spacing w:after="38" w:before="38"/>
      </w:pPr>
      <w:r>
        <w:rPr>
          <w:rFonts w:ascii="Arial" w:cs="Arial" w:eastAsia="Arial" w:hAnsi="Arial"/>
          <w:color w:val="2C2C2C"/>
          <w:sz w:val="21"/>
          <w:szCs w:val="21"/>
        </w:rPr>
        <w:t xml:space="preserve">Safety glasses: primary protection from flying particles and splash — must meet AS/NZS 1337</w:t>
      </w:r>
    </w:p>
    <w:p>
      <w:pPr>
        <w:pStyle w:val="ListParagraph"/>
        <w:numPr>
          <w:ilvl w:val="0"/>
          <w:numId w:val="2"/>
        </w:numPr>
        <w:spacing w:after="38" w:before="38"/>
      </w:pPr>
      <w:r>
        <w:rPr>
          <w:rFonts w:ascii="Arial" w:cs="Arial" w:eastAsia="Arial" w:hAnsi="Arial"/>
          <w:color w:val="2C2C2C"/>
          <w:sz w:val="21"/>
          <w:szCs w:val="21"/>
        </w:rPr>
        <w:t xml:space="preserve">Wraparound goggles: chemical splash protection; required for all chemical mixing and application</w:t>
      </w:r>
    </w:p>
    <w:p>
      <w:pPr>
        <w:pStyle w:val="ListParagraph"/>
        <w:numPr>
          <w:ilvl w:val="0"/>
          <w:numId w:val="2"/>
        </w:numPr>
        <w:spacing w:after="38" w:before="38"/>
      </w:pPr>
      <w:r>
        <w:rPr>
          <w:rFonts w:ascii="Arial" w:cs="Arial" w:eastAsia="Arial" w:hAnsi="Arial"/>
          <w:color w:val="2C2C2C"/>
          <w:sz w:val="21"/>
          <w:szCs w:val="21"/>
        </w:rPr>
        <w:t xml:space="preserve">Face shield: worn over safety glasses/goggles for additional protection from large splash or projectile risk</w:t>
      </w:r>
    </w:p>
    <w:p>
      <w:pPr>
        <w:pStyle w:val="ListParagraph"/>
        <w:numPr>
          <w:ilvl w:val="0"/>
          <w:numId w:val="2"/>
        </w:numPr>
        <w:spacing w:after="38" w:before="38"/>
      </w:pPr>
      <w:r>
        <w:rPr>
          <w:rFonts w:ascii="Arial" w:cs="Arial" w:eastAsia="Arial" w:hAnsi="Arial"/>
          <w:color w:val="2C2C2C"/>
          <w:sz w:val="21"/>
          <w:szCs w:val="21"/>
        </w:rPr>
        <w:t xml:space="preserve">Combination face shield + P2 respirator: standard for Category 3 sewage remediation and friable ACM exposure</w:t>
      </w:r>
    </w:p>
    <w:p>
      <w:pPr>
        <w:pStyle w:val="ListParagraph"/>
        <w:numPr>
          <w:ilvl w:val="0"/>
          <w:numId w:val="2"/>
        </w:numPr>
        <w:spacing w:after="38" w:before="38"/>
      </w:pPr>
      <w:r>
        <w:rPr>
          <w:rFonts w:ascii="Arial" w:cs="Arial" w:eastAsia="Arial" w:hAnsi="Arial"/>
          <w:color w:val="2C2C2C"/>
          <w:sz w:val="21"/>
          <w:szCs w:val="21"/>
        </w:rPr>
        <w:t xml:space="preserve">Anti-fog treatment: essential in hot/humid restoration environments — fogged eyewear is removed, defeating its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Never substitute safety glasses for goggles when working with corrosive chemicals, biological material, or mould. Safety glasses have open sides — splash or airborne material reaches the eye. Goggles seal against the face.</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3: </w:t>
      </w:r>
      <w:r>
        <w:rPr>
          <w:rFonts w:ascii="Arial" w:cs="Arial" w:eastAsia="Arial" w:hAnsi="Arial"/>
          <w:b/>
          <w:bCs/>
          <w:color w:val="1A1A2E"/>
          <w:sz w:val="24"/>
          <w:szCs w:val="24"/>
        </w:rPr>
        <w:t xml:space="preserve">Head Protection</w:t>
      </w:r>
    </w:p>
    <w:p>
      <w:pPr>
        <w:pStyle w:val="ListParagraph"/>
        <w:numPr>
          <w:ilvl w:val="0"/>
          <w:numId w:val="2"/>
        </w:numPr>
        <w:spacing w:after="38" w:before="38"/>
      </w:pPr>
      <w:r>
        <w:rPr>
          <w:rFonts w:ascii="Arial" w:cs="Arial" w:eastAsia="Arial" w:hAnsi="Arial"/>
          <w:color w:val="2C2C2C"/>
          <w:sz w:val="21"/>
          <w:szCs w:val="21"/>
        </w:rPr>
        <w:t xml:space="preserve">Safety helmets (AS/NZS 1801): required for all work where falling objects, head strike, or overhead hazards exist</w:t>
      </w:r>
    </w:p>
    <w:p>
      <w:pPr>
        <w:pStyle w:val="ListParagraph"/>
        <w:numPr>
          <w:ilvl w:val="0"/>
          <w:numId w:val="2"/>
        </w:numPr>
        <w:spacing w:after="38" w:before="38"/>
      </w:pPr>
      <w:r>
        <w:rPr>
          <w:rFonts w:ascii="Arial" w:cs="Arial" w:eastAsia="Arial" w:hAnsi="Arial"/>
          <w:color w:val="2C2C2C"/>
          <w:sz w:val="21"/>
          <w:szCs w:val="21"/>
        </w:rPr>
        <w:t xml:space="preserve">Restoration contexts requiring helmets: damaged ceilings, demolition, excavation, working near machinery</w:t>
      </w:r>
    </w:p>
    <w:p>
      <w:pPr>
        <w:pStyle w:val="ListParagraph"/>
        <w:numPr>
          <w:ilvl w:val="0"/>
          <w:numId w:val="2"/>
        </w:numPr>
        <w:spacing w:after="38" w:before="38"/>
      </w:pPr>
      <w:r>
        <w:rPr>
          <w:rFonts w:ascii="Arial" w:cs="Arial" w:eastAsia="Arial" w:hAnsi="Arial"/>
          <w:color w:val="2C2C2C"/>
          <w:sz w:val="21"/>
          <w:szCs w:val="21"/>
        </w:rPr>
        <w:t xml:space="preserve">Type 1 helmet: vertical impact protection only; Type 2: vertical and oblique impact protection</w:t>
      </w:r>
    </w:p>
    <w:p>
      <w:pPr>
        <w:pStyle w:val="ListParagraph"/>
        <w:numPr>
          <w:ilvl w:val="0"/>
          <w:numId w:val="2"/>
        </w:numPr>
        <w:spacing w:after="38" w:before="38"/>
      </w:pPr>
      <w:r>
        <w:rPr>
          <w:rFonts w:ascii="Arial" w:cs="Arial" w:eastAsia="Arial" w:hAnsi="Arial"/>
          <w:color w:val="2C2C2C"/>
          <w:sz w:val="21"/>
          <w:szCs w:val="21"/>
        </w:rPr>
        <w:t xml:space="preserve">Expiry and inspection: hard hats must be replaced after any significant impact, or per manufacturer date (typically 3 years)</w:t>
      </w:r>
    </w:p>
    <w:p>
      <w:pPr>
        <w:pStyle w:val="ListParagraph"/>
        <w:numPr>
          <w:ilvl w:val="0"/>
          <w:numId w:val="2"/>
        </w:numPr>
        <w:spacing w:after="38" w:before="38"/>
      </w:pPr>
      <w:r>
        <w:rPr>
          <w:rFonts w:ascii="Arial" w:cs="Arial" w:eastAsia="Arial" w:hAnsi="Arial"/>
          <w:color w:val="2C2C2C"/>
          <w:sz w:val="21"/>
          <w:szCs w:val="21"/>
        </w:rPr>
        <w:t xml:space="preserve">High-visibility: if working near vehicles or in a roadway context, combine head protection with Class 2 hi-vis 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37562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STANDARD REF</w:t>
            </w:r>
          </w:p>
        </w:tc>
        <w:tc>
          <w:tcPr>
            <w:tcW w:type="dxa" w:w="7400"/>
            <w:tcBorders>
              <w:top w:val="single" w:color="B4C8E8" w:sz="1"/>
              <w:left w:val="single" w:color="B4C8E8" w:sz="1"/>
              <w:bottom w:val="single" w:color="B4C8E8" w:sz="1"/>
              <w:right w:val="single" w:color="B4C8E8" w:sz="1"/>
            </w:tcBorders>
            <w:shd w:fill="E2EFDA" w:val="clear"/>
            <w:tcMar>
              <w:top w:type="dxa" w:w="80"/>
              <w:left w:type="dxa" w:w="140"/>
              <w:bottom w:type="dxa" w:w="80"/>
              <w:right w:type="dxa" w:w="140"/>
            </w:tcMar>
          </w:tcPr>
          <w:p>
            <w:r>
              <w:rPr>
                <w:rFonts w:ascii="Arial" w:cs="Arial" w:eastAsia="Arial" w:hAnsi="Arial"/>
                <w:color w:val="2C2C2C"/>
                <w:sz w:val="20"/>
                <w:szCs w:val="20"/>
              </w:rPr>
              <w:t xml:space="preserve">AS/NZS 1801: Occupational Protective Helmets. Always check the manufacturing date stamped inside the helmet — degraded plastic from UV or chemical exposure may look intact but provides significantly reduced protection.</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4: </w:t>
      </w:r>
      <w:r>
        <w:rPr>
          <w:rFonts w:ascii="Arial" w:cs="Arial" w:eastAsia="Arial" w:hAnsi="Arial"/>
          <w:b/>
          <w:bCs/>
          <w:color w:val="1A1A2E"/>
          <w:sz w:val="24"/>
          <w:szCs w:val="24"/>
        </w:rPr>
        <w:t xml:space="preserve">Hearing Protection</w:t>
      </w:r>
    </w:p>
    <w:p>
      <w:pPr>
        <w:pStyle w:val="ListParagraph"/>
        <w:numPr>
          <w:ilvl w:val="0"/>
          <w:numId w:val="2"/>
        </w:numPr>
        <w:spacing w:after="38" w:before="38"/>
      </w:pPr>
      <w:r>
        <w:rPr>
          <w:rFonts w:ascii="Arial" w:cs="Arial" w:eastAsia="Arial" w:hAnsi="Arial"/>
          <w:color w:val="2C2C2C"/>
          <w:sz w:val="21"/>
          <w:szCs w:val="21"/>
        </w:rPr>
        <w:t xml:space="preserve">Noise-induced hearing loss (NIHL) is permanent — there is no medical treatment once damage occurs</w:t>
      </w:r>
    </w:p>
    <w:p>
      <w:pPr>
        <w:pStyle w:val="ListParagraph"/>
        <w:numPr>
          <w:ilvl w:val="0"/>
          <w:numId w:val="2"/>
        </w:numPr>
        <w:spacing w:after="38" w:before="38"/>
      </w:pPr>
      <w:r>
        <w:rPr>
          <w:rFonts w:ascii="Arial" w:cs="Arial" w:eastAsia="Arial" w:hAnsi="Arial"/>
          <w:color w:val="2C2C2C"/>
          <w:sz w:val="21"/>
          <w:szCs w:val="21"/>
        </w:rPr>
        <w:t xml:space="preserve">Trigger level: Safe Work Australia — mandatory hearing protection above 85 dB(A) 8-hr TWA or 140 dB(C) peak</w:t>
      </w:r>
    </w:p>
    <w:p>
      <w:pPr>
        <w:pStyle w:val="ListParagraph"/>
        <w:numPr>
          <w:ilvl w:val="0"/>
          <w:numId w:val="2"/>
        </w:numPr>
        <w:spacing w:after="38" w:before="38"/>
      </w:pPr>
      <w:r>
        <w:rPr>
          <w:rFonts w:ascii="Arial" w:cs="Arial" w:eastAsia="Arial" w:hAnsi="Arial"/>
          <w:color w:val="2C2C2C"/>
          <w:sz w:val="21"/>
          <w:szCs w:val="21"/>
        </w:rPr>
        <w:t xml:space="preserve">Disposable foam earplugs (Class 5): SLC80 rating 26–35 dB — correct for most high-noise restoration equipment</w:t>
      </w:r>
    </w:p>
    <w:p>
      <w:pPr>
        <w:pStyle w:val="ListParagraph"/>
        <w:numPr>
          <w:ilvl w:val="0"/>
          <w:numId w:val="2"/>
        </w:numPr>
        <w:spacing w:after="38" w:before="38"/>
      </w:pPr>
      <w:r>
        <w:rPr>
          <w:rFonts w:ascii="Arial" w:cs="Arial" w:eastAsia="Arial" w:hAnsi="Arial"/>
          <w:color w:val="2C2C2C"/>
          <w:sz w:val="21"/>
          <w:szCs w:val="21"/>
        </w:rPr>
        <w:t xml:space="preserve">Earmuffs: easier to fit-check; preferred where earplugs must be repeatedly inserted/removed during work</w:t>
      </w:r>
    </w:p>
    <w:p>
      <w:pPr>
        <w:pStyle w:val="ListParagraph"/>
        <w:numPr>
          <w:ilvl w:val="0"/>
          <w:numId w:val="2"/>
        </w:numPr>
        <w:spacing w:after="38" w:before="38"/>
      </w:pPr>
      <w:r>
        <w:rPr>
          <w:rFonts w:ascii="Arial" w:cs="Arial" w:eastAsia="Arial" w:hAnsi="Arial"/>
          <w:color w:val="2C2C2C"/>
          <w:sz w:val="21"/>
          <w:szCs w:val="21"/>
        </w:rPr>
        <w:t xml:space="preserve">Equipment noise levels in restoration: truck-mounted extractors (~90 dB), angle grinders (~100+ dB), desiccant dehumidifiers (~75 dB)</w:t>
      </w:r>
    </w:p>
    <w:p>
      <w:pPr>
        <w:pStyle w:val="ListParagraph"/>
        <w:numPr>
          <w:ilvl w:val="0"/>
          <w:numId w:val="2"/>
        </w:numPr>
        <w:spacing w:after="38" w:before="38"/>
      </w:pPr>
      <w:r>
        <w:rPr>
          <w:rFonts w:ascii="Arial" w:cs="Arial" w:eastAsia="Arial" w:hAnsi="Arial"/>
          <w:color w:val="2C2C2C"/>
          <w:sz w:val="21"/>
          <w:szCs w:val="21"/>
        </w:rPr>
        <w:t xml:space="preserve">Hearing protection must be worn for the entire duration of noise exposure — removing them for even 5 minutes eliminates most of the protection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Regulations r.57: The PCBU must eliminate or minimise noise. Engineering controls (silenced equipment, enclosures) must be implemented before requiring workers to rely on hearing protection alone.</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5: </w:t>
      </w:r>
      <w:r>
        <w:rPr>
          <w:rFonts w:ascii="Arial" w:cs="Arial" w:eastAsia="Arial" w:hAnsi="Arial"/>
          <w:b/>
          <w:bCs/>
          <w:color w:val="1A1A2E"/>
          <w:sz w:val="24"/>
          <w:szCs w:val="24"/>
        </w:rPr>
        <w:t xml:space="preserve">Body Protection</w:t>
      </w:r>
    </w:p>
    <w:p>
      <w:pPr>
        <w:pStyle w:val="ListParagraph"/>
        <w:numPr>
          <w:ilvl w:val="0"/>
          <w:numId w:val="2"/>
        </w:numPr>
        <w:spacing w:after="38" w:before="38"/>
      </w:pPr>
      <w:r>
        <w:rPr>
          <w:rFonts w:ascii="Arial" w:cs="Arial" w:eastAsia="Arial" w:hAnsi="Arial"/>
          <w:color w:val="2C2C2C"/>
          <w:sz w:val="21"/>
          <w:szCs w:val="21"/>
        </w:rPr>
        <w:t xml:space="preserve">Disposable coveralls (Type 5/6): minimum for mould, sewage, and asbestos-bonded work — dispose of as contaminated waste on exit</w:t>
      </w:r>
    </w:p>
    <w:p>
      <w:pPr>
        <w:pStyle w:val="ListParagraph"/>
        <w:numPr>
          <w:ilvl w:val="0"/>
          <w:numId w:val="2"/>
        </w:numPr>
        <w:spacing w:after="38" w:before="38"/>
      </w:pPr>
      <w:r>
        <w:rPr>
          <w:rFonts w:ascii="Arial" w:cs="Arial" w:eastAsia="Arial" w:hAnsi="Arial"/>
          <w:color w:val="2C2C2C"/>
          <w:sz w:val="21"/>
          <w:szCs w:val="21"/>
        </w:rPr>
        <w:t xml:space="preserve">Type 4 chemical splash coveralls: required for Category 3 sewage or hazardous chemical spill response</w:t>
      </w:r>
    </w:p>
    <w:p>
      <w:pPr>
        <w:pStyle w:val="ListParagraph"/>
        <w:numPr>
          <w:ilvl w:val="0"/>
          <w:numId w:val="2"/>
        </w:numPr>
        <w:spacing w:after="38" w:before="38"/>
      </w:pPr>
      <w:r>
        <w:rPr>
          <w:rFonts w:ascii="Arial" w:cs="Arial" w:eastAsia="Arial" w:hAnsi="Arial"/>
          <w:color w:val="2C2C2C"/>
          <w:sz w:val="21"/>
          <w:szCs w:val="21"/>
        </w:rPr>
        <w:t xml:space="preserve">Cut-resistant gloves: when handling broken glass, sharp debris, or demolition material</w:t>
      </w:r>
    </w:p>
    <w:p>
      <w:pPr>
        <w:pStyle w:val="ListParagraph"/>
        <w:numPr>
          <w:ilvl w:val="0"/>
          <w:numId w:val="2"/>
        </w:numPr>
        <w:spacing w:after="38" w:before="38"/>
      </w:pPr>
      <w:r>
        <w:rPr>
          <w:rFonts w:ascii="Arial" w:cs="Arial" w:eastAsia="Arial" w:hAnsi="Arial"/>
          <w:color w:val="2C2C2C"/>
          <w:sz w:val="21"/>
          <w:szCs w:val="21"/>
        </w:rPr>
        <w:t xml:space="preserve">Chemical-resistant gloves (nitrile minimum): for all cleaning chemical application and contaminated material handling</w:t>
      </w:r>
    </w:p>
    <w:p>
      <w:pPr>
        <w:pStyle w:val="ListParagraph"/>
        <w:numPr>
          <w:ilvl w:val="0"/>
          <w:numId w:val="2"/>
        </w:numPr>
        <w:spacing w:after="38" w:before="38"/>
      </w:pPr>
      <w:r>
        <w:rPr>
          <w:rFonts w:ascii="Arial" w:cs="Arial" w:eastAsia="Arial" w:hAnsi="Arial"/>
          <w:color w:val="2C2C2C"/>
          <w:sz w:val="21"/>
          <w:szCs w:val="21"/>
        </w:rPr>
        <w:t xml:space="preserve">Safety footwear (AS/NZS 2210.3): steel-capped boots for all sites with demolition, debris, or equipment handling</w:t>
      </w:r>
    </w:p>
    <w:p>
      <w:pPr>
        <w:pStyle w:val="ListParagraph"/>
        <w:numPr>
          <w:ilvl w:val="0"/>
          <w:numId w:val="2"/>
        </w:numPr>
        <w:spacing w:after="38" w:before="38"/>
      </w:pPr>
      <w:r>
        <w:rPr>
          <w:rFonts w:ascii="Arial" w:cs="Arial" w:eastAsia="Arial" w:hAnsi="Arial"/>
          <w:color w:val="2C2C2C"/>
          <w:sz w:val="21"/>
          <w:szCs w:val="21"/>
        </w:rPr>
        <w:t xml:space="preserve">High-visibility clothing (Class 2, AS/NZS 4602.1): required when working near traffic, reversing vehicles, or on roadway-adjacent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At the end of every shift in a contaminated environment: remove and bag disposable coveralls inside the contamination zone, HEPA-vacuum clothing and boots before leaving, wash hands and face before removing respiratory protection. This sequence prevents carry-out contamination to vehicles and homes.</w:t>
            </w:r>
          </w:p>
        </w:tc>
      </w:tr>
    </w:tbl>
    <w:p>
      <w:r>
        <w:br w:type="page"/>
      </w:r>
    </w:p>
    <w:p>
      <w:pPr>
        <w:pStyle w:val="Heading1"/>
        <w:spacing w:after="100" w:before="260"/>
      </w:pPr>
      <w:r>
        <w:rPr>
          <w:rFonts w:ascii="Arial" w:cs="Arial" w:eastAsia="Arial" w:hAnsi="Arial"/>
          <w:b/>
          <w:bCs/>
          <w:color w:val="1F3864"/>
          <w:sz w:val="30"/>
          <w:szCs w:val="30"/>
        </w:rPr>
        <w:t xml:space="preserve">COURSE #52: Introduction to Safety Procedures for Water Damage Work</w:t>
      </w:r>
    </w:p>
    <w:p>
      <w:pPr>
        <w:spacing w:after="55" w:before="55"/>
      </w:pPr>
      <w:r>
        <w:rPr>
          <w:rFonts w:ascii="Arial" w:cs="Arial" w:eastAsia="Arial" w:hAnsi="Arial"/>
          <w:color w:val="2C2C2C"/>
          <w:sz w:val="21"/>
          <w:szCs w:val="21"/>
        </w:rPr>
        <w:t xml:space="preserve">Published | AUD $29  |  4 Modules</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Water damage restoration creates a unique combination of overlapping hazards — electrical, biological, chemical, physical, and ergonomic — that can escalate rapidly if not managed with structured safety procedures. This course provides technicians with the practical protocols to assess hazards, select PPE, control exposures, and manage equipment safely in every water damage scenario.</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Assessing Hazards</w:t>
      </w:r>
    </w:p>
    <w:p>
      <w:pPr>
        <w:pStyle w:val="ListParagraph"/>
        <w:numPr>
          <w:ilvl w:val="0"/>
          <w:numId w:val="2"/>
        </w:numPr>
        <w:spacing w:after="38" w:before="38"/>
      </w:pPr>
      <w:r>
        <w:rPr>
          <w:rFonts w:ascii="Arial" w:cs="Arial" w:eastAsia="Arial" w:hAnsi="Arial"/>
          <w:color w:val="2C2C2C"/>
          <w:sz w:val="21"/>
          <w:szCs w:val="21"/>
        </w:rPr>
        <w:t xml:space="preserve">Initial site hazard assessment must be completed before any equipment is brought inside the structure</w:t>
      </w:r>
    </w:p>
    <w:p>
      <w:pPr>
        <w:pStyle w:val="ListParagraph"/>
        <w:numPr>
          <w:ilvl w:val="0"/>
          <w:numId w:val="2"/>
        </w:numPr>
        <w:spacing w:after="38" w:before="38"/>
      </w:pPr>
      <w:r>
        <w:rPr>
          <w:rFonts w:ascii="Arial" w:cs="Arial" w:eastAsia="Arial" w:hAnsi="Arial"/>
          <w:color w:val="2C2C2C"/>
          <w:sz w:val="21"/>
          <w:szCs w:val="21"/>
        </w:rPr>
        <w:t xml:space="preserve">Electrical: assume all electrical services in a flooded zone are live until isolation is confirmed in writing by a licensed electrician</w:t>
      </w:r>
    </w:p>
    <w:p>
      <w:pPr>
        <w:pStyle w:val="ListParagraph"/>
        <w:numPr>
          <w:ilvl w:val="0"/>
          <w:numId w:val="2"/>
        </w:numPr>
        <w:spacing w:after="38" w:before="38"/>
      </w:pPr>
      <w:r>
        <w:rPr>
          <w:rFonts w:ascii="Arial" w:cs="Arial" w:eastAsia="Arial" w:hAnsi="Arial"/>
          <w:color w:val="2C2C2C"/>
          <w:sz w:val="21"/>
          <w:szCs w:val="21"/>
        </w:rPr>
        <w:t xml:space="preserve">Structural: water-saturated walls and ceilings can collapse without warning — probe and assess before entry</w:t>
      </w:r>
    </w:p>
    <w:p>
      <w:pPr>
        <w:pStyle w:val="ListParagraph"/>
        <w:numPr>
          <w:ilvl w:val="0"/>
          <w:numId w:val="2"/>
        </w:numPr>
        <w:spacing w:after="38" w:before="38"/>
      </w:pPr>
      <w:r>
        <w:rPr>
          <w:rFonts w:ascii="Arial" w:cs="Arial" w:eastAsia="Arial" w:hAnsi="Arial"/>
          <w:color w:val="2C2C2C"/>
          <w:sz w:val="21"/>
          <w:szCs w:val="21"/>
        </w:rPr>
        <w:t xml:space="preserve">Biological: Category 2 water (grey water) and Category 3 (black water / sewage) require full PPE from site entry</w:t>
      </w:r>
    </w:p>
    <w:p>
      <w:pPr>
        <w:pStyle w:val="ListParagraph"/>
        <w:numPr>
          <w:ilvl w:val="0"/>
          <w:numId w:val="2"/>
        </w:numPr>
        <w:spacing w:after="38" w:before="38"/>
      </w:pPr>
      <w:r>
        <w:rPr>
          <w:rFonts w:ascii="Arial" w:cs="Arial" w:eastAsia="Arial" w:hAnsi="Arial"/>
          <w:color w:val="2C2C2C"/>
          <w:sz w:val="21"/>
          <w:szCs w:val="21"/>
        </w:rPr>
        <w:t xml:space="preserve">Chemical: identify any plant chemicals, petroleum products, or industrial substances that may have contaminated the water</w:t>
      </w:r>
    </w:p>
    <w:p>
      <w:pPr>
        <w:pStyle w:val="ListParagraph"/>
        <w:numPr>
          <w:ilvl w:val="0"/>
          <w:numId w:val="2"/>
        </w:numPr>
        <w:spacing w:after="38" w:before="38"/>
      </w:pPr>
      <w:r>
        <w:rPr>
          <w:rFonts w:ascii="Arial" w:cs="Arial" w:eastAsia="Arial" w:hAnsi="Arial"/>
          <w:color w:val="2C2C2C"/>
          <w:sz w:val="21"/>
          <w:szCs w:val="21"/>
        </w:rPr>
        <w:t xml:space="preserve">Confined spaces: subfloors, tanks, and pits that have been flooded may contain oxygen-depleted or toxic atmospheres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Develop and use a site entry checklist for every water damage job. The first 10 minutes on site before any work starts determines whether the next 8 hours are safe. Do not skip this step under time pressure from clients or insurers.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Regulations Part 4.1: Confined Spaces — any subfloor space that has been flooded must be treated as a confined space until the atmosphere has been tested by a competent person with calibrated gas detection equipment.</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2: </w:t>
      </w:r>
      <w:r>
        <w:rPr>
          <w:rFonts w:ascii="Arial" w:cs="Arial" w:eastAsia="Arial" w:hAnsi="Arial"/>
          <w:b/>
          <w:bCs/>
          <w:color w:val="1A1A2E"/>
          <w:sz w:val="24"/>
          <w:szCs w:val="24"/>
        </w:rPr>
        <w:t xml:space="preserve">Use of PPE</w:t>
      </w:r>
    </w:p>
    <w:p>
      <w:pPr>
        <w:pStyle w:val="ListParagraph"/>
        <w:numPr>
          <w:ilvl w:val="0"/>
          <w:numId w:val="2"/>
        </w:numPr>
        <w:spacing w:after="38" w:before="38"/>
      </w:pPr>
      <w:r>
        <w:rPr>
          <w:rFonts w:ascii="Arial" w:cs="Arial" w:eastAsia="Arial" w:hAnsi="Arial"/>
          <w:color w:val="2C2C2C"/>
          <w:sz w:val="21"/>
          <w:szCs w:val="21"/>
        </w:rPr>
        <w:t xml:space="preserve">Category 1 (clean water): minimum P2 respirator + safety glasses + nitrile gloves + steel-capped boots</w:t>
      </w:r>
    </w:p>
    <w:p>
      <w:pPr>
        <w:pStyle w:val="ListParagraph"/>
        <w:numPr>
          <w:ilvl w:val="0"/>
          <w:numId w:val="2"/>
        </w:numPr>
        <w:spacing w:after="38" w:before="38"/>
      </w:pPr>
      <w:r>
        <w:rPr>
          <w:rFonts w:ascii="Arial" w:cs="Arial" w:eastAsia="Arial" w:hAnsi="Arial"/>
          <w:color w:val="2C2C2C"/>
          <w:sz w:val="21"/>
          <w:szCs w:val="21"/>
        </w:rPr>
        <w:t xml:space="preserve">Category 2 (grey water): full disposable coveralls + P2 respirator + safety glasses + nitrile gloves + rubber boots</w:t>
      </w:r>
    </w:p>
    <w:p>
      <w:pPr>
        <w:pStyle w:val="ListParagraph"/>
        <w:numPr>
          <w:ilvl w:val="0"/>
          <w:numId w:val="2"/>
        </w:numPr>
        <w:spacing w:after="38" w:before="38"/>
      </w:pPr>
      <w:r>
        <w:rPr>
          <w:rFonts w:ascii="Arial" w:cs="Arial" w:eastAsia="Arial" w:hAnsi="Arial"/>
          <w:color w:val="2C2C2C"/>
          <w:sz w:val="21"/>
          <w:szCs w:val="21"/>
        </w:rPr>
        <w:t xml:space="preserve">Category 3 (black water / sewage): Type 5/6 coveralls + full-face P3 respirator + face shield + heavy nitrile gloves + rubber boots; hepatitis B vaccination strongly recommended</w:t>
      </w:r>
    </w:p>
    <w:p>
      <w:pPr>
        <w:pStyle w:val="ListParagraph"/>
        <w:numPr>
          <w:ilvl w:val="0"/>
          <w:numId w:val="2"/>
        </w:numPr>
        <w:spacing w:after="38" w:before="38"/>
      </w:pPr>
      <w:r>
        <w:rPr>
          <w:rFonts w:ascii="Arial" w:cs="Arial" w:eastAsia="Arial" w:hAnsi="Arial"/>
          <w:color w:val="2C2C2C"/>
          <w:sz w:val="21"/>
          <w:szCs w:val="21"/>
        </w:rPr>
        <w:t xml:space="preserve">PPE must be donned before entering the contaminated zone — not after observing conditions</w:t>
      </w:r>
    </w:p>
    <w:p>
      <w:pPr>
        <w:pStyle w:val="ListParagraph"/>
        <w:numPr>
          <w:ilvl w:val="0"/>
          <w:numId w:val="2"/>
        </w:numPr>
        <w:spacing w:after="38" w:before="38"/>
      </w:pPr>
      <w:r>
        <w:rPr>
          <w:rFonts w:ascii="Arial" w:cs="Arial" w:eastAsia="Arial" w:hAnsi="Arial"/>
          <w:color w:val="2C2C2C"/>
          <w:sz w:val="21"/>
          <w:szCs w:val="21"/>
        </w:rPr>
        <w:t xml:space="preserve">Removing PPE: doff coveralls inside the contaminated zone; bag immediately; sanitise boots before crossing into clean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C55A11"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WARNING</w:t>
            </w:r>
          </w:p>
        </w:tc>
        <w:tc>
          <w:tcPr>
            <w:tcW w:type="dxa" w:w="7400"/>
            <w:tcBorders>
              <w:top w:val="single" w:color="B4C8E8" w:sz="1"/>
              <w:left w:val="single" w:color="B4C8E8" w:sz="1"/>
              <w:bottom w:val="single" w:color="B4C8E8" w:sz="1"/>
              <w:right w:val="single" w:color="B4C8E8" w:sz="1"/>
            </w:tcBorders>
            <w:shd w:fill="FBE5D6" w:val="clear"/>
            <w:tcMar>
              <w:top w:type="dxa" w:w="80"/>
              <w:left w:type="dxa" w:w="140"/>
              <w:bottom w:type="dxa" w:w="80"/>
              <w:right w:type="dxa" w:w="140"/>
            </w:tcMar>
          </w:tcPr>
          <w:p>
            <w:r>
              <w:rPr>
                <w:rFonts w:ascii="Arial" w:cs="Arial" w:eastAsia="Arial" w:hAnsi="Arial"/>
                <w:color w:val="2C2C2C"/>
                <w:sz w:val="20"/>
                <w:szCs w:val="20"/>
              </w:rPr>
              <w:t xml:space="preserve">Any splash to the face, eyes, or open wound from Category 3 water requires immediate first aid and medical assessment. Document the incident, report under WHS incident reporting requirements, and follow your organisation's exposure response protocol.</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3: </w:t>
      </w:r>
      <w:r>
        <w:rPr>
          <w:rFonts w:ascii="Arial" w:cs="Arial" w:eastAsia="Arial" w:hAnsi="Arial"/>
          <w:b/>
          <w:bCs/>
          <w:color w:val="1A1A2E"/>
          <w:sz w:val="24"/>
          <w:szCs w:val="24"/>
        </w:rPr>
        <w:t xml:space="preserve">Exposure Control</w:t>
      </w:r>
    </w:p>
    <w:p>
      <w:pPr>
        <w:pStyle w:val="ListParagraph"/>
        <w:numPr>
          <w:ilvl w:val="0"/>
          <w:numId w:val="2"/>
        </w:numPr>
        <w:spacing w:after="38" w:before="38"/>
      </w:pPr>
      <w:r>
        <w:rPr>
          <w:rFonts w:ascii="Arial" w:cs="Arial" w:eastAsia="Arial" w:hAnsi="Arial"/>
          <w:color w:val="2C2C2C"/>
          <w:sz w:val="21"/>
          <w:szCs w:val="21"/>
        </w:rPr>
        <w:t xml:space="preserve">Biological exposure: all Category 2/3 water must be treated as infectious — universal precautions apply throughout</w:t>
      </w:r>
    </w:p>
    <w:p>
      <w:pPr>
        <w:pStyle w:val="ListParagraph"/>
        <w:numPr>
          <w:ilvl w:val="0"/>
          <w:numId w:val="2"/>
        </w:numPr>
        <w:spacing w:after="38" w:before="38"/>
      </w:pPr>
      <w:r>
        <w:rPr>
          <w:rFonts w:ascii="Arial" w:cs="Arial" w:eastAsia="Arial" w:hAnsi="Arial"/>
          <w:color w:val="2C2C2C"/>
          <w:sz w:val="21"/>
          <w:szCs w:val="21"/>
        </w:rPr>
        <w:t xml:space="preserve">Chemical exposure: if the source water may contain industrial chemicals, require SDS for any identified substances and conduct atmosphere testing before entry</w:t>
      </w:r>
    </w:p>
    <w:p>
      <w:pPr>
        <w:pStyle w:val="ListParagraph"/>
        <w:numPr>
          <w:ilvl w:val="0"/>
          <w:numId w:val="2"/>
        </w:numPr>
        <w:spacing w:after="38" w:before="38"/>
      </w:pPr>
      <w:r>
        <w:rPr>
          <w:rFonts w:ascii="Arial" w:cs="Arial" w:eastAsia="Arial" w:hAnsi="Arial"/>
          <w:color w:val="2C2C2C"/>
          <w:sz w:val="21"/>
          <w:szCs w:val="21"/>
        </w:rPr>
        <w:t xml:space="preserve">Airborne mould: if visible mould is present at first inspection, establish negative pressure containment before commencing any extraction or drying</w:t>
      </w:r>
    </w:p>
    <w:p>
      <w:pPr>
        <w:pStyle w:val="ListParagraph"/>
        <w:numPr>
          <w:ilvl w:val="0"/>
          <w:numId w:val="2"/>
        </w:numPr>
        <w:spacing w:after="38" w:before="38"/>
      </w:pPr>
      <w:r>
        <w:rPr>
          <w:rFonts w:ascii="Arial" w:cs="Arial" w:eastAsia="Arial" w:hAnsi="Arial"/>
          <w:color w:val="2C2C2C"/>
          <w:sz w:val="21"/>
          <w:szCs w:val="21"/>
        </w:rPr>
        <w:t xml:space="preserve">Noise: truck-mounted extractors and industrial air movers exceed 85 dB — enforce hearing protection from engine start</w:t>
      </w:r>
    </w:p>
    <w:p>
      <w:pPr>
        <w:pStyle w:val="ListParagraph"/>
        <w:numPr>
          <w:ilvl w:val="0"/>
          <w:numId w:val="2"/>
        </w:numPr>
        <w:spacing w:after="38" w:before="38"/>
      </w:pPr>
      <w:r>
        <w:rPr>
          <w:rFonts w:ascii="Arial" w:cs="Arial" w:eastAsia="Arial" w:hAnsi="Arial"/>
          <w:color w:val="2C2C2C"/>
          <w:sz w:val="21"/>
          <w:szCs w:val="21"/>
        </w:rPr>
        <w:t xml:space="preserve">Heat stress: working in PPE in a hot/humid water-damaged structure increases core temperature rapidly — implement 20-minute work/rest cycles and mandatory hydration in temperatures above 28°C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2E5FA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FIELD ACTION</w:t>
            </w:r>
          </w:p>
        </w:tc>
        <w:tc>
          <w:tcPr>
            <w:tcW w:type="dxa" w:w="7400"/>
            <w:tcBorders>
              <w:top w:val="single" w:color="B4C8E8" w:sz="1"/>
              <w:left w:val="single" w:color="B4C8E8" w:sz="1"/>
              <w:bottom w:val="single" w:color="B4C8E8" w:sz="1"/>
              <w:right w:val="single" w:color="B4C8E8" w:sz="1"/>
            </w:tcBorders>
            <w:shd w:fill="EEF4FB" w:val="clear"/>
            <w:tcMar>
              <w:top w:type="dxa" w:w="80"/>
              <w:left w:type="dxa" w:w="140"/>
              <w:bottom w:type="dxa" w:w="80"/>
              <w:right w:type="dxa" w:w="140"/>
            </w:tcMar>
          </w:tcPr>
          <w:p>
            <w:r>
              <w:rPr>
                <w:rFonts w:ascii="Arial" w:cs="Arial" w:eastAsia="Arial" w:hAnsi="Arial"/>
                <w:color w:val="2C2C2C"/>
                <w:sz w:val="20"/>
                <w:szCs w:val="20"/>
              </w:rPr>
              <w:t xml:space="preserve">Exposure controls must be implemented before work starts — not after the first worker reports feeling unwell. Pre-shift briefings should confirm: current hazard categories, required PPE, any changes to site conditions since last shift, and emergency response plan for this site.</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4: </w:t>
      </w:r>
      <w:r>
        <w:rPr>
          <w:rFonts w:ascii="Arial" w:cs="Arial" w:eastAsia="Arial" w:hAnsi="Arial"/>
          <w:b/>
          <w:bCs/>
          <w:color w:val="1A1A2E"/>
          <w:sz w:val="24"/>
          <w:szCs w:val="24"/>
        </w:rPr>
        <w:t xml:space="preserve">Equipment Safety</w:t>
      </w:r>
    </w:p>
    <w:p>
      <w:pPr>
        <w:pStyle w:val="ListParagraph"/>
        <w:numPr>
          <w:ilvl w:val="0"/>
          <w:numId w:val="2"/>
        </w:numPr>
        <w:spacing w:after="38" w:before="38"/>
      </w:pPr>
      <w:r>
        <w:rPr>
          <w:rFonts w:ascii="Arial" w:cs="Arial" w:eastAsia="Arial" w:hAnsi="Arial"/>
          <w:color w:val="2C2C2C"/>
          <w:sz w:val="21"/>
          <w:szCs w:val="21"/>
        </w:rPr>
        <w:t xml:space="preserve">Electrical equipment near water: RCD (residual current device) protection is mandatory for all 240V equipment in wet environments — test RCD before each use</w:t>
      </w:r>
    </w:p>
    <w:p>
      <w:pPr>
        <w:pStyle w:val="ListParagraph"/>
        <w:numPr>
          <w:ilvl w:val="0"/>
          <w:numId w:val="2"/>
        </w:numPr>
        <w:spacing w:after="38" w:before="38"/>
      </w:pPr>
      <w:r>
        <w:rPr>
          <w:rFonts w:ascii="Arial" w:cs="Arial" w:eastAsia="Arial" w:hAnsi="Arial"/>
          <w:color w:val="2C2C2C"/>
          <w:sz w:val="21"/>
          <w:szCs w:val="21"/>
        </w:rPr>
        <w:t xml:space="preserve">Extension leads: use only rated for outdoor/wet environments; no joins or damaged insulation</w:t>
      </w:r>
    </w:p>
    <w:p>
      <w:pPr>
        <w:pStyle w:val="ListParagraph"/>
        <w:numPr>
          <w:ilvl w:val="0"/>
          <w:numId w:val="2"/>
        </w:numPr>
        <w:spacing w:after="38" w:before="38"/>
      </w:pPr>
      <w:r>
        <w:rPr>
          <w:rFonts w:ascii="Arial" w:cs="Arial" w:eastAsia="Arial" w:hAnsi="Arial"/>
          <w:color w:val="2C2C2C"/>
          <w:sz w:val="21"/>
          <w:szCs w:val="21"/>
        </w:rPr>
        <w:t xml:space="preserve">Air movers and dehumidifiers: position to avoid trip hazards; secure electrical leads with cable clips</w:t>
      </w:r>
    </w:p>
    <w:p>
      <w:pPr>
        <w:pStyle w:val="ListParagraph"/>
        <w:numPr>
          <w:ilvl w:val="0"/>
          <w:numId w:val="2"/>
        </w:numPr>
        <w:spacing w:after="38" w:before="38"/>
      </w:pPr>
      <w:r>
        <w:rPr>
          <w:rFonts w:ascii="Arial" w:cs="Arial" w:eastAsia="Arial" w:hAnsi="Arial"/>
          <w:color w:val="2C2C2C"/>
          <w:sz w:val="21"/>
          <w:szCs w:val="21"/>
        </w:rPr>
        <w:t xml:space="preserve">Truck-mounted units: exhaust fumes are a CO risk — never position exhaust near building entry points or HVAC intakes</w:t>
      </w:r>
    </w:p>
    <w:p>
      <w:pPr>
        <w:pStyle w:val="ListParagraph"/>
        <w:numPr>
          <w:ilvl w:val="0"/>
          <w:numId w:val="2"/>
        </w:numPr>
        <w:spacing w:after="38" w:before="38"/>
      </w:pPr>
      <w:r>
        <w:rPr>
          <w:rFonts w:ascii="Arial" w:cs="Arial" w:eastAsia="Arial" w:hAnsi="Arial"/>
          <w:color w:val="2C2C2C"/>
          <w:sz w:val="21"/>
          <w:szCs w:val="21"/>
        </w:rPr>
        <w:t xml:space="preserve">Plant and equipment register: all equipment used on a WHS-regulated job site must be inspected and tagged; tag-out any defective equipment immediately</w:t>
      </w:r>
    </w:p>
    <w:p>
      <w:pPr>
        <w:pStyle w:val="ListParagraph"/>
        <w:numPr>
          <w:ilvl w:val="0"/>
          <w:numId w:val="2"/>
        </w:numPr>
        <w:spacing w:after="38" w:before="38"/>
      </w:pPr>
      <w:r>
        <w:rPr>
          <w:rFonts w:ascii="Arial" w:cs="Arial" w:eastAsia="Arial" w:hAnsi="Arial"/>
          <w:color w:val="2C2C2C"/>
          <w:sz w:val="21"/>
          <w:szCs w:val="21"/>
        </w:rPr>
        <w:t xml:space="preserve">Manual handling: wet carpet and saturated building materials are extremely heavy — use mechanical assist (carpet wand, slab lift) and implement team-lift protocols for items over 16 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Regulations Part 5.1: Management of Risks of Plant — all plant (equipment) used on a job site must be properly designed, used in accordance with manufacturer instructions, maintained, and inspected. A log of equipment inspections must be retained.</w:t>
            </w:r>
          </w:p>
        </w:tc>
      </w:tr>
    </w:tbl>
    <w:p>
      <w:r>
        <w:br w:type="page"/>
      </w:r>
    </w:p>
    <w:p>
      <w:pPr>
        <w:pStyle w:val="Heading1"/>
        <w:spacing w:after="100" w:before="260"/>
      </w:pPr>
      <w:r>
        <w:rPr>
          <w:rFonts w:ascii="Arial" w:cs="Arial" w:eastAsia="Arial" w:hAnsi="Arial"/>
          <w:b/>
          <w:bCs/>
          <w:color w:val="1F3864"/>
          <w:sz w:val="30"/>
          <w:szCs w:val="30"/>
        </w:rPr>
        <w:t xml:space="preserve">COURSE #78: Donning and Doffing PPE</w:t>
      </w:r>
    </w:p>
    <w:p>
      <w:pPr>
        <w:spacing w:after="55" w:before="55"/>
      </w:pPr>
      <w:r>
        <w:rPr>
          <w:rFonts w:ascii="Arial" w:cs="Arial" w:eastAsia="Arial" w:hAnsi="Arial"/>
          <w:color w:val="2C2C2C"/>
          <w:sz w:val="21"/>
          <w:szCs w:val="21"/>
        </w:rPr>
        <w:t xml:space="preserve">Published | AUD $39  |  3 Modules</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The value of PPE is entirely dependent on how it is put on and taken off. A correctly selected respirator or coverall worn incorrectly provides little or no protection. Equally, removing contaminated PPE carelessly transfers the very hazards it was designed to stop. This course provides the step-by-step protocols for correct donning and doffing of full PPE in restoration, mould, and infection control environments.</w:t>
      </w:r>
    </w:p>
    <w:p>
      <w:pPr>
        <w:spacing w:after="0" w:before="100"/>
      </w:pPr>
      <w:r>
        <w:t xml:space="preserve"/>
      </w:r>
    </w:p>
    <w:p>
      <w:pPr>
        <w:pStyle w:val="Heading2"/>
        <w:spacing w:after="80" w:before="180"/>
      </w:pPr>
      <w:r>
        <w:rPr>
          <w:rFonts w:ascii="Arial" w:cs="Arial" w:eastAsia="Arial" w:hAnsi="Arial"/>
          <w:b/>
          <w:bCs/>
          <w:color w:val="2E5FA3"/>
          <w:sz w:val="24"/>
          <w:szCs w:val="24"/>
        </w:rPr>
        <w:t xml:space="preserve">Module 1: </w:t>
      </w:r>
      <w:r>
        <w:rPr>
          <w:rFonts w:ascii="Arial" w:cs="Arial" w:eastAsia="Arial" w:hAnsi="Arial"/>
          <w:b/>
          <w:bCs/>
          <w:color w:val="1A1A2E"/>
          <w:sz w:val="24"/>
          <w:szCs w:val="24"/>
        </w:rPr>
        <w:t xml:space="preserve">Personal Protective Equipment (PPE)</w:t>
      </w:r>
    </w:p>
    <w:p>
      <w:pPr>
        <w:spacing w:after="55" w:before="55"/>
      </w:pPr>
      <w:r>
        <w:rPr>
          <w:rFonts w:ascii="Arial" w:cs="Arial" w:eastAsia="Arial" w:hAnsi="Arial"/>
          <w:color w:val="2C2C2C"/>
          <w:sz w:val="21"/>
          <w:szCs w:val="21"/>
        </w:rPr>
        <w:t xml:space="preserve">Before donning, every item of PPE must be inspected, correctly sized, and confirmed to match the hazard classification of the environment you are entering.</w:t>
      </w:r>
    </w:p>
    <w:p>
      <w:pPr>
        <w:pStyle w:val="ListParagraph"/>
        <w:numPr>
          <w:ilvl w:val="0"/>
          <w:numId w:val="2"/>
        </w:numPr>
        <w:spacing w:after="38" w:before="38"/>
      </w:pPr>
      <w:r>
        <w:rPr>
          <w:rFonts w:ascii="Arial" w:cs="Arial" w:eastAsia="Arial" w:hAnsi="Arial"/>
          <w:color w:val="2C2C2C"/>
          <w:sz w:val="21"/>
          <w:szCs w:val="21"/>
        </w:rPr>
        <w:t xml:space="preserve">Inspect before use: check expiry date, integrity of seal, no visible damage — reject and replace any compromised item</w:t>
      </w:r>
    </w:p>
    <w:p>
      <w:pPr>
        <w:pStyle w:val="ListParagraph"/>
        <w:numPr>
          <w:ilvl w:val="0"/>
          <w:numId w:val="2"/>
        </w:numPr>
        <w:spacing w:after="38" w:before="38"/>
      </w:pPr>
      <w:r>
        <w:rPr>
          <w:rFonts w:ascii="Arial" w:cs="Arial" w:eastAsia="Arial" w:hAnsi="Arial"/>
          <w:color w:val="2C2C2C"/>
          <w:sz w:val="21"/>
          <w:szCs w:val="21"/>
        </w:rPr>
        <w:t xml:space="preserve">Match PPE to hazard category: P2 for mould/asbestos-bonded; P3 or full-face for high-concentration particulate; Type 5/6 coveralls for contaminated environments; Type 4 for liquid splash</w:t>
      </w:r>
    </w:p>
    <w:p>
      <w:pPr>
        <w:pStyle w:val="ListParagraph"/>
        <w:numPr>
          <w:ilvl w:val="0"/>
          <w:numId w:val="2"/>
        </w:numPr>
        <w:spacing w:after="38" w:before="38"/>
      </w:pPr>
      <w:r>
        <w:rPr>
          <w:rFonts w:ascii="Arial" w:cs="Arial" w:eastAsia="Arial" w:hAnsi="Arial"/>
          <w:color w:val="2C2C2C"/>
          <w:sz w:val="21"/>
          <w:szCs w:val="21"/>
        </w:rPr>
        <w:t xml:space="preserve">Sizing: ill-fitting respirators, coveralls, or gloves compromise protection — maintain a range of sizes on every vehicle</w:t>
      </w:r>
    </w:p>
    <w:p>
      <w:pPr>
        <w:pStyle w:val="ListParagraph"/>
        <w:numPr>
          <w:ilvl w:val="0"/>
          <w:numId w:val="2"/>
        </w:numPr>
        <w:spacing w:after="38" w:before="38"/>
      </w:pPr>
      <w:r>
        <w:rPr>
          <w:rFonts w:ascii="Arial" w:cs="Arial" w:eastAsia="Arial" w:hAnsi="Arial"/>
          <w:color w:val="2C2C2C"/>
          <w:sz w:val="21"/>
          <w:szCs w:val="21"/>
        </w:rPr>
        <w:t xml:space="preserve">PPE kit for water damage: gloves, nitrile (1 pair), P2 respirator, safety glasses, disposable coveralls (Type 5/6), safety boots — pre-pack and restock after every contaminated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375623"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STANDARD REF</w:t>
            </w:r>
          </w:p>
        </w:tc>
        <w:tc>
          <w:tcPr>
            <w:tcW w:type="dxa" w:w="7400"/>
            <w:tcBorders>
              <w:top w:val="single" w:color="B4C8E8" w:sz="1"/>
              <w:left w:val="single" w:color="B4C8E8" w:sz="1"/>
              <w:bottom w:val="single" w:color="B4C8E8" w:sz="1"/>
              <w:right w:val="single" w:color="B4C8E8" w:sz="1"/>
            </w:tcBorders>
            <w:shd w:fill="E2EFDA" w:val="clear"/>
            <w:tcMar>
              <w:top w:type="dxa" w:w="80"/>
              <w:left w:type="dxa" w:w="140"/>
              <w:bottom w:type="dxa" w:w="80"/>
              <w:right w:type="dxa" w:w="140"/>
            </w:tcMar>
          </w:tcPr>
          <w:p>
            <w:r>
              <w:rPr>
                <w:rFonts w:ascii="Arial" w:cs="Arial" w:eastAsia="Arial" w:hAnsi="Arial"/>
                <w:color w:val="2C2C2C"/>
                <w:sz w:val="20"/>
                <w:szCs w:val="20"/>
              </w:rPr>
              <w:t xml:space="preserve">AS/NZS 1716: Selection, Use and Maintenance of Respiratory Protective Equipment. AS/NZS 4501.2: Occupational Protective Clothing. Both standards specify the performance, labelling, and inspection requirements for compliant PPE.</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2: </w:t>
      </w:r>
      <w:r>
        <w:rPr>
          <w:rFonts w:ascii="Arial" w:cs="Arial" w:eastAsia="Arial" w:hAnsi="Arial"/>
          <w:b/>
          <w:bCs/>
          <w:color w:val="1A1A2E"/>
          <w:sz w:val="24"/>
          <w:szCs w:val="24"/>
        </w:rPr>
        <w:t xml:space="preserve">Donning and Doffing PPE</w:t>
      </w:r>
    </w:p>
    <w:p>
      <w:pPr>
        <w:spacing w:after="55" w:before="55"/>
      </w:pPr>
      <w:r>
        <w:rPr>
          <w:rFonts w:ascii="Arial" w:cs="Arial" w:eastAsia="Arial" w:hAnsi="Arial"/>
          <w:b/>
          <w:bCs/>
          <w:color w:val="1A1A2E"/>
          <w:sz w:val="21"/>
          <w:szCs w:val="21"/>
        </w:rPr>
        <w:t xml:space="preserve">Donning Sequence — Always Follow This Order</w:t>
      </w:r>
    </w:p>
    <w:p>
      <w:pPr>
        <w:pStyle w:val="ListParagraph"/>
        <w:numPr>
          <w:ilvl w:val="0"/>
          <w:numId w:val="2"/>
        </w:numPr>
        <w:spacing w:after="38" w:before="38"/>
      </w:pPr>
      <w:r>
        <w:rPr>
          <w:rFonts w:ascii="Arial" w:cs="Arial" w:eastAsia="Arial" w:hAnsi="Arial"/>
          <w:color w:val="2C2C2C"/>
          <w:sz w:val="21"/>
          <w:szCs w:val="21"/>
        </w:rPr>
        <w:t xml:space="preserve">1. Safety boots: on before coveralls to prevent trip hazard during donning</w:t>
      </w:r>
    </w:p>
    <w:p>
      <w:pPr>
        <w:pStyle w:val="ListParagraph"/>
        <w:numPr>
          <w:ilvl w:val="0"/>
          <w:numId w:val="2"/>
        </w:numPr>
        <w:spacing w:after="38" w:before="38"/>
      </w:pPr>
      <w:r>
        <w:rPr>
          <w:rFonts w:ascii="Arial" w:cs="Arial" w:eastAsia="Arial" w:hAnsi="Arial"/>
          <w:color w:val="2C2C2C"/>
          <w:sz w:val="21"/>
          <w:szCs w:val="21"/>
        </w:rPr>
        <w:t xml:space="preserve">2. Coveralls: pull on, zip up, but leave hood down and face area open until respirator is fitted</w:t>
      </w:r>
    </w:p>
    <w:p>
      <w:pPr>
        <w:pStyle w:val="ListParagraph"/>
        <w:numPr>
          <w:ilvl w:val="0"/>
          <w:numId w:val="2"/>
        </w:numPr>
        <w:spacing w:after="38" w:before="38"/>
      </w:pPr>
      <w:r>
        <w:rPr>
          <w:rFonts w:ascii="Arial" w:cs="Arial" w:eastAsia="Arial" w:hAnsi="Arial"/>
          <w:color w:val="2C2C2C"/>
          <w:sz w:val="21"/>
          <w:szCs w:val="21"/>
        </w:rPr>
        <w:t xml:space="preserve">3. Respirator: fit and perform positive/negative pressure seal check before proceeding</w:t>
      </w:r>
    </w:p>
    <w:p>
      <w:pPr>
        <w:pStyle w:val="ListParagraph"/>
        <w:numPr>
          <w:ilvl w:val="0"/>
          <w:numId w:val="2"/>
        </w:numPr>
        <w:spacing w:after="38" w:before="38"/>
      </w:pPr>
      <w:r>
        <w:rPr>
          <w:rFonts w:ascii="Arial" w:cs="Arial" w:eastAsia="Arial" w:hAnsi="Arial"/>
          <w:color w:val="2C2C2C"/>
          <w:sz w:val="21"/>
          <w:szCs w:val="21"/>
        </w:rPr>
        <w:t xml:space="preserve">4. Safety glasses or goggles: over the respirator straps</w:t>
      </w:r>
    </w:p>
    <w:p>
      <w:pPr>
        <w:pStyle w:val="ListParagraph"/>
        <w:numPr>
          <w:ilvl w:val="0"/>
          <w:numId w:val="2"/>
        </w:numPr>
        <w:spacing w:after="38" w:before="38"/>
      </w:pPr>
      <w:r>
        <w:rPr>
          <w:rFonts w:ascii="Arial" w:cs="Arial" w:eastAsia="Arial" w:hAnsi="Arial"/>
          <w:color w:val="2C2C2C"/>
          <w:sz w:val="21"/>
          <w:szCs w:val="21"/>
        </w:rPr>
        <w:t xml:space="preserve">5. Hood: pull over head so it covers the respirator straps — no gaps at the neck</w:t>
      </w:r>
    </w:p>
    <w:p>
      <w:pPr>
        <w:pStyle w:val="ListParagraph"/>
        <w:numPr>
          <w:ilvl w:val="0"/>
          <w:numId w:val="2"/>
        </w:numPr>
        <w:spacing w:after="38" w:before="38"/>
      </w:pPr>
      <w:r>
        <w:rPr>
          <w:rFonts w:ascii="Arial" w:cs="Arial" w:eastAsia="Arial" w:hAnsi="Arial"/>
          <w:color w:val="2C2C2C"/>
          <w:sz w:val="21"/>
          <w:szCs w:val="21"/>
        </w:rPr>
        <w:t xml:space="preserve">6. Outer gloves: pull over the coverall cuff — no gap between glove and coverall</w:t>
      </w:r>
    </w:p>
    <w:p>
      <w:pPr>
        <w:pStyle w:val="ListParagraph"/>
        <w:numPr>
          <w:ilvl w:val="0"/>
          <w:numId w:val="2"/>
        </w:numPr>
        <w:spacing w:after="38" w:before="38"/>
      </w:pPr>
      <w:r>
        <w:rPr>
          <w:rFonts w:ascii="Arial" w:cs="Arial" w:eastAsia="Arial" w:hAnsi="Arial"/>
          <w:color w:val="2C2C2C"/>
          <w:sz w:val="21"/>
          <w:szCs w:val="21"/>
        </w:rPr>
        <w:t xml:space="preserve">7. Buddy check: have a colleague inspect for gaps, failed seals, or equipment issues before entry</w:t>
      </w:r>
    </w:p>
    <w:p>
      <w:pPr>
        <w:spacing w:after="0" w:before="60"/>
      </w:pPr>
      <w:r>
        <w:t xml:space="preserve"/>
      </w:r>
    </w:p>
    <w:p>
      <w:pPr>
        <w:spacing w:after="55" w:before="55"/>
      </w:pPr>
      <w:r>
        <w:rPr>
          <w:rFonts w:ascii="Arial" w:cs="Arial" w:eastAsia="Arial" w:hAnsi="Arial"/>
          <w:b/>
          <w:bCs/>
          <w:color w:val="1A1A2E"/>
          <w:sz w:val="21"/>
          <w:szCs w:val="21"/>
        </w:rPr>
        <w:t xml:space="preserve">Doffing Sequence — Contaminated Side to Clean Side</w:t>
      </w:r>
    </w:p>
    <w:p>
      <w:pPr>
        <w:pStyle w:val="ListParagraph"/>
        <w:numPr>
          <w:ilvl w:val="0"/>
          <w:numId w:val="2"/>
        </w:numPr>
        <w:spacing w:after="38" w:before="38"/>
      </w:pPr>
      <w:r>
        <w:rPr>
          <w:rFonts w:ascii="Arial" w:cs="Arial" w:eastAsia="Arial" w:hAnsi="Arial"/>
          <w:color w:val="2C2C2C"/>
          <w:sz w:val="21"/>
          <w:szCs w:val="21"/>
        </w:rPr>
        <w:t xml:space="preserve">1. Brush down: HEPA-vacuum coveralls and boot soles while still inside the contamination zone</w:t>
      </w:r>
    </w:p>
    <w:p>
      <w:pPr>
        <w:pStyle w:val="ListParagraph"/>
        <w:numPr>
          <w:ilvl w:val="0"/>
          <w:numId w:val="2"/>
        </w:numPr>
        <w:spacing w:after="38" w:before="38"/>
      </w:pPr>
      <w:r>
        <w:rPr>
          <w:rFonts w:ascii="Arial" w:cs="Arial" w:eastAsia="Arial" w:hAnsi="Arial"/>
          <w:color w:val="2C2C2C"/>
          <w:sz w:val="21"/>
          <w:szCs w:val="21"/>
        </w:rPr>
        <w:t xml:space="preserve">2. Outer gloves: peel off first, turning inside-out as removed — bag immediately</w:t>
      </w:r>
    </w:p>
    <w:p>
      <w:pPr>
        <w:pStyle w:val="ListParagraph"/>
        <w:numPr>
          <w:ilvl w:val="0"/>
          <w:numId w:val="2"/>
        </w:numPr>
        <w:spacing w:after="38" w:before="38"/>
      </w:pPr>
      <w:r>
        <w:rPr>
          <w:rFonts w:ascii="Arial" w:cs="Arial" w:eastAsia="Arial" w:hAnsi="Arial"/>
          <w:color w:val="2C2C2C"/>
          <w:sz w:val="21"/>
          <w:szCs w:val="21"/>
        </w:rPr>
        <w:t xml:space="preserve">3. Coveralls: unzip and peel off rolling downward and outward — never pull over the head; bag inside contamination zone</w:t>
      </w:r>
    </w:p>
    <w:p>
      <w:pPr>
        <w:pStyle w:val="ListParagraph"/>
        <w:numPr>
          <w:ilvl w:val="0"/>
          <w:numId w:val="2"/>
        </w:numPr>
        <w:spacing w:after="38" w:before="38"/>
      </w:pPr>
      <w:r>
        <w:rPr>
          <w:rFonts w:ascii="Arial" w:cs="Arial" w:eastAsia="Arial" w:hAnsi="Arial"/>
          <w:color w:val="2C2C2C"/>
          <w:sz w:val="21"/>
          <w:szCs w:val="21"/>
        </w:rPr>
        <w:t xml:space="preserve">4. Safety boots: wipe with disinfectant-soaked cloth or step through boot-wash station</w:t>
      </w:r>
    </w:p>
    <w:p>
      <w:pPr>
        <w:pStyle w:val="ListParagraph"/>
        <w:numPr>
          <w:ilvl w:val="0"/>
          <w:numId w:val="2"/>
        </w:numPr>
        <w:spacing w:after="38" w:before="38"/>
      </w:pPr>
      <w:r>
        <w:rPr>
          <w:rFonts w:ascii="Arial" w:cs="Arial" w:eastAsia="Arial" w:hAnsi="Arial"/>
          <w:color w:val="2C2C2C"/>
          <w:sz w:val="21"/>
          <w:szCs w:val="21"/>
        </w:rPr>
        <w:t xml:space="preserve">5. Exit contamination zone / decontamination room</w:t>
      </w:r>
    </w:p>
    <w:p>
      <w:pPr>
        <w:pStyle w:val="ListParagraph"/>
        <w:numPr>
          <w:ilvl w:val="0"/>
          <w:numId w:val="2"/>
        </w:numPr>
        <w:spacing w:after="38" w:before="38"/>
      </w:pPr>
      <w:r>
        <w:rPr>
          <w:rFonts w:ascii="Arial" w:cs="Arial" w:eastAsia="Arial" w:hAnsi="Arial"/>
          <w:color w:val="2C2C2C"/>
          <w:sz w:val="21"/>
          <w:szCs w:val="21"/>
        </w:rPr>
        <w:t xml:space="preserve">6. Goggles / safety glasses: remove and decontaminate with wipe</w:t>
      </w:r>
    </w:p>
    <w:p>
      <w:pPr>
        <w:pStyle w:val="ListParagraph"/>
        <w:numPr>
          <w:ilvl w:val="0"/>
          <w:numId w:val="2"/>
        </w:numPr>
        <w:spacing w:after="38" w:before="38"/>
      </w:pPr>
      <w:r>
        <w:rPr>
          <w:rFonts w:ascii="Arial" w:cs="Arial" w:eastAsia="Arial" w:hAnsi="Arial"/>
          <w:color w:val="2C2C2C"/>
          <w:sz w:val="21"/>
          <w:szCs w:val="21"/>
        </w:rPr>
        <w:t xml:space="preserve">7. Respirator: remove last — do not touch the facepiece; remove by the straps from behind; bag for disposal or clean for reuse</w:t>
      </w:r>
    </w:p>
    <w:p>
      <w:pPr>
        <w:pStyle w:val="ListParagraph"/>
        <w:numPr>
          <w:ilvl w:val="0"/>
          <w:numId w:val="2"/>
        </w:numPr>
        <w:spacing w:after="38" w:before="38"/>
      </w:pPr>
      <w:r>
        <w:rPr>
          <w:rFonts w:ascii="Arial" w:cs="Arial" w:eastAsia="Arial" w:hAnsi="Arial"/>
          <w:color w:val="2C2C2C"/>
          <w:sz w:val="21"/>
          <w:szCs w:val="21"/>
        </w:rPr>
        <w:t xml:space="preserve">8. Hand hygiene: wash hands with soap and water for minimum 20 seconds immediately after doffing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C55A11"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WARNING</w:t>
            </w:r>
          </w:p>
        </w:tc>
        <w:tc>
          <w:tcPr>
            <w:tcW w:type="dxa" w:w="7400"/>
            <w:tcBorders>
              <w:top w:val="single" w:color="B4C8E8" w:sz="1"/>
              <w:left w:val="single" w:color="B4C8E8" w:sz="1"/>
              <w:bottom w:val="single" w:color="B4C8E8" w:sz="1"/>
              <w:right w:val="single" w:color="B4C8E8" w:sz="1"/>
            </w:tcBorders>
            <w:shd w:fill="FBE5D6" w:val="clear"/>
            <w:tcMar>
              <w:top w:type="dxa" w:w="80"/>
              <w:left w:type="dxa" w:w="140"/>
              <w:bottom w:type="dxa" w:w="80"/>
              <w:right w:type="dxa" w:w="140"/>
            </w:tcMar>
          </w:tcPr>
          <w:p>
            <w:r>
              <w:rPr>
                <w:rFonts w:ascii="Arial" w:cs="Arial" w:eastAsia="Arial" w:hAnsi="Arial"/>
                <w:color w:val="2C2C2C"/>
                <w:sz w:val="20"/>
                <w:szCs w:val="20"/>
              </w:rPr>
              <w:t xml:space="preserve">The doffing sequence is when most contamination transfer incidents occur. The respirator comes off LAST. Removing it earlier defeats its purpose at the highest-risk moment — when you are handling contaminated coveralls and gloves.</w:t>
            </w:r>
          </w:p>
        </w:tc>
      </w:tr>
    </w:tbl>
    <w:p>
      <w:pPr>
        <w:spacing w:after="0" w:before="100"/>
      </w:pPr>
      <w:r>
        <w:t xml:space="preserve"/>
      </w:r>
    </w:p>
    <w:p>
      <w:pPr>
        <w:pStyle w:val="Heading2"/>
        <w:spacing w:after="80" w:before="180"/>
      </w:pPr>
      <w:r>
        <w:rPr>
          <w:rFonts w:ascii="Arial" w:cs="Arial" w:eastAsia="Arial" w:hAnsi="Arial"/>
          <w:b/>
          <w:bCs/>
          <w:color w:val="2E5FA3"/>
          <w:sz w:val="24"/>
          <w:szCs w:val="24"/>
        </w:rPr>
        <w:t xml:space="preserve">Module 3: </w:t>
      </w:r>
      <w:r>
        <w:rPr>
          <w:rFonts w:ascii="Arial" w:cs="Arial" w:eastAsia="Arial" w:hAnsi="Arial"/>
          <w:b/>
          <w:bCs/>
          <w:color w:val="1A1A2E"/>
          <w:sz w:val="24"/>
          <w:szCs w:val="24"/>
        </w:rPr>
        <w:t xml:space="preserve">Heat Exhaustion and Heat Stroke</w:t>
      </w:r>
    </w:p>
    <w:p>
      <w:pPr>
        <w:spacing w:after="55" w:before="55"/>
      </w:pPr>
      <w:r>
        <w:rPr>
          <w:rFonts w:ascii="Arial" w:cs="Arial" w:eastAsia="Arial" w:hAnsi="Arial"/>
          <w:color w:val="2C2C2C"/>
          <w:sz w:val="21"/>
          <w:szCs w:val="21"/>
        </w:rPr>
        <w:t xml:space="preserve">Working in full PPE significantly increases core body temperature, particularly in hot or humid conditions. Heat-related illness in a contaminated environment is especially dangerous because the worker may not be able to remove their PPE safely without assistance.</w:t>
      </w:r>
    </w:p>
    <w:p>
      <w:pPr>
        <w:pStyle w:val="ListParagraph"/>
        <w:numPr>
          <w:ilvl w:val="0"/>
          <w:numId w:val="2"/>
        </w:numPr>
        <w:spacing w:after="38" w:before="38"/>
      </w:pPr>
      <w:r>
        <w:rPr>
          <w:rFonts w:ascii="Arial" w:cs="Arial" w:eastAsia="Arial" w:hAnsi="Arial"/>
          <w:color w:val="2C2C2C"/>
          <w:sz w:val="21"/>
          <w:szCs w:val="21"/>
        </w:rPr>
        <w:t xml:space="preserve">Heat exhaustion: heavy sweating, weakness, cool/pale/clammy skin, weak pulse, nausea, possible faintness — person is still conscious</w:t>
      </w:r>
    </w:p>
    <w:p>
      <w:pPr>
        <w:pStyle w:val="ListParagraph"/>
        <w:numPr>
          <w:ilvl w:val="0"/>
          <w:numId w:val="2"/>
        </w:numPr>
        <w:spacing w:after="38" w:before="38"/>
      </w:pPr>
      <w:r>
        <w:rPr>
          <w:rFonts w:ascii="Arial" w:cs="Arial" w:eastAsia="Arial" w:hAnsi="Arial"/>
          <w:color w:val="2C2C2C"/>
          <w:sz w:val="21"/>
          <w:szCs w:val="21"/>
        </w:rPr>
        <w:t xml:space="preserve">Heat stroke: high body temperature (&gt;39°C), hot/red/dry or damp skin, rapid strong pulse, confusion — MEDICAL EMERGENCY</w:t>
      </w:r>
    </w:p>
    <w:p>
      <w:pPr>
        <w:pStyle w:val="ListParagraph"/>
        <w:numPr>
          <w:ilvl w:val="0"/>
          <w:numId w:val="2"/>
        </w:numPr>
        <w:spacing w:after="38" w:before="38"/>
      </w:pPr>
      <w:r>
        <w:rPr>
          <w:rFonts w:ascii="Arial" w:cs="Arial" w:eastAsia="Arial" w:hAnsi="Arial"/>
          <w:color w:val="2C2C2C"/>
          <w:sz w:val="21"/>
          <w:szCs w:val="21"/>
        </w:rPr>
        <w:t xml:space="preserve">Prevention controls: 20-minute on / 10-minute rest rotation in full PPE; pre-hydration (500mL water before suit-up); rest in shaded cool zone during breaks; buddy system so no one is alone in a suit</w:t>
      </w:r>
    </w:p>
    <w:p>
      <w:pPr>
        <w:pStyle w:val="ListParagraph"/>
        <w:numPr>
          <w:ilvl w:val="0"/>
          <w:numId w:val="2"/>
        </w:numPr>
        <w:spacing w:after="38" w:before="38"/>
      </w:pPr>
      <w:r>
        <w:rPr>
          <w:rFonts w:ascii="Arial" w:cs="Arial" w:eastAsia="Arial" w:hAnsi="Arial"/>
          <w:color w:val="2C2C2C"/>
          <w:sz w:val="21"/>
          <w:szCs w:val="21"/>
        </w:rPr>
        <w:t xml:space="preserve">Work scheduling: in temperatures above 28°C, plan highest-exertion tasks for early morning; reduce shift duration in PPE</w:t>
      </w:r>
    </w:p>
    <w:p>
      <w:pPr>
        <w:pStyle w:val="ListParagraph"/>
        <w:numPr>
          <w:ilvl w:val="0"/>
          <w:numId w:val="2"/>
        </w:numPr>
        <w:spacing w:after="38" w:before="38"/>
      </w:pPr>
      <w:r>
        <w:rPr>
          <w:rFonts w:ascii="Arial" w:cs="Arial" w:eastAsia="Arial" w:hAnsi="Arial"/>
          <w:color w:val="2C2C2C"/>
          <w:sz w:val="21"/>
          <w:szCs w:val="21"/>
        </w:rPr>
        <w:t xml:space="preserve">First aid for heat exhaustion: move to cool area, remove PPE safely, cool with wet towels, give fluids if conscious</w:t>
      </w:r>
    </w:p>
    <w:p>
      <w:pPr>
        <w:pStyle w:val="ListParagraph"/>
        <w:numPr>
          <w:ilvl w:val="0"/>
          <w:numId w:val="2"/>
        </w:numPr>
        <w:spacing w:after="38" w:before="38"/>
      </w:pPr>
      <w:r>
        <w:rPr>
          <w:rFonts w:ascii="Arial" w:cs="Arial" w:eastAsia="Arial" w:hAnsi="Arial"/>
          <w:color w:val="2C2C2C"/>
          <w:sz w:val="21"/>
          <w:szCs w:val="21"/>
        </w:rPr>
        <w:t xml:space="preserve">First aid for heat stroke: call 000 immediately; cool rapidly with cold water immersion or ice packs to neck, armpits, groin; do not give fluids if unconscious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B4C8E8" w:sz="1"/>
              <w:left w:val="single" w:color="B4C8E8" w:sz="1"/>
              <w:bottom w:val="single" w:color="B4C8E8" w:sz="1"/>
              <w:right w:val="single" w:color="B4C8E8"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COMPLIANCE</w:t>
            </w:r>
          </w:p>
        </w:tc>
        <w:tc>
          <w:tcPr>
            <w:tcW w:type="dxa" w:w="7400"/>
            <w:tcBorders>
              <w:top w:val="single" w:color="B4C8E8" w:sz="1"/>
              <w:left w:val="single" w:color="B4C8E8" w:sz="1"/>
              <w:bottom w:val="single" w:color="B4C8E8" w:sz="1"/>
              <w:right w:val="single" w:color="B4C8E8" w:sz="1"/>
            </w:tcBorders>
            <w:shd w:fill="D6E4F7" w:val="clear"/>
            <w:tcMar>
              <w:top w:type="dxa" w:w="80"/>
              <w:left w:type="dxa" w:w="140"/>
              <w:bottom w:type="dxa" w:w="80"/>
              <w:right w:type="dxa" w:w="140"/>
            </w:tcMar>
          </w:tcPr>
          <w:p>
            <w:r>
              <w:rPr>
                <w:rFonts w:ascii="Arial" w:cs="Arial" w:eastAsia="Arial" w:hAnsi="Arial"/>
                <w:color w:val="2C2C2C"/>
                <w:sz w:val="20"/>
                <w:szCs w:val="20"/>
              </w:rPr>
              <w:t xml:space="preserve">Model WHS Regulations r.55: The PCBU must manage risks from the work environment including heat. Work in full PPE in temperatures above 28°C must be included in the site risk assessment with documented controls. Heat-related illness is a notifiable incident under the WHS Act if it results in hospitalisation.</w:t>
            </w:r>
          </w:p>
        </w:tc>
      </w:tr>
    </w:tbl>
    <w:p>
      <w:r>
        <w:br w:type="page"/>
      </w:r>
    </w:p>
    <w:p>
      <w:pPr>
        <w:pStyle w:val="Heading1"/>
        <w:spacing w:after="100" w:before="260"/>
      </w:pPr>
      <w:r>
        <w:rPr>
          <w:rFonts w:ascii="Arial" w:cs="Arial" w:eastAsia="Arial" w:hAnsi="Arial"/>
          <w:b/>
          <w:bCs/>
          <w:color w:val="1F3864"/>
          <w:sz w:val="30"/>
          <w:szCs w:val="30"/>
        </w:rPr>
        <w:t xml:space="preserve">WHAT YOU WILL LEARN</w:t>
      </w:r>
    </w:p>
    <w:p>
      <w:pPr>
        <w:pBdr>
          <w:bottom w:val="single" w:color="2E5FA3" w:sz="8" w:space="1"/>
        </w:pBdr>
        <w:spacing w:after="80" w:before="60"/>
      </w:pPr>
      <w:r>
        <w:t xml:space="preserve"/>
      </w:r>
    </w:p>
    <w:p>
      <w:pPr>
        <w:spacing w:after="55" w:before="55"/>
      </w:pPr>
      <w:r>
        <w:rPr>
          <w:rFonts w:ascii="Arial" w:cs="Arial" w:eastAsia="Arial" w:hAnsi="Arial"/>
          <w:color w:val="2C2C2C"/>
          <w:sz w:val="21"/>
          <w:szCs w:val="21"/>
        </w:rPr>
        <w:t xml:space="preserve">Upon completing all courses in the WHS / Compliance series, participants will have developed the following practical, legally defensible, and operationally ready competencies:</w:t>
      </w:r>
    </w:p>
    <w:p>
      <w:pPr>
        <w:spacing w:after="0" w:before="120"/>
      </w:pPr>
      <w:r>
        <w:t xml:space="preserve"/>
      </w:r>
    </w:p>
    <w:p>
      <w:pPr>
        <w:spacing w:after="60" w:before="100"/>
      </w:pPr>
      <w:r>
        <w:rPr>
          <w:rFonts w:ascii="Arial" w:cs="Arial" w:eastAsia="Arial" w:hAnsi="Arial"/>
          <w:b/>
          <w:bCs/>
          <w:color w:val="2E5FA3"/>
          <w:sz w:val="24"/>
          <w:szCs w:val="24"/>
        </w:rPr>
        <w:t xml:space="preserve">Legislative &amp; Regulatory Knowledge</w:t>
      </w:r>
    </w:p>
    <w:p>
      <w:pPr>
        <w:pStyle w:val="ListParagraph"/>
        <w:numPr>
          <w:ilvl w:val="0"/>
          <w:numId w:val="2"/>
        </w:numPr>
        <w:spacing w:after="38" w:before="38"/>
      </w:pPr>
      <w:r>
        <w:rPr>
          <w:rFonts w:ascii="Arial" w:cs="Arial" w:eastAsia="Arial" w:hAnsi="Arial"/>
          <w:color w:val="2C2C2C"/>
          <w:sz w:val="21"/>
          <w:szCs w:val="21"/>
        </w:rPr>
        <w:t xml:space="preserve">Understand and apply the Model Work Health and Safety Act 2011, Model WHS Regulations, and state-specific WHS legislation</w:t>
      </w:r>
    </w:p>
    <w:p>
      <w:pPr>
        <w:pStyle w:val="ListParagraph"/>
        <w:numPr>
          <w:ilvl w:val="0"/>
          <w:numId w:val="2"/>
        </w:numPr>
        <w:spacing w:after="38" w:before="38"/>
      </w:pPr>
      <w:r>
        <w:rPr>
          <w:rFonts w:ascii="Arial" w:cs="Arial" w:eastAsia="Arial" w:hAnsi="Arial"/>
          <w:color w:val="2C2C2C"/>
          <w:sz w:val="21"/>
          <w:szCs w:val="21"/>
        </w:rPr>
        <w:t xml:space="preserve">Identify when high-risk construction work triggers mandatory SWMS requirements under Schedule 18</w:t>
      </w:r>
    </w:p>
    <w:p>
      <w:pPr>
        <w:pStyle w:val="ListParagraph"/>
        <w:numPr>
          <w:ilvl w:val="0"/>
          <w:numId w:val="2"/>
        </w:numPr>
        <w:spacing w:after="38" w:before="38"/>
      </w:pPr>
      <w:r>
        <w:rPr>
          <w:rFonts w:ascii="Arial" w:cs="Arial" w:eastAsia="Arial" w:hAnsi="Arial"/>
          <w:color w:val="2C2C2C"/>
          <w:sz w:val="21"/>
          <w:szCs w:val="21"/>
        </w:rPr>
        <w:t xml:space="preserve">Apply Safe Work Australia Workplace Exposure Standards (WES) to chemical and particulate hazards</w:t>
      </w:r>
    </w:p>
    <w:p>
      <w:pPr>
        <w:pStyle w:val="ListParagraph"/>
        <w:numPr>
          <w:ilvl w:val="0"/>
          <w:numId w:val="2"/>
        </w:numPr>
        <w:spacing w:after="38" w:before="38"/>
      </w:pPr>
      <w:r>
        <w:rPr>
          <w:rFonts w:ascii="Arial" w:cs="Arial" w:eastAsia="Arial" w:hAnsi="Arial"/>
          <w:color w:val="2C2C2C"/>
          <w:sz w:val="21"/>
          <w:szCs w:val="21"/>
        </w:rPr>
        <w:t xml:space="preserve">Meet asbestos awareness, identification, containment, and reporting obligations under WHS Regulations Part 8.5</w:t>
      </w:r>
    </w:p>
    <w:p>
      <w:pPr>
        <w:pStyle w:val="ListParagraph"/>
        <w:numPr>
          <w:ilvl w:val="0"/>
          <w:numId w:val="2"/>
        </w:numPr>
        <w:spacing w:after="38" w:before="38"/>
      </w:pPr>
      <w:r>
        <w:rPr>
          <w:rFonts w:ascii="Arial" w:cs="Arial" w:eastAsia="Arial" w:hAnsi="Arial"/>
          <w:color w:val="2C2C2C"/>
          <w:sz w:val="21"/>
          <w:szCs w:val="21"/>
        </w:rPr>
        <w:t xml:space="preserve">Understand officer due diligence duties and the consequences of WHS breaches for individuals and organisations</w:t>
      </w:r>
    </w:p>
    <w:p>
      <w:pPr>
        <w:spacing w:after="0" w:before="120"/>
      </w:pPr>
      <w:r>
        <w:t xml:space="preserve"/>
      </w:r>
    </w:p>
    <w:p>
      <w:pPr>
        <w:spacing w:after="60" w:before="100"/>
      </w:pPr>
      <w:r>
        <w:rPr>
          <w:rFonts w:ascii="Arial" w:cs="Arial" w:eastAsia="Arial" w:hAnsi="Arial"/>
          <w:b/>
          <w:bCs/>
          <w:color w:val="2E5FA3"/>
          <w:sz w:val="24"/>
          <w:szCs w:val="24"/>
        </w:rPr>
        <w:t xml:space="preserve">Safety Documentation Skills</w:t>
      </w:r>
    </w:p>
    <w:p>
      <w:pPr>
        <w:pStyle w:val="ListParagraph"/>
        <w:numPr>
          <w:ilvl w:val="0"/>
          <w:numId w:val="2"/>
        </w:numPr>
        <w:spacing w:after="38" w:before="38"/>
      </w:pPr>
      <w:r>
        <w:rPr>
          <w:rFonts w:ascii="Arial" w:cs="Arial" w:eastAsia="Arial" w:hAnsi="Arial"/>
          <w:color w:val="2C2C2C"/>
          <w:sz w:val="21"/>
          <w:szCs w:val="21"/>
        </w:rPr>
        <w:t xml:space="preserve">Read and apply all 16 sections of a GHS-compliant Safety Data Sheet to real job site decisions</w:t>
      </w:r>
    </w:p>
    <w:p>
      <w:pPr>
        <w:pStyle w:val="ListParagraph"/>
        <w:numPr>
          <w:ilvl w:val="0"/>
          <w:numId w:val="2"/>
        </w:numPr>
        <w:spacing w:after="38" w:before="38"/>
      </w:pPr>
      <w:r>
        <w:rPr>
          <w:rFonts w:ascii="Arial" w:cs="Arial" w:eastAsia="Arial" w:hAnsi="Arial"/>
          <w:color w:val="2C2C2C"/>
          <w:sz w:val="21"/>
          <w:szCs w:val="21"/>
        </w:rPr>
        <w:t xml:space="preserve">Write task-specific, site-accurate Standard Operating Procedures (SOPs) that satisfy WHS legal requirements</w:t>
      </w:r>
    </w:p>
    <w:p>
      <w:pPr>
        <w:pStyle w:val="ListParagraph"/>
        <w:numPr>
          <w:ilvl w:val="0"/>
          <w:numId w:val="2"/>
        </w:numPr>
        <w:spacing w:after="38" w:before="38"/>
      </w:pPr>
      <w:r>
        <w:rPr>
          <w:rFonts w:ascii="Arial" w:cs="Arial" w:eastAsia="Arial" w:hAnsi="Arial"/>
          <w:color w:val="2C2C2C"/>
          <w:sz w:val="21"/>
          <w:szCs w:val="21"/>
        </w:rPr>
        <w:t xml:space="preserve">Prepare legally compliant Safe Work Method Statements (SWMS) for high-risk construction work scenarios</w:t>
      </w:r>
    </w:p>
    <w:p>
      <w:pPr>
        <w:pStyle w:val="ListParagraph"/>
        <w:numPr>
          <w:ilvl w:val="0"/>
          <w:numId w:val="2"/>
        </w:numPr>
        <w:spacing w:after="38" w:before="38"/>
      </w:pPr>
      <w:r>
        <w:rPr>
          <w:rFonts w:ascii="Arial" w:cs="Arial" w:eastAsia="Arial" w:hAnsi="Arial"/>
          <w:color w:val="2C2C2C"/>
          <w:sz w:val="21"/>
          <w:szCs w:val="21"/>
        </w:rPr>
        <w:t xml:space="preserve">Complete a Job Safety and Environmental Analysis (JSEA) with genuine worker consultation for any restoration task</w:t>
      </w:r>
    </w:p>
    <w:p>
      <w:pPr>
        <w:pStyle w:val="ListParagraph"/>
        <w:numPr>
          <w:ilvl w:val="0"/>
          <w:numId w:val="2"/>
        </w:numPr>
        <w:spacing w:after="38" w:before="38"/>
      </w:pPr>
      <w:r>
        <w:rPr>
          <w:rFonts w:ascii="Arial" w:cs="Arial" w:eastAsia="Arial" w:hAnsi="Arial"/>
          <w:color w:val="2C2C2C"/>
          <w:sz w:val="21"/>
          <w:szCs w:val="21"/>
        </w:rPr>
        <w:t xml:space="preserve">Conduct a structured risk assessment using the Hierarchy of Controls and a scored risk matrix</w:t>
      </w:r>
    </w:p>
    <w:p>
      <w:pPr>
        <w:spacing w:after="0" w:before="120"/>
      </w:pPr>
      <w:r>
        <w:t xml:space="preserve"/>
      </w:r>
    </w:p>
    <w:p>
      <w:pPr>
        <w:spacing w:after="60" w:before="100"/>
      </w:pPr>
      <w:r>
        <w:rPr>
          <w:rFonts w:ascii="Arial" w:cs="Arial" w:eastAsia="Arial" w:hAnsi="Arial"/>
          <w:b/>
          <w:bCs/>
          <w:color w:val="2E5FA3"/>
          <w:sz w:val="24"/>
          <w:szCs w:val="24"/>
        </w:rPr>
        <w:t xml:space="preserve">PPE Selection, Fit &amp; Use</w:t>
      </w:r>
    </w:p>
    <w:p>
      <w:pPr>
        <w:pStyle w:val="ListParagraph"/>
        <w:numPr>
          <w:ilvl w:val="0"/>
          <w:numId w:val="2"/>
        </w:numPr>
        <w:spacing w:after="38" w:before="38"/>
      </w:pPr>
      <w:r>
        <w:rPr>
          <w:rFonts w:ascii="Arial" w:cs="Arial" w:eastAsia="Arial" w:hAnsi="Arial"/>
          <w:color w:val="2C2C2C"/>
          <w:sz w:val="21"/>
          <w:szCs w:val="21"/>
        </w:rPr>
        <w:t xml:space="preserve">Select the correct PPE class for every water damage category and contamination type encountered in restoration</w:t>
      </w:r>
    </w:p>
    <w:p>
      <w:pPr>
        <w:pStyle w:val="ListParagraph"/>
        <w:numPr>
          <w:ilvl w:val="0"/>
          <w:numId w:val="2"/>
        </w:numPr>
        <w:spacing w:after="38" w:before="38"/>
      </w:pPr>
      <w:r>
        <w:rPr>
          <w:rFonts w:ascii="Arial" w:cs="Arial" w:eastAsia="Arial" w:hAnsi="Arial"/>
          <w:color w:val="2C2C2C"/>
          <w:sz w:val="21"/>
          <w:szCs w:val="21"/>
        </w:rPr>
        <w:t xml:space="preserve">Perform correct donning and doffing sequences to prevent self-contamination during and after high-risk work</w:t>
      </w:r>
    </w:p>
    <w:p>
      <w:pPr>
        <w:pStyle w:val="ListParagraph"/>
        <w:numPr>
          <w:ilvl w:val="0"/>
          <w:numId w:val="2"/>
        </w:numPr>
        <w:spacing w:after="38" w:before="38"/>
      </w:pPr>
      <w:r>
        <w:rPr>
          <w:rFonts w:ascii="Arial" w:cs="Arial" w:eastAsia="Arial" w:hAnsi="Arial"/>
          <w:color w:val="2C2C2C"/>
          <w:sz w:val="21"/>
          <w:szCs w:val="21"/>
        </w:rPr>
        <w:t xml:space="preserve">Recognise the signs of heat exhaustion and heat stroke and respond appropriately in a full-PPE environment</w:t>
      </w:r>
    </w:p>
    <w:p>
      <w:pPr>
        <w:pStyle w:val="ListParagraph"/>
        <w:numPr>
          <w:ilvl w:val="0"/>
          <w:numId w:val="2"/>
        </w:numPr>
        <w:spacing w:after="38" w:before="38"/>
      </w:pPr>
      <w:r>
        <w:rPr>
          <w:rFonts w:ascii="Arial" w:cs="Arial" w:eastAsia="Arial" w:hAnsi="Arial"/>
          <w:color w:val="2C2C2C"/>
          <w:sz w:val="21"/>
          <w:szCs w:val="21"/>
        </w:rPr>
        <w:t xml:space="preserve">Apply AS/NZS standards for respiratory protection, eye and face protection, body protection, and hearing protection</w:t>
      </w:r>
    </w:p>
    <w:p>
      <w:pPr>
        <w:spacing w:after="0" w:before="120"/>
      </w:pPr>
      <w:r>
        <w:t xml:space="preserve"/>
      </w:r>
    </w:p>
    <w:p>
      <w:pPr>
        <w:spacing w:after="60" w:before="100"/>
      </w:pPr>
      <w:r>
        <w:rPr>
          <w:rFonts w:ascii="Arial" w:cs="Arial" w:eastAsia="Arial" w:hAnsi="Arial"/>
          <w:b/>
          <w:bCs/>
          <w:color w:val="2E5FA3"/>
          <w:sz w:val="24"/>
          <w:szCs w:val="24"/>
        </w:rPr>
        <w:t xml:space="preserve">Operational Safety &amp; Hazard Control</w:t>
      </w:r>
    </w:p>
    <w:p>
      <w:pPr>
        <w:pStyle w:val="ListParagraph"/>
        <w:numPr>
          <w:ilvl w:val="0"/>
          <w:numId w:val="2"/>
        </w:numPr>
        <w:spacing w:after="38" w:before="38"/>
      </w:pPr>
      <w:r>
        <w:rPr>
          <w:rFonts w:ascii="Arial" w:cs="Arial" w:eastAsia="Arial" w:hAnsi="Arial"/>
          <w:color w:val="2C2C2C"/>
          <w:sz w:val="21"/>
          <w:szCs w:val="21"/>
        </w:rPr>
        <w:t xml:space="preserve">Conduct a pre-entry site hazard assessment for water damage jobs covering electrical, biological, structural, and chemical risks</w:t>
      </w:r>
    </w:p>
    <w:p>
      <w:pPr>
        <w:pStyle w:val="ListParagraph"/>
        <w:numPr>
          <w:ilvl w:val="0"/>
          <w:numId w:val="2"/>
        </w:numPr>
        <w:spacing w:after="38" w:before="38"/>
      </w:pPr>
      <w:r>
        <w:rPr>
          <w:rFonts w:ascii="Arial" w:cs="Arial" w:eastAsia="Arial" w:hAnsi="Arial"/>
          <w:color w:val="2C2C2C"/>
          <w:sz w:val="21"/>
          <w:szCs w:val="21"/>
        </w:rPr>
        <w:t xml:space="preserve">Implement appropriate biological exposure controls for Category 1, 2, and 3 water damage losses</w:t>
      </w:r>
    </w:p>
    <w:p>
      <w:pPr>
        <w:pStyle w:val="ListParagraph"/>
        <w:numPr>
          <w:ilvl w:val="0"/>
          <w:numId w:val="2"/>
        </w:numPr>
        <w:spacing w:after="38" w:before="38"/>
      </w:pPr>
      <w:r>
        <w:rPr>
          <w:rFonts w:ascii="Arial" w:cs="Arial" w:eastAsia="Arial" w:hAnsi="Arial"/>
          <w:color w:val="2C2C2C"/>
          <w:sz w:val="21"/>
          <w:szCs w:val="21"/>
        </w:rPr>
        <w:t xml:space="preserve">Manage equipment safety obligations including RCD testing, plant and equipment registers, and defect reporting</w:t>
      </w:r>
    </w:p>
    <w:p>
      <w:pPr>
        <w:pStyle w:val="ListParagraph"/>
        <w:numPr>
          <w:ilvl w:val="0"/>
          <w:numId w:val="2"/>
        </w:numPr>
        <w:spacing w:after="38" w:before="38"/>
      </w:pPr>
      <w:r>
        <w:rPr>
          <w:rFonts w:ascii="Arial" w:cs="Arial" w:eastAsia="Arial" w:hAnsi="Arial"/>
          <w:color w:val="2C2C2C"/>
          <w:sz w:val="21"/>
          <w:szCs w:val="21"/>
        </w:rPr>
        <w:t xml:space="preserve">Identify and respond to suspected asbestos-containing materials, including immediate stop-work, isolation, and notification protocols</w:t>
      </w:r>
    </w:p>
    <w:p>
      <w:pPr>
        <w:pStyle w:val="ListParagraph"/>
        <w:numPr>
          <w:ilvl w:val="0"/>
          <w:numId w:val="2"/>
        </w:numPr>
        <w:spacing w:after="38" w:before="38"/>
      </w:pPr>
      <w:r>
        <w:rPr>
          <w:rFonts w:ascii="Arial" w:cs="Arial" w:eastAsia="Arial" w:hAnsi="Arial"/>
          <w:color w:val="2C2C2C"/>
          <w:sz w:val="21"/>
          <w:szCs w:val="21"/>
        </w:rPr>
        <w:t xml:space="preserve">Embed daily WHS consultation practices including toolbox talks, JSEAs, and incident reporting as standard business operations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E8" w:sz="1"/>
              <w:left w:val="single" w:color="B4C8E8" w:sz="1"/>
              <w:bottom w:val="single" w:color="B4C8E8" w:sz="1"/>
              <w:right w:val="single" w:color="B4C8E8" w:sz="1"/>
            </w:tcBorders>
            <w:shd w:fill="1F3864" w:val="clear"/>
            <w:tcMar>
              <w:top w:type="dxa" w:w="160"/>
              <w:left w:type="dxa" w:w="200"/>
              <w:bottom w:type="dxa" w:w="160"/>
              <w:right w:type="dxa" w:w="200"/>
            </w:tcMar>
          </w:tcPr>
          <w:p>
            <w:pPr>
              <w:jc w:val="center"/>
            </w:pPr>
            <w:r>
              <w:rPr>
                <w:rFonts w:ascii="Arial" w:cs="Arial" w:eastAsia="Arial" w:hAnsi="Arial"/>
                <w:color w:val="FFFFFF"/>
                <w:sz w:val="20"/>
                <w:szCs w:val="20"/>
              </w:rPr>
              <w:t xml:space="preserve">This course series is aligned with the Model Work Health and Safety Act 2011,</w:t>
            </w:r>
          </w:p>
          <w:p>
            <w:pPr>
              <w:jc w:val="center"/>
            </w:pPr>
            <w:r>
              <w:rPr>
                <w:rFonts w:ascii="Arial" w:cs="Arial" w:eastAsia="Arial" w:hAnsi="Arial"/>
                <w:color w:val="FFFFFF"/>
                <w:sz w:val="20"/>
                <w:szCs w:val="20"/>
              </w:rPr>
              <w:t xml:space="preserve">Model WHS Regulations, Safe Work Australia Codes of Practice, and IICRC Industry Standards.</w:t>
            </w:r>
          </w:p>
          <w:p>
            <w:pPr>
              <w:spacing w:after="0" w:before="60"/>
            </w:pPr>
            <w:r>
              <w:t xml:space="preserve"/>
            </w:r>
          </w:p>
          <w:p>
            <w:pPr>
              <w:jc w:val="center"/>
            </w:pPr>
            <w:r>
              <w:rPr>
                <w:rFonts w:ascii="Arial" w:cs="Arial" w:eastAsia="Arial" w:hAnsi="Arial"/>
                <w:b/>
                <w:bCs/>
                <w:color w:val="C9D9F0"/>
                <w:sz w:val="22"/>
                <w:szCs w:val="22"/>
              </w:rPr>
              <w:t xml:space="preserve">Delivered by CARSI — Cleaning and Restoration Standards Institute of Australia</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8740"/>
      </w:tabs>
      <w:spacing w:after="0" w:before="80"/>
    </w:pPr>
    <w:r>
      <w:rPr>
        <w:rFonts w:ascii="Arial" w:cs="Arial" w:eastAsia="Arial" w:hAnsi="Arial"/>
        <w:color w:val="888888"/>
        <w:sz w:val="16"/>
        <w:szCs w:val="16"/>
      </w:rPr>
      <w:t xml:space="preserve">CARSI — carsi.com.au  |  WHS Legislation &amp; IICRC Aligned</w:t>
    </w:r>
    <w:r>
      <w:rPr>
        <w:rFonts w:ascii="Arial" w:cs="Arial" w:eastAsia="Arial" w:hAnsi="Arial"/>
        <w:color w:val="88888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before="0"/>
    </w:pPr>
    <w:r>
      <w:rPr>
        <w:rFonts w:ascii="Arial" w:cs="Arial" w:eastAsia="Arial" w:hAnsi="Arial"/>
        <w:color w:val="888888"/>
        <w:sz w:val="18"/>
        <w:szCs w:val="18"/>
      </w:rPr>
      <w:t xml:space="preserve">CARSI WHS / Compliance Course Series  |  Professional Course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2026-04-14T16:07:10.596Z</dcterms:created>
  <dcterms:modified xsi:type="dcterms:W3CDTF">2026-04-14T16:07:10.597Z</dcterms:modified>
</cp:coreProperties>
</file>

<file path=docProps/custom.xml><?xml version="1.0" encoding="utf-8"?>
<Properties xmlns="http://schemas.openxmlformats.org/officeDocument/2006/custom-properties" xmlns:vt="http://schemas.openxmlformats.org/officeDocument/2006/docPropsVTypes"/>
</file>