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r>
        <w:t xml:space="preserve"/>
      </w:r>
    </w:p>
    <w:p>
      <w:pPr>
        <w:spacing w:after="0" w:before="60"/>
      </w:pPr>
      <w:r>
        <w:t xml:space="preserve"/>
      </w:r>
    </w:p>
    <w:p>
      <w:pPr>
        <w:spacing w:after="0" w:before="60"/>
      </w:pPr>
      <w:r>
        <w:t xml:space="preserve"/>
      </w:r>
    </w:p>
    <w:p>
      <w:pPr>
        <w:spacing w:after="200" w:before="0"/>
        <w:jc w:val="center"/>
      </w:pPr>
      <w:r>
        <w:rPr>
          <w:rFonts w:ascii="Arial" w:cs="Arial" w:eastAsia="Arial" w:hAnsi="Arial"/>
          <w:b/>
          <w:bCs/>
          <w:sz w:val="48"/>
          <w:szCs w:val="48"/>
        </w:rPr>
        <w:t xml:space="preserve">CARSI</w:t>
      </w:r>
    </w:p>
    <w:p>
      <w:pPr>
        <w:spacing w:after="100" w:before="0"/>
        <w:jc w:val="center"/>
      </w:pPr>
      <w:r>
        <w:rPr>
          <w:rFonts w:ascii="Arial" w:cs="Arial" w:eastAsia="Arial" w:hAnsi="Arial"/>
          <w:sz w:val="26"/>
          <w:szCs w:val="26"/>
        </w:rPr>
        <w:t xml:space="preserve">Cleaning and Restoration Standards Institute of Australia</w:t>
      </w:r>
    </w:p>
    <w:p>
      <w:pPr>
        <w:spacing w:after="40" w:before="40"/>
      </w:pPr>
      <w:r>
        <w:rPr>
          <w:rFonts w:ascii="Arial" w:cs="Arial" w:eastAsia="Arial" w:hAnsi="Arial"/>
          <w:sz w:val="20"/>
          <w:szCs w:val="20"/>
        </w:rPr>
        <w:t xml:space="preserve">____________________________________________</w:t>
      </w:r>
    </w:p>
    <w:p>
      <w:pPr>
        <w:spacing w:after="0" w:before="60"/>
      </w:pPr>
      <w:r>
        <w:t xml:space="preserve"/>
      </w:r>
    </w:p>
    <w:p>
      <w:pPr>
        <w:spacing w:after="120" w:before="0"/>
        <w:jc w:val="center"/>
      </w:pPr>
      <w:r>
        <w:rPr>
          <w:rFonts w:ascii="Arial" w:cs="Arial" w:eastAsia="Arial" w:hAnsi="Arial"/>
          <w:b/>
          <w:bCs/>
          <w:sz w:val="36"/>
          <w:szCs w:val="36"/>
        </w:rPr>
        <w:t xml:space="preserve">CONSOLIDATED COURSE CURRICULUM</w:t>
      </w:r>
    </w:p>
    <w:p>
      <w:pPr>
        <w:spacing w:after="80" w:before="0"/>
        <w:jc w:val="center"/>
      </w:pPr>
      <w:r>
        <w:rPr>
          <w:rFonts w:ascii="Arial" w:cs="Arial" w:eastAsia="Arial" w:hAnsi="Arial"/>
          <w:b/>
          <w:bCs/>
          <w:sz w:val="26"/>
          <w:szCs w:val="26"/>
        </w:rPr>
        <w:t xml:space="preserve">Section A: WHS / Compliance Courses</w:t>
      </w:r>
    </w:p>
    <w:p>
      <w:pPr>
        <w:spacing w:after="200" w:before="0"/>
        <w:jc w:val="center"/>
      </w:pPr>
      <w:r>
        <w:rPr>
          <w:rFonts w:ascii="Arial" w:cs="Arial" w:eastAsia="Arial" w:hAnsi="Arial"/>
          <w:b/>
          <w:bCs/>
          <w:sz w:val="26"/>
          <w:szCs w:val="26"/>
        </w:rPr>
        <w:t xml:space="preserve">Section B: Microbial, Infection Control &amp; Hygiene Courses</w:t>
      </w:r>
    </w:p>
    <w:p>
      <w:pPr>
        <w:spacing w:after="40" w:before="40"/>
      </w:pPr>
      <w:r>
        <w:rPr>
          <w:rFonts w:ascii="Arial" w:cs="Arial" w:eastAsia="Arial" w:hAnsi="Arial"/>
          <w:sz w:val="20"/>
          <w:szCs w:val="20"/>
        </w:rPr>
        <w:t xml:space="preserve">____________________________________________</w:t>
      </w:r>
    </w:p>
    <w:p>
      <w:pPr>
        <w:spacing w:after="0" w:before="60"/>
      </w:pPr>
      <w:r>
        <w:t xml:space="preserve"/>
      </w:r>
    </w:p>
    <w:p>
      <w:pPr>
        <w:spacing w:after="80" w:before="0"/>
        <w:jc w:val="center"/>
      </w:pPr>
      <w:r>
        <w:rPr>
          <w:rFonts w:ascii="Arial" w:cs="Arial" w:eastAsia="Arial" w:hAnsi="Arial"/>
          <w:sz w:val="24"/>
          <w:szCs w:val="24"/>
        </w:rPr>
        <w:t xml:space="preserve">14 Courses  |  74 Modules</w:t>
      </w:r>
    </w:p>
    <w:p>
      <w:pPr>
        <w:spacing w:after="80" w:before="0"/>
        <w:jc w:val="center"/>
      </w:pPr>
      <w:r>
        <w:rPr>
          <w:rFonts w:ascii="Arial" w:cs="Arial" w:eastAsia="Arial" w:hAnsi="Arial"/>
          <w:sz w:val="22"/>
          <w:szCs w:val="22"/>
        </w:rPr>
        <w:t xml:space="preserve">Aligned with: Model WHS Act 2011  |  IICRC Standards  |  Safe Work Australia  |  TGA Guidelines</w:t>
      </w:r>
    </w:p>
    <w:p>
      <w:pPr>
        <w:spacing w:after="80" w:before="0"/>
        <w:jc w:val="center"/>
      </w:pPr>
      <w:r>
        <w:rPr>
          <w:rFonts w:ascii="Arial" w:cs="Arial" w:eastAsia="Arial" w:hAnsi="Arial"/>
          <w:sz w:val="22"/>
          <w:szCs w:val="22"/>
        </w:rPr>
        <w:t xml:space="preserve">National Quality Framework  |  NHMRC Staying Healthy  |  Australian Dangerous Goods Code</w:t>
      </w:r>
    </w:p>
    <w:p>
      <w:pPr>
        <w:spacing w:after="0" w:before="60"/>
      </w:pPr>
      <w:r>
        <w:t xml:space="preserve"/>
      </w:r>
    </w:p>
    <w:p>
      <w:pPr>
        <w:spacing w:after="40" w:before="40"/>
      </w:pPr>
      <w:r>
        <w:rPr>
          <w:rFonts w:ascii="Arial" w:cs="Arial" w:eastAsia="Arial" w:hAnsi="Arial"/>
          <w:sz w:val="20"/>
          <w:szCs w:val="20"/>
        </w:rPr>
        <w:t xml:space="preserve">____________________________________________</w:t>
      </w:r>
    </w:p>
    <w:p>
      <w:pPr>
        <w:spacing w:after="0" w:before="80"/>
        <w:jc w:val="center"/>
      </w:pPr>
      <w:r>
        <w:rPr>
          <w:rFonts w:ascii="Arial" w:cs="Arial" w:eastAsia="Arial" w:hAnsi="Arial"/>
          <w:sz w:val="22"/>
          <w:szCs w:val="22"/>
        </w:rPr>
        <w:t xml:space="preserve">carsi.com.au</w:t>
      </w:r>
    </w:p>
    <w:p>
      <w:r>
        <w:br w:type="page"/>
      </w:r>
    </w:p>
    <w:p>
      <w:pPr>
        <w:spacing w:after="120" w:before="0"/>
      </w:pPr>
      <w:r>
        <w:rPr>
          <w:rFonts w:ascii="Arial" w:cs="Arial" w:eastAsia="Arial" w:hAnsi="Arial"/>
          <w:b/>
          <w:bCs/>
          <w:sz w:val="32"/>
          <w:szCs w:val="32"/>
        </w:rPr>
        <w:t xml:space="preserve">SECTION A: WHS / COMPLIANCE COURSES</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This section covers all Work Health and Safety (WHS) and compliance courses offered under the CARSI curriculum. Content is aligned with the Model Work Health and Safety Act 2011, Model WHS Regulations, Safe Work Australia Codes of Practice, and IICRC industry standards.</w:t>
      </w:r>
    </w:p>
    <w:p>
      <w:pPr>
        <w:spacing w:after="0" w:before="60"/>
      </w:pPr>
      <w:r>
        <w:t xml:space="preserve"/>
      </w:r>
    </w:p>
    <w:p>
      <w:pPr>
        <w:spacing w:after="60" w:before="60"/>
      </w:pPr>
      <w:r>
        <w:rPr>
          <w:rFonts w:ascii="Arial" w:cs="Arial" w:eastAsia="Arial" w:hAnsi="Arial"/>
          <w:sz w:val="22"/>
          <w:szCs w:val="22"/>
        </w:rPr>
        <w:t xml:space="preserve">Courses in this section:</w:t>
      </w:r>
    </w:p>
    <w:p>
      <w:pPr>
        <w:pStyle w:val="ListParagraph"/>
        <w:numPr>
          <w:ilvl w:val="0"/>
          <w:numId w:val="2"/>
        </w:numPr>
        <w:spacing w:after="40" w:before="40"/>
      </w:pPr>
      <w:r>
        <w:rPr>
          <w:rFonts w:ascii="Arial" w:cs="Arial" w:eastAsia="Arial" w:hAnsi="Arial"/>
          <w:sz w:val="22"/>
          <w:szCs w:val="22"/>
        </w:rPr>
        <w:t xml:space="preserve">Course 22 - Introduction to Asbestos: Asbestos Awareness ($29)</w:t>
      </w:r>
    </w:p>
    <w:p>
      <w:pPr>
        <w:pStyle w:val="ListParagraph"/>
        <w:numPr>
          <w:ilvl w:val="0"/>
          <w:numId w:val="2"/>
        </w:numPr>
        <w:spacing w:after="40" w:before="40"/>
      </w:pPr>
      <w:r>
        <w:rPr>
          <w:rFonts w:ascii="Arial" w:cs="Arial" w:eastAsia="Arial" w:hAnsi="Arial"/>
          <w:sz w:val="22"/>
          <w:szCs w:val="22"/>
        </w:rPr>
        <w:t xml:space="preserve">Course 30 - Safety Data Sheet (SDS) Course ($20)</w:t>
      </w:r>
    </w:p>
    <w:p>
      <w:pPr>
        <w:pStyle w:val="ListParagraph"/>
        <w:numPr>
          <w:ilvl w:val="0"/>
          <w:numId w:val="2"/>
        </w:numPr>
        <w:spacing w:after="40" w:before="40"/>
      </w:pPr>
      <w:r>
        <w:rPr>
          <w:rFonts w:ascii="Arial" w:cs="Arial" w:eastAsia="Arial" w:hAnsi="Arial"/>
          <w:sz w:val="22"/>
          <w:szCs w:val="22"/>
        </w:rPr>
        <w:t xml:space="preserve">Course 29 - Standard Operating Procedures (SOP) Course ($20)</w:t>
      </w:r>
    </w:p>
    <w:p>
      <w:pPr>
        <w:pStyle w:val="ListParagraph"/>
        <w:numPr>
          <w:ilvl w:val="0"/>
          <w:numId w:val="2"/>
        </w:numPr>
        <w:spacing w:after="40" w:before="40"/>
      </w:pPr>
      <w:r>
        <w:rPr>
          <w:rFonts w:ascii="Arial" w:cs="Arial" w:eastAsia="Arial" w:hAnsi="Arial"/>
          <w:sz w:val="22"/>
          <w:szCs w:val="22"/>
        </w:rPr>
        <w:t xml:space="preserve">Course 31 - Safe Work Method Statements (SWMS) Course ($20)</w:t>
      </w:r>
    </w:p>
    <w:p>
      <w:pPr>
        <w:pStyle w:val="ListParagraph"/>
        <w:numPr>
          <w:ilvl w:val="0"/>
          <w:numId w:val="2"/>
        </w:numPr>
        <w:spacing w:after="40" w:before="40"/>
      </w:pPr>
      <w:r>
        <w:rPr>
          <w:rFonts w:ascii="Arial" w:cs="Arial" w:eastAsia="Arial" w:hAnsi="Arial"/>
          <w:sz w:val="22"/>
          <w:szCs w:val="22"/>
        </w:rPr>
        <w:t xml:space="preserve">Course 40 - Job Safety and Environmental Analysis (JSEA) Course ($20)</w:t>
      </w:r>
    </w:p>
    <w:p>
      <w:pPr>
        <w:pStyle w:val="ListParagraph"/>
        <w:numPr>
          <w:ilvl w:val="0"/>
          <w:numId w:val="2"/>
        </w:numPr>
        <w:spacing w:after="40" w:before="40"/>
      </w:pPr>
      <w:r>
        <w:rPr>
          <w:rFonts w:ascii="Arial" w:cs="Arial" w:eastAsia="Arial" w:hAnsi="Arial"/>
          <w:sz w:val="22"/>
          <w:szCs w:val="22"/>
        </w:rPr>
        <w:t xml:space="preserve">Course 32 - Risk Assessment Course ($99)</w:t>
      </w:r>
    </w:p>
    <w:p>
      <w:pPr>
        <w:pStyle w:val="ListParagraph"/>
        <w:numPr>
          <w:ilvl w:val="0"/>
          <w:numId w:val="2"/>
        </w:numPr>
        <w:spacing w:after="40" w:before="40"/>
      </w:pPr>
      <w:r>
        <w:rPr>
          <w:rFonts w:ascii="Arial" w:cs="Arial" w:eastAsia="Arial" w:hAnsi="Arial"/>
          <w:sz w:val="22"/>
          <w:szCs w:val="22"/>
        </w:rPr>
        <w:t xml:space="preserve">Course 47 - Introduction to Using Personal Protective Equipment ($29)</w:t>
      </w:r>
    </w:p>
    <w:p>
      <w:pPr>
        <w:pStyle w:val="ListParagraph"/>
        <w:numPr>
          <w:ilvl w:val="0"/>
          <w:numId w:val="2"/>
        </w:numPr>
        <w:spacing w:after="40" w:before="40"/>
      </w:pPr>
      <w:r>
        <w:rPr>
          <w:rFonts w:ascii="Arial" w:cs="Arial" w:eastAsia="Arial" w:hAnsi="Arial"/>
          <w:sz w:val="22"/>
          <w:szCs w:val="22"/>
        </w:rPr>
        <w:t xml:space="preserve">Course 52 - Introduction to Safety Procedures for Water Damage Work ($29)</w:t>
      </w:r>
    </w:p>
    <w:p>
      <w:pPr>
        <w:pStyle w:val="ListParagraph"/>
        <w:numPr>
          <w:ilvl w:val="0"/>
          <w:numId w:val="2"/>
        </w:numPr>
        <w:spacing w:after="40" w:before="40"/>
      </w:pPr>
      <w:r>
        <w:rPr>
          <w:rFonts w:ascii="Arial" w:cs="Arial" w:eastAsia="Arial" w:hAnsi="Arial"/>
          <w:sz w:val="22"/>
          <w:szCs w:val="22"/>
        </w:rPr>
        <w:t xml:space="preserve">Course 78 - Donning and Doffing PPE ($39)</w:t>
      </w:r>
    </w:p>
    <w:p>
      <w:r>
        <w:br w:type="page"/>
      </w:r>
    </w:p>
    <w:p>
      <w:pPr>
        <w:pStyle w:val="Heading1"/>
        <w:spacing w:after="120" w:before="400"/>
      </w:pPr>
      <w:r>
        <w:rPr>
          <w:rFonts w:ascii="Arial" w:cs="Arial" w:eastAsia="Arial" w:hAnsi="Arial"/>
          <w:b/>
          <w:bCs/>
          <w:sz w:val="28"/>
          <w:szCs w:val="28"/>
        </w:rPr>
        <w:t xml:space="preserve">Course 22: Introduction to Asbestos - Asbestos Awareness</w:t>
      </w:r>
    </w:p>
    <w:p>
      <w:pPr>
        <w:spacing w:after="60" w:before="60"/>
      </w:pPr>
      <w:r>
        <w:rPr>
          <w:rFonts w:ascii="Arial" w:cs="Arial" w:eastAsia="Arial" w:hAnsi="Arial"/>
          <w:sz w:val="22"/>
          <w:szCs w:val="22"/>
        </w:rPr>
        <w:t xml:space="preserve">Price: AUD $29  |  Status: Published  |  Modules: 9</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This course equips restoration and cleaning professionals with the practical knowledge needed to identify, respond to, and correctly report asbestos-containing materials (ACMs) on Australian job sites. It covers the legal framework under the Model WHS Act and Regulations, the health risks of asbestos exposure, the types of ACMs found in pre-2004 Australian buildings, correct handling and containment procedures, and mandatory reporting and documentation requirements. Designed for any worker who may encounter asbestos during restoration, remediation, or cleaning work.</w:t>
      </w:r>
    </w:p>
    <w:p>
      <w:pPr>
        <w:spacing w:after="0" w:before="60"/>
      </w:pPr>
      <w:r>
        <w:t xml:space="preserve"/>
      </w:r>
    </w:p>
    <w:p>
      <w:pPr>
        <w:spacing w:after="80" w:before="200"/>
      </w:pPr>
      <w:r>
        <w:rPr>
          <w:rFonts w:ascii="Arial" w:cs="Arial" w:eastAsia="Arial" w:hAnsi="Arial"/>
          <w:b/>
          <w:bCs/>
          <w:sz w:val="23"/>
          <w:szCs w:val="23"/>
        </w:rPr>
        <w:t xml:space="preserve">Module 1: Introduction to Asbestos Awareness</w:t>
      </w:r>
    </w:p>
    <w:p>
      <w:pPr>
        <w:spacing w:after="60" w:before="60"/>
      </w:pPr>
      <w:r>
        <w:rPr>
          <w:rFonts w:ascii="Arial" w:cs="Arial" w:eastAsia="Arial" w:hAnsi="Arial"/>
          <w:sz w:val="22"/>
          <w:szCs w:val="22"/>
        </w:rPr>
        <w:t xml:space="preserve">Asbestos awareness training is a legal requirement under Model WHS Regulations r.419 for all workers who may encounter ACMs in pre-2004 buildings. This is not limited to licenced removalists — it applies to all restoration workers.</w:t>
      </w:r>
    </w:p>
    <w:p>
      <w:pPr>
        <w:pStyle w:val="ListParagraph"/>
        <w:numPr>
          <w:ilvl w:val="0"/>
          <w:numId w:val="2"/>
        </w:numPr>
        <w:spacing w:after="40" w:before="40"/>
      </w:pPr>
      <w:r>
        <w:rPr>
          <w:rFonts w:ascii="Arial" w:cs="Arial" w:eastAsia="Arial" w:hAnsi="Arial"/>
          <w:sz w:val="22"/>
          <w:szCs w:val="22"/>
        </w:rPr>
        <w:t xml:space="preserve">Asbestos cannot be identified by sight alone — all suspected ACM must be treated as asbestos until tested by a NATA-accredited laboratory</w:t>
      </w:r>
    </w:p>
    <w:p>
      <w:pPr>
        <w:pStyle w:val="ListParagraph"/>
        <w:numPr>
          <w:ilvl w:val="0"/>
          <w:numId w:val="2"/>
        </w:numPr>
        <w:spacing w:after="40" w:before="40"/>
      </w:pPr>
      <w:r>
        <w:rPr>
          <w:rFonts w:ascii="Arial" w:cs="Arial" w:eastAsia="Arial" w:hAnsi="Arial"/>
          <w:sz w:val="22"/>
          <w:szCs w:val="22"/>
        </w:rPr>
        <w:t xml:space="preserve">Restoration technicians are high-risk: flood, fire, water damage, and mould remediation all routinely disturb pre-2004 building fabric</w:t>
      </w:r>
    </w:p>
    <w:p>
      <w:pPr>
        <w:pStyle w:val="ListParagraph"/>
        <w:numPr>
          <w:ilvl w:val="0"/>
          <w:numId w:val="2"/>
        </w:numPr>
        <w:spacing w:after="40" w:before="40"/>
      </w:pPr>
      <w:r>
        <w:rPr>
          <w:rFonts w:ascii="Arial" w:cs="Arial" w:eastAsia="Arial" w:hAnsi="Arial"/>
          <w:sz w:val="22"/>
          <w:szCs w:val="22"/>
        </w:rPr>
        <w:t xml:space="preserve">Before starting any job in a pre-2004 building: confirm whether an asbestos register exists; if not, engage a licenced asbestos assessor before any drilling, cutting, or demolition commences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r.419 — asbestos awareness training required before work in any pre-2004 structure.</w:t>
      </w:r>
    </w:p>
    <w:p>
      <w:pPr>
        <w:spacing w:after="0" w:before="60"/>
      </w:pPr>
      <w:r>
        <w:t xml:space="preserve"/>
      </w:r>
    </w:p>
    <w:p>
      <w:pPr>
        <w:spacing w:after="80" w:before="200"/>
      </w:pPr>
      <w:r>
        <w:rPr>
          <w:rFonts w:ascii="Arial" w:cs="Arial" w:eastAsia="Arial" w:hAnsi="Arial"/>
          <w:b/>
          <w:bCs/>
          <w:sz w:val="23"/>
          <w:szCs w:val="23"/>
        </w:rPr>
        <w:t xml:space="preserve">Module 2: History and Use of Asbestos</w:t>
      </w:r>
    </w:p>
    <w:p>
      <w:pPr>
        <w:spacing w:after="60" w:before="60"/>
      </w:pPr>
      <w:r>
        <w:rPr>
          <w:rFonts w:ascii="Arial" w:cs="Arial" w:eastAsia="Arial" w:hAnsi="Arial"/>
          <w:sz w:val="22"/>
          <w:szCs w:val="22"/>
        </w:rPr>
        <w:t xml:space="preserve">Australia was among the highest per-capita users of asbestos globally. Widespread use ran from the 1940s through the mid-1980s. Asbestos was fully banned in Australia from 31 December 2003.</w:t>
      </w:r>
    </w:p>
    <w:p>
      <w:pPr>
        <w:pStyle w:val="ListParagraph"/>
        <w:numPr>
          <w:ilvl w:val="0"/>
          <w:numId w:val="2"/>
        </w:numPr>
        <w:spacing w:after="40" w:before="40"/>
      </w:pPr>
      <w:r>
        <w:rPr>
          <w:rFonts w:ascii="Arial" w:cs="Arial" w:eastAsia="Arial" w:hAnsi="Arial"/>
          <w:sz w:val="22"/>
          <w:szCs w:val="22"/>
        </w:rPr>
        <w:t xml:space="preserve">Primary uses: fibro sheeting, pipe lagging, floor and ceiling tiles, roofing, textured coatings (Artex), adhesives</w:t>
      </w:r>
    </w:p>
    <w:p>
      <w:pPr>
        <w:pStyle w:val="ListParagraph"/>
        <w:numPr>
          <w:ilvl w:val="0"/>
          <w:numId w:val="2"/>
        </w:numPr>
        <w:spacing w:after="40" w:before="40"/>
      </w:pPr>
      <w:r>
        <w:rPr>
          <w:rFonts w:ascii="Arial" w:cs="Arial" w:eastAsia="Arial" w:hAnsi="Arial"/>
          <w:sz w:val="22"/>
          <w:szCs w:val="22"/>
        </w:rPr>
        <w:t xml:space="preserve">Most pre-1990 residential homes contain at least one form of ACM — kitchens, bathrooms, eaves, and subfloors are the highest-risk areas</w:t>
      </w:r>
    </w:p>
    <w:p>
      <w:pPr>
        <w:pStyle w:val="ListParagraph"/>
        <w:numPr>
          <w:ilvl w:val="0"/>
          <w:numId w:val="2"/>
        </w:numPr>
        <w:spacing w:after="40" w:before="40"/>
      </w:pPr>
      <w:r>
        <w:rPr>
          <w:rFonts w:ascii="Arial" w:cs="Arial" w:eastAsia="Arial" w:hAnsi="Arial"/>
          <w:sz w:val="22"/>
          <w:szCs w:val="22"/>
        </w:rPr>
        <w:t xml:space="preserve">Even buildings built up to 2003 may contain imported materials with ACM — never assume a building is ACM-free without a register or assessment</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Industrial Chemicals (Notification and Assessment) Act — asbestos fully prohibited in Australia from 1 January 2004.</w:t>
      </w:r>
    </w:p>
    <w:p>
      <w:pPr>
        <w:spacing w:after="0" w:before="60"/>
      </w:pPr>
      <w:r>
        <w:t xml:space="preserve"/>
      </w:r>
    </w:p>
    <w:p>
      <w:pPr>
        <w:spacing w:after="80" w:before="200"/>
      </w:pPr>
      <w:r>
        <w:rPr>
          <w:rFonts w:ascii="Arial" w:cs="Arial" w:eastAsia="Arial" w:hAnsi="Arial"/>
          <w:b/>
          <w:bCs/>
          <w:sz w:val="23"/>
          <w:szCs w:val="23"/>
        </w:rPr>
        <w:t xml:space="preserve">Module 3: Dangers of Asbestos</w:t>
      </w:r>
    </w:p>
    <w:p>
      <w:pPr>
        <w:spacing w:after="60" w:before="60"/>
      </w:pPr>
      <w:r>
        <w:rPr>
          <w:rFonts w:ascii="Arial" w:cs="Arial" w:eastAsia="Arial" w:hAnsi="Arial"/>
          <w:sz w:val="22"/>
          <w:szCs w:val="22"/>
        </w:rPr>
        <w:t xml:space="preserve">Inhalation of asbestos fibres causes mesothelioma, asbestosis, pleural plaques, and lung cancer. All are irreversible. There is no safe level of asbestos exposure.</w:t>
      </w:r>
    </w:p>
    <w:p>
      <w:pPr>
        <w:pStyle w:val="ListParagraph"/>
        <w:numPr>
          <w:ilvl w:val="0"/>
          <w:numId w:val="2"/>
        </w:numPr>
        <w:spacing w:after="40" w:before="40"/>
      </w:pPr>
      <w:r>
        <w:rPr>
          <w:rFonts w:ascii="Arial" w:cs="Arial" w:eastAsia="Arial" w:hAnsi="Arial"/>
          <w:sz w:val="22"/>
          <w:szCs w:val="22"/>
        </w:rPr>
        <w:t xml:space="preserve">Latency period: 20 to 40 years between exposure and disease onset — prevention is the only protection</w:t>
      </w:r>
    </w:p>
    <w:p>
      <w:pPr>
        <w:pStyle w:val="ListParagraph"/>
        <w:numPr>
          <w:ilvl w:val="0"/>
          <w:numId w:val="2"/>
        </w:numPr>
        <w:spacing w:after="40" w:before="40"/>
      </w:pPr>
      <w:r>
        <w:rPr>
          <w:rFonts w:ascii="Arial" w:cs="Arial" w:eastAsia="Arial" w:hAnsi="Arial"/>
          <w:sz w:val="22"/>
          <w:szCs w:val="22"/>
        </w:rPr>
        <w:t xml:space="preserve">Chrysotile (white), amosite (brown), and crocidolite (blue) — all three fibre types are hazardous</w:t>
      </w:r>
    </w:p>
    <w:p>
      <w:pPr>
        <w:pStyle w:val="ListParagraph"/>
        <w:numPr>
          <w:ilvl w:val="0"/>
          <w:numId w:val="2"/>
        </w:numPr>
        <w:spacing w:after="40" w:before="40"/>
      </w:pPr>
      <w:r>
        <w:rPr>
          <w:rFonts w:ascii="Arial" w:cs="Arial" w:eastAsia="Arial" w:hAnsi="Arial"/>
          <w:sz w:val="22"/>
          <w:szCs w:val="22"/>
        </w:rPr>
        <w:t xml:space="preserve">Friable ACM (easily crumbled) releases far more fibres than bonded ACM and presents the highest immediate risk</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Any activity that damages ACM — including drilling, cutting, sanding, water damage, or fire damage — creates immediate airborne fibre risk. Stop work immediately if ACM is suspected.</w:t>
      </w:r>
    </w:p>
    <w:p>
      <w:pPr>
        <w:spacing w:after="0" w:before="60"/>
      </w:pPr>
      <w:r>
        <w:t xml:space="preserve"/>
      </w:r>
    </w:p>
    <w:p>
      <w:pPr>
        <w:spacing w:after="80" w:before="200"/>
      </w:pPr>
      <w:r>
        <w:rPr>
          <w:rFonts w:ascii="Arial" w:cs="Arial" w:eastAsia="Arial" w:hAnsi="Arial"/>
          <w:b/>
          <w:bCs/>
          <w:sz w:val="23"/>
          <w:szCs w:val="23"/>
        </w:rPr>
        <w:t xml:space="preserve">Module 4: Types of Asbestos Containing Materials</w:t>
      </w:r>
    </w:p>
    <w:p>
      <w:pPr>
        <w:spacing w:after="60" w:before="60"/>
      </w:pPr>
      <w:r>
        <w:rPr>
          <w:rFonts w:ascii="Arial" w:cs="Arial" w:eastAsia="Arial" w:hAnsi="Arial"/>
          <w:sz w:val="22"/>
          <w:szCs w:val="22"/>
        </w:rPr>
        <w:t xml:space="preserve">ACMs are classified as bonded (fibres bound in cement or resin) or friable (loosely bound fibres that crumble easily).</w:t>
      </w:r>
    </w:p>
    <w:p>
      <w:pPr>
        <w:pStyle w:val="ListParagraph"/>
        <w:numPr>
          <w:ilvl w:val="0"/>
          <w:numId w:val="2"/>
        </w:numPr>
        <w:spacing w:after="40" w:before="40"/>
      </w:pPr>
      <w:r>
        <w:rPr>
          <w:rFonts w:ascii="Arial" w:cs="Arial" w:eastAsia="Arial" w:hAnsi="Arial"/>
          <w:sz w:val="22"/>
          <w:szCs w:val="22"/>
        </w:rPr>
        <w:t xml:space="preserve">Bonded ACM: fibro sheeting, floor tiles, pipe cement, wall linings — lower fibre release risk but still hazardous when damaged</w:t>
      </w:r>
    </w:p>
    <w:p>
      <w:pPr>
        <w:pStyle w:val="ListParagraph"/>
        <w:numPr>
          <w:ilvl w:val="0"/>
          <w:numId w:val="2"/>
        </w:numPr>
        <w:spacing w:after="40" w:before="40"/>
      </w:pPr>
      <w:r>
        <w:rPr>
          <w:rFonts w:ascii="Arial" w:cs="Arial" w:eastAsia="Arial" w:hAnsi="Arial"/>
          <w:sz w:val="22"/>
          <w:szCs w:val="22"/>
        </w:rPr>
        <w:t xml:space="preserve">Friable ACM: pipe lagging, sprayed acoustic coatings, boiler insulation, vermiculite — high immediate release risk</w:t>
      </w:r>
    </w:p>
    <w:p>
      <w:pPr>
        <w:pStyle w:val="ListParagraph"/>
        <w:numPr>
          <w:ilvl w:val="0"/>
          <w:numId w:val="2"/>
        </w:numPr>
        <w:spacing w:after="40" w:before="40"/>
      </w:pPr>
      <w:r>
        <w:rPr>
          <w:rFonts w:ascii="Arial" w:cs="Arial" w:eastAsia="Arial" w:hAnsi="Arial"/>
          <w:sz w:val="22"/>
          <w:szCs w:val="22"/>
        </w:rPr>
        <w:t xml:space="preserve">Common bonded locations in Australian homes: eaves, soffits, exterior wall cladding, wet area linings, backing to vinyl tiles</w:t>
      </w:r>
    </w:p>
    <w:p>
      <w:pPr>
        <w:pStyle w:val="ListParagraph"/>
        <w:numPr>
          <w:ilvl w:val="0"/>
          <w:numId w:val="2"/>
        </w:numPr>
        <w:spacing w:after="40" w:before="40"/>
      </w:pPr>
      <w:r>
        <w:rPr>
          <w:rFonts w:ascii="Arial" w:cs="Arial" w:eastAsia="Arial" w:hAnsi="Arial"/>
          <w:sz w:val="22"/>
          <w:szCs w:val="22"/>
        </w:rPr>
        <w:t xml:space="preserve">Textured ceiling coatings (Artex): common in 1960s to 1980s homes — may contain chrysotile asbestos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Use the Asbestos Network Australia visual ID guide as a field reference — but never make a final determination without laboratory analysis.</w:t>
      </w:r>
    </w:p>
    <w:p>
      <w:pPr>
        <w:spacing w:after="0" w:before="60"/>
      </w:pPr>
      <w:r>
        <w:t xml:space="preserve"/>
      </w:r>
    </w:p>
    <w:p>
      <w:pPr>
        <w:spacing w:after="80" w:before="200"/>
      </w:pPr>
      <w:r>
        <w:rPr>
          <w:rFonts w:ascii="Arial" w:cs="Arial" w:eastAsia="Arial" w:hAnsi="Arial"/>
          <w:b/>
          <w:bCs/>
          <w:sz w:val="23"/>
          <w:szCs w:val="23"/>
        </w:rPr>
        <w:t xml:space="preserve">Module 5: Handling Asbestos Containing Materials</w:t>
      </w:r>
    </w:p>
    <w:p>
      <w:pPr>
        <w:spacing w:after="60" w:before="60"/>
      </w:pPr>
      <w:r>
        <w:rPr>
          <w:rFonts w:ascii="Arial" w:cs="Arial" w:eastAsia="Arial" w:hAnsi="Arial"/>
          <w:sz w:val="22"/>
          <w:szCs w:val="22"/>
        </w:rPr>
        <w:t xml:space="preserve">Unlicensed workers may only handle bonded ACM in areas under 10m2, per Model WHS Regulations r.458. Any friable ACM requires a Class A asbestos removalist licence.</w:t>
      </w:r>
    </w:p>
    <w:p>
      <w:pPr>
        <w:pStyle w:val="ListParagraph"/>
        <w:numPr>
          <w:ilvl w:val="0"/>
          <w:numId w:val="2"/>
        </w:numPr>
        <w:spacing w:after="40" w:before="40"/>
      </w:pPr>
      <w:r>
        <w:rPr>
          <w:rFonts w:ascii="Arial" w:cs="Arial" w:eastAsia="Arial" w:hAnsi="Arial"/>
          <w:sz w:val="22"/>
          <w:szCs w:val="22"/>
        </w:rPr>
        <w:t xml:space="preserve">Class B licence: bonded ACM removal between 10m2 and unlimited area</w:t>
      </w:r>
    </w:p>
    <w:p>
      <w:pPr>
        <w:pStyle w:val="ListParagraph"/>
        <w:numPr>
          <w:ilvl w:val="0"/>
          <w:numId w:val="2"/>
        </w:numPr>
        <w:spacing w:after="40" w:before="40"/>
      </w:pPr>
      <w:r>
        <w:rPr>
          <w:rFonts w:ascii="Arial" w:cs="Arial" w:eastAsia="Arial" w:hAnsi="Arial"/>
          <w:sz w:val="22"/>
          <w:szCs w:val="22"/>
        </w:rPr>
        <w:t xml:space="preserve">Class A licence: all friable ACM removal, regardless of area</w:t>
      </w:r>
    </w:p>
    <w:p>
      <w:pPr>
        <w:pStyle w:val="ListParagraph"/>
        <w:numPr>
          <w:ilvl w:val="0"/>
          <w:numId w:val="2"/>
        </w:numPr>
        <w:spacing w:after="40" w:before="40"/>
      </w:pPr>
      <w:r>
        <w:rPr>
          <w:rFonts w:ascii="Arial" w:cs="Arial" w:eastAsia="Arial" w:hAnsi="Arial"/>
          <w:sz w:val="22"/>
          <w:szCs w:val="22"/>
        </w:rPr>
        <w:t xml:space="preserve">PPE minimum for any incidental bonded ACM contact: P2 respirator, disposable coveralls, nitrile gloves, eye protection</w:t>
      </w:r>
    </w:p>
    <w:p>
      <w:pPr>
        <w:pStyle w:val="ListParagraph"/>
        <w:numPr>
          <w:ilvl w:val="0"/>
          <w:numId w:val="2"/>
        </w:numPr>
        <w:spacing w:after="40" w:before="40"/>
      </w:pPr>
      <w:r>
        <w:rPr>
          <w:rFonts w:ascii="Arial" w:cs="Arial" w:eastAsia="Arial" w:hAnsi="Arial"/>
          <w:sz w:val="22"/>
          <w:szCs w:val="22"/>
        </w:rPr>
        <w:t xml:space="preserve">Wetting ACM with a fine mist reduces airborne fibre release during incidental disturbance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Never use an angle grinder, drill, or abrasive tool on suspected ACM without a licence and appropriate controls. This is unlawful and creates an immediate health risk.</w:t>
      </w:r>
    </w:p>
    <w:p>
      <w:pPr>
        <w:spacing w:after="0" w:before="60"/>
      </w:pPr>
      <w:r>
        <w:t xml:space="preserve"/>
      </w:r>
    </w:p>
    <w:p>
      <w:pPr>
        <w:spacing w:after="80" w:before="200"/>
      </w:pPr>
      <w:r>
        <w:rPr>
          <w:rFonts w:ascii="Arial" w:cs="Arial" w:eastAsia="Arial" w:hAnsi="Arial"/>
          <w:b/>
          <w:bCs/>
          <w:sz w:val="23"/>
          <w:szCs w:val="23"/>
        </w:rPr>
        <w:t xml:space="preserve">Module 6: Containing Asbestos if Damaged or Identified</w:t>
      </w:r>
    </w:p>
    <w:p>
      <w:pPr>
        <w:spacing w:after="60" w:before="60"/>
      </w:pPr>
      <w:r>
        <w:rPr>
          <w:rFonts w:ascii="Arial" w:cs="Arial" w:eastAsia="Arial" w:hAnsi="Arial"/>
          <w:sz w:val="22"/>
          <w:szCs w:val="22"/>
        </w:rPr>
        <w:t xml:space="preserve">If ACM is found or suspected to be damaged on site, work must stop immediately and the area must be isolated before any other action.</w:t>
      </w:r>
    </w:p>
    <w:p>
      <w:pPr>
        <w:pStyle w:val="ListParagraph"/>
        <w:numPr>
          <w:ilvl w:val="0"/>
          <w:numId w:val="2"/>
        </w:numPr>
        <w:spacing w:after="40" w:before="40"/>
      </w:pPr>
      <w:r>
        <w:rPr>
          <w:rFonts w:ascii="Arial" w:cs="Arial" w:eastAsia="Arial" w:hAnsi="Arial"/>
          <w:sz w:val="22"/>
          <w:szCs w:val="22"/>
        </w:rPr>
        <w:t xml:space="preserve">Establish a minimum 3-metre exclusion zone with barrier tape and hazard signage</w:t>
      </w:r>
    </w:p>
    <w:p>
      <w:pPr>
        <w:pStyle w:val="ListParagraph"/>
        <w:numPr>
          <w:ilvl w:val="0"/>
          <w:numId w:val="2"/>
        </w:numPr>
        <w:spacing w:after="40" w:before="40"/>
      </w:pPr>
      <w:r>
        <w:rPr>
          <w:rFonts w:ascii="Arial" w:cs="Arial" w:eastAsia="Arial" w:hAnsi="Arial"/>
          <w:sz w:val="22"/>
          <w:szCs w:val="22"/>
        </w:rPr>
        <w:t xml:space="preserve">Shut down all HVAC and air movers — these distribute fibres through the structure</w:t>
      </w:r>
    </w:p>
    <w:p>
      <w:pPr>
        <w:pStyle w:val="ListParagraph"/>
        <w:numPr>
          <w:ilvl w:val="0"/>
          <w:numId w:val="2"/>
        </w:numPr>
        <w:spacing w:after="40" w:before="40"/>
      </w:pPr>
      <w:r>
        <w:rPr>
          <w:rFonts w:ascii="Arial" w:cs="Arial" w:eastAsia="Arial" w:hAnsi="Arial"/>
          <w:sz w:val="22"/>
          <w:szCs w:val="22"/>
        </w:rPr>
        <w:t xml:space="preserve">Apply a fine mist of water to the damaged material — do not use high-pressure water</w:t>
      </w:r>
    </w:p>
    <w:p>
      <w:pPr>
        <w:pStyle w:val="ListParagraph"/>
        <w:numPr>
          <w:ilvl w:val="0"/>
          <w:numId w:val="2"/>
        </w:numPr>
        <w:spacing w:after="40" w:before="40"/>
      </w:pPr>
      <w:r>
        <w:rPr>
          <w:rFonts w:ascii="Arial" w:cs="Arial" w:eastAsia="Arial" w:hAnsi="Arial"/>
          <w:sz w:val="22"/>
          <w:szCs w:val="22"/>
        </w:rPr>
        <w:t xml:space="preserve">Any loose ACM must be double-bagged in 200-micron poly, sealed, and labelled: ASBESTOS WASTE — HAZARDOUS</w:t>
      </w:r>
    </w:p>
    <w:p>
      <w:pPr>
        <w:pStyle w:val="ListParagraph"/>
        <w:numPr>
          <w:ilvl w:val="0"/>
          <w:numId w:val="2"/>
        </w:numPr>
        <w:spacing w:after="40" w:before="40"/>
      </w:pPr>
      <w:r>
        <w:rPr>
          <w:rFonts w:ascii="Arial" w:cs="Arial" w:eastAsia="Arial" w:hAnsi="Arial"/>
          <w:sz w:val="22"/>
          <w:szCs w:val="22"/>
        </w:rPr>
        <w:t xml:space="preserve">Only use an H-class HEPA vacuum or Type H industrial vacuum on ACM debris — never a standard vacuum</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If water or fire damage has disturbed suspected ACM, stop all drying and remediation work immediately. The site must be assessed by a licenced asbestos assessor before any work continues. Document the stop-work decision in writing.</w:t>
      </w:r>
    </w:p>
    <w:p>
      <w:pPr>
        <w:spacing w:after="0" w:before="60"/>
      </w:pPr>
      <w:r>
        <w:t xml:space="preserve"/>
      </w:r>
    </w:p>
    <w:p>
      <w:pPr>
        <w:spacing w:after="80" w:before="200"/>
      </w:pPr>
      <w:r>
        <w:rPr>
          <w:rFonts w:ascii="Arial" w:cs="Arial" w:eastAsia="Arial" w:hAnsi="Arial"/>
          <w:b/>
          <w:bCs/>
          <w:sz w:val="23"/>
          <w:szCs w:val="23"/>
        </w:rPr>
        <w:t xml:space="preserve">Module 7: Reporting and Documentation</w:t>
      </w:r>
    </w:p>
    <w:p>
      <w:pPr>
        <w:spacing w:after="60" w:before="60"/>
      </w:pPr>
      <w:r>
        <w:rPr>
          <w:rFonts w:ascii="Arial" w:cs="Arial" w:eastAsia="Arial" w:hAnsi="Arial"/>
          <w:sz w:val="22"/>
          <w:szCs w:val="22"/>
        </w:rPr>
        <w:t xml:space="preserve">All unplanned ACM disturbances must be formally documented and reported. Verbal-only notification is not sufficient.</w:t>
      </w:r>
    </w:p>
    <w:p>
      <w:pPr>
        <w:pStyle w:val="ListParagraph"/>
        <w:numPr>
          <w:ilvl w:val="0"/>
          <w:numId w:val="2"/>
        </w:numPr>
        <w:spacing w:after="40" w:before="40"/>
      </w:pPr>
      <w:r>
        <w:rPr>
          <w:rFonts w:ascii="Arial" w:cs="Arial" w:eastAsia="Arial" w:hAnsi="Arial"/>
          <w:sz w:val="22"/>
          <w:szCs w:val="22"/>
        </w:rPr>
        <w:t xml:space="preserve">Asbestos register: must be maintained by the building owner/PCBU for all workplaces — request sight before starting any work</w:t>
      </w:r>
    </w:p>
    <w:p>
      <w:pPr>
        <w:pStyle w:val="ListParagraph"/>
        <w:numPr>
          <w:ilvl w:val="0"/>
          <w:numId w:val="2"/>
        </w:numPr>
        <w:spacing w:after="40" w:before="40"/>
      </w:pPr>
      <w:r>
        <w:rPr>
          <w:rFonts w:ascii="Arial" w:cs="Arial" w:eastAsia="Arial" w:hAnsi="Arial"/>
          <w:sz w:val="22"/>
          <w:szCs w:val="22"/>
        </w:rPr>
        <w:t xml:space="preserve">Incident report: any unplanned ACM disturbance must be reported internally and to the relevant state SafeWork or WorkSafe authority</w:t>
      </w:r>
    </w:p>
    <w:p>
      <w:pPr>
        <w:pStyle w:val="ListParagraph"/>
        <w:numPr>
          <w:ilvl w:val="0"/>
          <w:numId w:val="2"/>
        </w:numPr>
        <w:spacing w:after="40" w:before="40"/>
      </w:pPr>
      <w:r>
        <w:rPr>
          <w:rFonts w:ascii="Arial" w:cs="Arial" w:eastAsia="Arial" w:hAnsi="Arial"/>
          <w:sz w:val="22"/>
          <w:szCs w:val="22"/>
        </w:rPr>
        <w:t xml:space="preserve">Post-disturbance air monitoring: required by a licenced asbestos assessor before workers can re-enter the affected zone</w:t>
      </w:r>
    </w:p>
    <w:p>
      <w:pPr>
        <w:pStyle w:val="ListParagraph"/>
        <w:numPr>
          <w:ilvl w:val="0"/>
          <w:numId w:val="2"/>
        </w:numPr>
        <w:spacing w:after="40" w:before="40"/>
      </w:pPr>
      <w:r>
        <w:rPr>
          <w:rFonts w:ascii="Arial" w:cs="Arial" w:eastAsia="Arial" w:hAnsi="Arial"/>
          <w:sz w:val="22"/>
          <w:szCs w:val="22"/>
        </w:rPr>
        <w:t xml:space="preserve">Clearance certificate: must be issued by an independent licenced asbestos assessor before the zone is re-occupied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r.426 — the person managing or controlling a workplace must ensure an asbestos register is prepared before any demolition or refurbishment work commences.</w:t>
      </w:r>
    </w:p>
    <w:p>
      <w:pPr>
        <w:spacing w:after="0" w:before="60"/>
      </w:pPr>
      <w:r>
        <w:t xml:space="preserve"/>
      </w:r>
    </w:p>
    <w:p>
      <w:pPr>
        <w:spacing w:after="80" w:before="200"/>
      </w:pPr>
      <w:r>
        <w:rPr>
          <w:rFonts w:ascii="Arial" w:cs="Arial" w:eastAsia="Arial" w:hAnsi="Arial"/>
          <w:b/>
          <w:bCs/>
          <w:sz w:val="23"/>
          <w:szCs w:val="23"/>
        </w:rPr>
        <w:t xml:space="preserve">Module 8: Training and Certification</w:t>
      </w:r>
    </w:p>
    <w:p>
      <w:pPr>
        <w:spacing w:after="60" w:before="60"/>
      </w:pPr>
      <w:r>
        <w:rPr>
          <w:rFonts w:ascii="Arial" w:cs="Arial" w:eastAsia="Arial" w:hAnsi="Arial"/>
          <w:sz w:val="22"/>
          <w:szCs w:val="22"/>
        </w:rPr>
        <w:t xml:space="preserve">Asbestos awareness training is mandatory for all workers in workplaces where ACM may be present. A refresher every two years is strongly recommended.</w:t>
      </w:r>
    </w:p>
    <w:p>
      <w:pPr>
        <w:pStyle w:val="ListParagraph"/>
        <w:numPr>
          <w:ilvl w:val="0"/>
          <w:numId w:val="2"/>
        </w:numPr>
        <w:spacing w:after="40" w:before="40"/>
      </w:pPr>
      <w:r>
        <w:rPr>
          <w:rFonts w:ascii="Arial" w:cs="Arial" w:eastAsia="Arial" w:hAnsi="Arial"/>
          <w:sz w:val="22"/>
          <w:szCs w:val="22"/>
        </w:rPr>
        <w:t xml:space="preserve">Class A licence: required for friable ACM removal — issued by state SafeWork or WorkSafe authorities</w:t>
      </w:r>
    </w:p>
    <w:p>
      <w:pPr>
        <w:pStyle w:val="ListParagraph"/>
        <w:numPr>
          <w:ilvl w:val="0"/>
          <w:numId w:val="2"/>
        </w:numPr>
        <w:spacing w:after="40" w:before="40"/>
      </w:pPr>
      <w:r>
        <w:rPr>
          <w:rFonts w:ascii="Arial" w:cs="Arial" w:eastAsia="Arial" w:hAnsi="Arial"/>
          <w:sz w:val="22"/>
          <w:szCs w:val="22"/>
        </w:rPr>
        <w:t xml:space="preserve">Class B licence: required for bonded ACM removal over 10m2</w:t>
      </w:r>
    </w:p>
    <w:p>
      <w:pPr>
        <w:pStyle w:val="ListParagraph"/>
        <w:numPr>
          <w:ilvl w:val="0"/>
          <w:numId w:val="2"/>
        </w:numPr>
        <w:spacing w:after="40" w:before="40"/>
      </w:pPr>
      <w:r>
        <w:rPr>
          <w:rFonts w:ascii="Arial" w:cs="Arial" w:eastAsia="Arial" w:hAnsi="Arial"/>
          <w:sz w:val="22"/>
          <w:szCs w:val="22"/>
        </w:rPr>
        <w:t xml:space="preserve">Licenced asbestos assessor (LAA): independent role for air monitoring and clearance — the LAA must not be the same person who performed the removal</w:t>
      </w:r>
    </w:p>
    <w:p>
      <w:pPr>
        <w:pStyle w:val="ListParagraph"/>
        <w:numPr>
          <w:ilvl w:val="0"/>
          <w:numId w:val="2"/>
        </w:numPr>
        <w:spacing w:after="40" w:before="40"/>
      </w:pPr>
      <w:r>
        <w:rPr>
          <w:rFonts w:ascii="Arial" w:cs="Arial" w:eastAsia="Arial" w:hAnsi="Arial"/>
          <w:sz w:val="22"/>
          <w:szCs w:val="22"/>
        </w:rPr>
        <w:t xml:space="preserve">Training records must be maintained showing: date, provider, and expiry for each worker</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Keep a training register for every team member. This is required evidence in the event of a SafeWork or WorkSafe inspection or incident investigation.</w:t>
      </w:r>
    </w:p>
    <w:p>
      <w:pPr>
        <w:spacing w:after="0" w:before="60"/>
      </w:pPr>
      <w:r>
        <w:t xml:space="preserve"/>
      </w:r>
    </w:p>
    <w:p>
      <w:pPr>
        <w:spacing w:after="80" w:before="200"/>
      </w:pPr>
      <w:r>
        <w:rPr>
          <w:rFonts w:ascii="Arial" w:cs="Arial" w:eastAsia="Arial" w:hAnsi="Arial"/>
          <w:b/>
          <w:bCs/>
          <w:sz w:val="23"/>
          <w:szCs w:val="23"/>
        </w:rPr>
        <w:t xml:space="preserve">Module 9: Legal and Regulatory Requirements</w:t>
      </w:r>
    </w:p>
    <w:p>
      <w:pPr>
        <w:spacing w:after="60" w:before="60"/>
      </w:pPr>
      <w:r>
        <w:rPr>
          <w:rFonts w:ascii="Arial" w:cs="Arial" w:eastAsia="Arial" w:hAnsi="Arial"/>
          <w:sz w:val="22"/>
          <w:szCs w:val="22"/>
        </w:rPr>
        <w:t xml:space="preserve">Asbestos obligations are embedded in both national and state WHS frameworks. Ignorance of the law is not a defence.</w:t>
      </w:r>
    </w:p>
    <w:p>
      <w:pPr>
        <w:pStyle w:val="ListParagraph"/>
        <w:numPr>
          <w:ilvl w:val="0"/>
          <w:numId w:val="2"/>
        </w:numPr>
        <w:spacing w:after="40" w:before="40"/>
      </w:pPr>
      <w:r>
        <w:rPr>
          <w:rFonts w:ascii="Arial" w:cs="Arial" w:eastAsia="Arial" w:hAnsi="Arial"/>
          <w:sz w:val="22"/>
          <w:szCs w:val="22"/>
        </w:rPr>
        <w:t xml:space="preserve">Work Health and Safety Act 2011 (Model): primary duty of care — includes managing asbestos risks at all workplaces</w:t>
      </w:r>
    </w:p>
    <w:p>
      <w:pPr>
        <w:pStyle w:val="ListParagraph"/>
        <w:numPr>
          <w:ilvl w:val="0"/>
          <w:numId w:val="2"/>
        </w:numPr>
        <w:spacing w:after="40" w:before="40"/>
      </w:pPr>
      <w:r>
        <w:rPr>
          <w:rFonts w:ascii="Arial" w:cs="Arial" w:eastAsia="Arial" w:hAnsi="Arial"/>
          <w:sz w:val="22"/>
          <w:szCs w:val="22"/>
        </w:rPr>
        <w:t xml:space="preserve">Model WHS Regulations Part 8.5: specific obligations for asbestos removal, management, and demolition work</w:t>
      </w:r>
    </w:p>
    <w:p>
      <w:pPr>
        <w:pStyle w:val="ListParagraph"/>
        <w:numPr>
          <w:ilvl w:val="0"/>
          <w:numId w:val="2"/>
        </w:numPr>
        <w:spacing w:after="40" w:before="40"/>
      </w:pPr>
      <w:r>
        <w:rPr>
          <w:rFonts w:ascii="Arial" w:cs="Arial" w:eastAsia="Arial" w:hAnsi="Arial"/>
          <w:sz w:val="22"/>
          <w:szCs w:val="22"/>
        </w:rPr>
        <w:t xml:space="preserve">Safe Work Australia Code of Practice: How to Manage and Control Asbestos in the Workplace (2011, updated)</w:t>
      </w:r>
    </w:p>
    <w:p>
      <w:pPr>
        <w:pStyle w:val="ListParagraph"/>
        <w:numPr>
          <w:ilvl w:val="0"/>
          <w:numId w:val="2"/>
        </w:numPr>
        <w:spacing w:after="40" w:before="40"/>
      </w:pPr>
      <w:r>
        <w:rPr>
          <w:rFonts w:ascii="Arial" w:cs="Arial" w:eastAsia="Arial" w:hAnsi="Arial"/>
          <w:sz w:val="22"/>
          <w:szCs w:val="22"/>
        </w:rPr>
        <w:t xml:space="preserve">Penalties for reckless asbestos handling: up to $3.3 million for corporations under Category 1 offences</w:t>
      </w:r>
    </w:p>
    <w:p>
      <w:pPr>
        <w:pStyle w:val="ListParagraph"/>
        <w:numPr>
          <w:ilvl w:val="0"/>
          <w:numId w:val="2"/>
        </w:numPr>
        <w:spacing w:after="40" w:before="40"/>
      </w:pPr>
      <w:r>
        <w:rPr>
          <w:rFonts w:ascii="Arial" w:cs="Arial" w:eastAsia="Arial" w:hAnsi="Arial"/>
          <w:sz w:val="22"/>
          <w:szCs w:val="22"/>
        </w:rPr>
        <w:t xml:space="preserve">Restoration companies must have a documented asbestos management procedure as part of their WHS system — verbal instructions are not sufficient</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All states and territories have asbestos-specific regulations that mirror or build on the Model WHS framework. Technicians must know the rules in the state where they are working.</w:t>
      </w:r>
    </w:p>
    <w:p>
      <w:r>
        <w:br w:type="page"/>
      </w:r>
    </w:p>
    <w:p>
      <w:pPr>
        <w:pStyle w:val="Heading1"/>
        <w:spacing w:after="120" w:before="400"/>
      </w:pPr>
      <w:r>
        <w:rPr>
          <w:rFonts w:ascii="Arial" w:cs="Arial" w:eastAsia="Arial" w:hAnsi="Arial"/>
          <w:b/>
          <w:bCs/>
          <w:sz w:val="28"/>
          <w:szCs w:val="28"/>
        </w:rPr>
        <w:t xml:space="preserve">Course 30: Safety Data Sheet (SDS) Course</w:t>
      </w:r>
    </w:p>
    <w:p>
      <w:pPr>
        <w:spacing w:after="60" w:before="60"/>
      </w:pPr>
      <w:r>
        <w:rPr>
          <w:rFonts w:ascii="Arial" w:cs="Arial" w:eastAsia="Arial" w:hAnsi="Arial"/>
          <w:sz w:val="22"/>
          <w:szCs w:val="22"/>
        </w:rPr>
        <w:t xml:space="preserve">Price: AUD $20  |  Status: Published  |  Modules: 1</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Safety Data Sheets are legally required documents that accompany every hazardous chemical used in Australian workplaces. This course teaches restoration and cleaning professionals how to locate, read, and apply every section of a GHS-compliant SDS to make real-time, job-site decisions about safe chemical handling, PPE selection, spill response, storage, and disposal.</w:t>
      </w:r>
    </w:p>
    <w:p>
      <w:pPr>
        <w:spacing w:after="0" w:before="60"/>
      </w:pPr>
      <w:r>
        <w:t xml:space="preserve"/>
      </w:r>
    </w:p>
    <w:p>
      <w:pPr>
        <w:spacing w:after="80" w:before="200"/>
      </w:pPr>
      <w:r>
        <w:rPr>
          <w:rFonts w:ascii="Arial" w:cs="Arial" w:eastAsia="Arial" w:hAnsi="Arial"/>
          <w:b/>
          <w:bCs/>
          <w:sz w:val="23"/>
          <w:szCs w:val="23"/>
        </w:rPr>
        <w:t xml:space="preserve">Module 1: Safety Data Sheets - Reading and Application</w:t>
      </w:r>
    </w:p>
    <w:p>
      <w:pPr>
        <w:spacing w:after="60" w:before="60"/>
      </w:pPr>
      <w:r>
        <w:rPr>
          <w:rFonts w:ascii="Arial" w:cs="Arial" w:eastAsia="Arial" w:hAnsi="Arial"/>
          <w:sz w:val="22"/>
          <w:szCs w:val="22"/>
        </w:rPr>
        <w:t xml:space="preserve">An SDS must be supplied by the manufacturer for every hazardous chemical and must be accessible on site at all times. Under Model WHS Regulations r.337, the PCBU must ensure the SDS is provided to any person likely to be affected by a hazardous chemical.</w:t>
      </w:r>
    </w:p>
    <w:p>
      <w:pPr>
        <w:spacing w:after="0" w:before="60"/>
      </w:pPr>
      <w:r>
        <w:t xml:space="preserve"/>
      </w:r>
    </w:p>
    <w:p>
      <w:pPr>
        <w:spacing w:after="60" w:before="160"/>
      </w:pPr>
      <w:r>
        <w:rPr>
          <w:rFonts w:ascii="Arial" w:cs="Arial" w:eastAsia="Arial" w:hAnsi="Arial"/>
          <w:b/>
          <w:bCs/>
          <w:sz w:val="22"/>
          <w:szCs w:val="22"/>
        </w:rPr>
        <w:t xml:space="preserve">The 16 GHS Sections and What Each Means On the Job</w:t>
      </w:r>
    </w:p>
    <w:p>
      <w:pPr>
        <w:pStyle w:val="ListParagraph"/>
        <w:numPr>
          <w:ilvl w:val="0"/>
          <w:numId w:val="2"/>
        </w:numPr>
        <w:spacing w:after="40" w:before="40"/>
      </w:pPr>
      <w:r>
        <w:rPr>
          <w:rFonts w:ascii="Arial" w:cs="Arial" w:eastAsia="Arial" w:hAnsi="Arial"/>
          <w:sz w:val="22"/>
          <w:szCs w:val="22"/>
        </w:rPr>
        <w:t xml:space="preserve">Section 1 - Identification: product name, supplier details, emergency contacts. Confirm you have the SDS for the exact product in your hand.</w:t>
      </w:r>
    </w:p>
    <w:p>
      <w:pPr>
        <w:pStyle w:val="ListParagraph"/>
        <w:numPr>
          <w:ilvl w:val="0"/>
          <w:numId w:val="2"/>
        </w:numPr>
        <w:spacing w:after="40" w:before="40"/>
      </w:pPr>
      <w:r>
        <w:rPr>
          <w:rFonts w:ascii="Arial" w:cs="Arial" w:eastAsia="Arial" w:hAnsi="Arial"/>
          <w:sz w:val="22"/>
          <w:szCs w:val="22"/>
        </w:rPr>
        <w:t xml:space="preserve">Section 2 - Hazard Identification: GHS hazard categories, signal words (DANGER or WARNING), and pictograms. This is your first risk signal before opening any container.</w:t>
      </w:r>
    </w:p>
    <w:p>
      <w:pPr>
        <w:pStyle w:val="ListParagraph"/>
        <w:numPr>
          <w:ilvl w:val="0"/>
          <w:numId w:val="2"/>
        </w:numPr>
        <w:spacing w:after="40" w:before="40"/>
      </w:pPr>
      <w:r>
        <w:rPr>
          <w:rFonts w:ascii="Arial" w:cs="Arial" w:eastAsia="Arial" w:hAnsi="Arial"/>
          <w:sz w:val="22"/>
          <w:szCs w:val="22"/>
        </w:rPr>
        <w:t xml:space="preserve">Section 3 - Composition: ingredients and concentrations. Check for restricted or regulated substances before use.</w:t>
      </w:r>
    </w:p>
    <w:p>
      <w:pPr>
        <w:pStyle w:val="ListParagraph"/>
        <w:numPr>
          <w:ilvl w:val="0"/>
          <w:numId w:val="2"/>
        </w:numPr>
        <w:spacing w:after="40" w:before="40"/>
      </w:pPr>
      <w:r>
        <w:rPr>
          <w:rFonts w:ascii="Arial" w:cs="Arial" w:eastAsia="Arial" w:hAnsi="Arial"/>
          <w:sz w:val="22"/>
          <w:szCs w:val="22"/>
        </w:rPr>
        <w:t xml:space="preserve">Section 4 - First Aid: immediate response per exposure route (inhalation, skin, eyes, ingestion). Know this before you need it — read it at job start, not during an incident.</w:t>
      </w:r>
    </w:p>
    <w:p>
      <w:pPr>
        <w:pStyle w:val="ListParagraph"/>
        <w:numPr>
          <w:ilvl w:val="0"/>
          <w:numId w:val="2"/>
        </w:numPr>
        <w:spacing w:after="40" w:before="40"/>
      </w:pPr>
      <w:r>
        <w:rPr>
          <w:rFonts w:ascii="Arial" w:cs="Arial" w:eastAsia="Arial" w:hAnsi="Arial"/>
          <w:sz w:val="22"/>
          <w:szCs w:val="22"/>
        </w:rPr>
        <w:t xml:space="preserve">Section 5 - Firefighting: compatible extinguisher types and special hazards. Critical for storage and emergency planning.</w:t>
      </w:r>
    </w:p>
    <w:p>
      <w:pPr>
        <w:pStyle w:val="ListParagraph"/>
        <w:numPr>
          <w:ilvl w:val="0"/>
          <w:numId w:val="2"/>
        </w:numPr>
        <w:spacing w:after="40" w:before="40"/>
      </w:pPr>
      <w:r>
        <w:rPr>
          <w:rFonts w:ascii="Arial" w:cs="Arial" w:eastAsia="Arial" w:hAnsi="Arial"/>
          <w:sz w:val="22"/>
          <w:szCs w:val="22"/>
        </w:rPr>
        <w:t xml:space="preserve">Section 6 - Accidental Release: spill kit requirements, notification triggers, and PPE required for cleanup.</w:t>
      </w:r>
    </w:p>
    <w:p>
      <w:pPr>
        <w:pStyle w:val="ListParagraph"/>
        <w:numPr>
          <w:ilvl w:val="0"/>
          <w:numId w:val="2"/>
        </w:numPr>
        <w:spacing w:after="40" w:before="40"/>
      </w:pPr>
      <w:r>
        <w:rPr>
          <w:rFonts w:ascii="Arial" w:cs="Arial" w:eastAsia="Arial" w:hAnsi="Arial"/>
          <w:sz w:val="22"/>
          <w:szCs w:val="22"/>
        </w:rPr>
        <w:t xml:space="preserve">Section 7 - Handling and Storage: incompatible materials, temperature limits, and ventilation requirements before and during use.</w:t>
      </w:r>
    </w:p>
    <w:p>
      <w:pPr>
        <w:pStyle w:val="ListParagraph"/>
        <w:numPr>
          <w:ilvl w:val="0"/>
          <w:numId w:val="2"/>
        </w:numPr>
        <w:spacing w:after="40" w:before="40"/>
      </w:pPr>
      <w:r>
        <w:rPr>
          <w:rFonts w:ascii="Arial" w:cs="Arial" w:eastAsia="Arial" w:hAnsi="Arial"/>
          <w:sz w:val="22"/>
          <w:szCs w:val="22"/>
        </w:rPr>
        <w:t xml:space="preserve">Section 8 - Exposure Controls and PPE: Workplace Exposure Standards (WES) and exact PPE type with Australian standard reference. This section determines what respiratory protection and gloves you must wear.</w:t>
      </w:r>
    </w:p>
    <w:p>
      <w:pPr>
        <w:pStyle w:val="ListParagraph"/>
        <w:numPr>
          <w:ilvl w:val="0"/>
          <w:numId w:val="2"/>
        </w:numPr>
        <w:spacing w:after="40" w:before="40"/>
      </w:pPr>
      <w:r>
        <w:rPr>
          <w:rFonts w:ascii="Arial" w:cs="Arial" w:eastAsia="Arial" w:hAnsi="Arial"/>
          <w:sz w:val="22"/>
          <w:szCs w:val="22"/>
        </w:rPr>
        <w:t xml:space="preserve">Section 9 - Physical and Chemical Properties: flash point, pH, evaporation rate. Used for fire risk and confined space assessment.</w:t>
      </w:r>
    </w:p>
    <w:p>
      <w:pPr>
        <w:pStyle w:val="ListParagraph"/>
        <w:numPr>
          <w:ilvl w:val="0"/>
          <w:numId w:val="2"/>
        </w:numPr>
        <w:spacing w:after="40" w:before="40"/>
      </w:pPr>
      <w:r>
        <w:rPr>
          <w:rFonts w:ascii="Arial" w:cs="Arial" w:eastAsia="Arial" w:hAnsi="Arial"/>
          <w:sz w:val="22"/>
          <w:szCs w:val="22"/>
        </w:rPr>
        <w:t xml:space="preserve">Section 10 - Stability and Reactivity: what not to mix with this product. Prevents accidental chemical reactions on site.</w:t>
      </w:r>
    </w:p>
    <w:p>
      <w:pPr>
        <w:pStyle w:val="ListParagraph"/>
        <w:numPr>
          <w:ilvl w:val="0"/>
          <w:numId w:val="2"/>
        </w:numPr>
        <w:spacing w:after="40" w:before="40"/>
      </w:pPr>
      <w:r>
        <w:rPr>
          <w:rFonts w:ascii="Arial" w:cs="Arial" w:eastAsia="Arial" w:hAnsi="Arial"/>
          <w:sz w:val="22"/>
          <w:szCs w:val="22"/>
        </w:rPr>
        <w:t xml:space="preserve">Section 11 - Toxicology: routes of exposure and LD50 values. Used to assess severity in a medical emergency.</w:t>
      </w:r>
    </w:p>
    <w:p>
      <w:pPr>
        <w:pStyle w:val="ListParagraph"/>
        <w:numPr>
          <w:ilvl w:val="0"/>
          <w:numId w:val="2"/>
        </w:numPr>
        <w:spacing w:after="40" w:before="40"/>
      </w:pPr>
      <w:r>
        <w:rPr>
          <w:rFonts w:ascii="Arial" w:cs="Arial" w:eastAsia="Arial" w:hAnsi="Arial"/>
          <w:sz w:val="22"/>
          <w:szCs w:val="22"/>
        </w:rPr>
        <w:t xml:space="preserve">Section 12 - Ecological Information: persistence and toxicity. Required when using chemicals near drains, waterways, or outdoor areas.</w:t>
      </w:r>
    </w:p>
    <w:p>
      <w:pPr>
        <w:pStyle w:val="ListParagraph"/>
        <w:numPr>
          <w:ilvl w:val="0"/>
          <w:numId w:val="2"/>
        </w:numPr>
        <w:spacing w:after="40" w:before="40"/>
      </w:pPr>
      <w:r>
        <w:rPr>
          <w:rFonts w:ascii="Arial" w:cs="Arial" w:eastAsia="Arial" w:hAnsi="Arial"/>
          <w:sz w:val="22"/>
          <w:szCs w:val="22"/>
        </w:rPr>
        <w:t xml:space="preserve">Section 13 - Disposal: correct disposal classification and method. Required for waste management compliance.</w:t>
      </w:r>
    </w:p>
    <w:p>
      <w:pPr>
        <w:pStyle w:val="ListParagraph"/>
        <w:numPr>
          <w:ilvl w:val="0"/>
          <w:numId w:val="2"/>
        </w:numPr>
        <w:spacing w:after="40" w:before="40"/>
      </w:pPr>
      <w:r>
        <w:rPr>
          <w:rFonts w:ascii="Arial" w:cs="Arial" w:eastAsia="Arial" w:hAnsi="Arial"/>
          <w:sz w:val="22"/>
          <w:szCs w:val="22"/>
        </w:rPr>
        <w:t xml:space="preserve">Section 14 - Transport: ADG Code classification. Required when transporting chemicals between sites in a vehicle.</w:t>
      </w:r>
    </w:p>
    <w:p>
      <w:pPr>
        <w:pStyle w:val="ListParagraph"/>
        <w:numPr>
          <w:ilvl w:val="0"/>
          <w:numId w:val="2"/>
        </w:numPr>
        <w:spacing w:after="40" w:before="40"/>
      </w:pPr>
      <w:r>
        <w:rPr>
          <w:rFonts w:ascii="Arial" w:cs="Arial" w:eastAsia="Arial" w:hAnsi="Arial"/>
          <w:sz w:val="22"/>
          <w:szCs w:val="22"/>
        </w:rPr>
        <w:t xml:space="preserve">Section 15 - Regulatory: state-specific obligations and poisons scheduling if applicable.</w:t>
      </w:r>
    </w:p>
    <w:p>
      <w:pPr>
        <w:pStyle w:val="ListParagraph"/>
        <w:numPr>
          <w:ilvl w:val="0"/>
          <w:numId w:val="2"/>
        </w:numPr>
        <w:spacing w:after="40" w:before="40"/>
      </w:pPr>
      <w:r>
        <w:rPr>
          <w:rFonts w:ascii="Arial" w:cs="Arial" w:eastAsia="Arial" w:hAnsi="Arial"/>
          <w:sz w:val="22"/>
          <w:szCs w:val="22"/>
        </w:rPr>
        <w:t xml:space="preserve">Section 16 - Other Information: revision date. The SDS must be current within 5 years. Outdated SDS may not reflect current WES values.</w:t>
      </w:r>
    </w:p>
    <w:p>
      <w:pPr>
        <w:spacing w:after="0" w:before="60"/>
      </w:pPr>
      <w:r>
        <w:t xml:space="preserve"/>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r.337: SDS must be provided to any person likely to be affected. It must be accessible at the workplace — not in the office or locked in a vehicle.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Before using any chemical: confirm the SDS is on site, check Section 8 for PPE and WES, check Section 7 for ventilation requirements, check Section 6 so all workers know the spill response.</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Safe Work Australia — Preparation of Safety Data Sheets for Hazardous Chemicals Code of Practice (2021). All SDS must comply with GHS 7th revision.</w:t>
      </w:r>
    </w:p>
    <w:p>
      <w:r>
        <w:br w:type="page"/>
      </w:r>
    </w:p>
    <w:p>
      <w:pPr>
        <w:pStyle w:val="Heading1"/>
        <w:spacing w:after="120" w:before="400"/>
      </w:pPr>
      <w:r>
        <w:rPr>
          <w:rFonts w:ascii="Arial" w:cs="Arial" w:eastAsia="Arial" w:hAnsi="Arial"/>
          <w:b/>
          <w:bCs/>
          <w:sz w:val="28"/>
          <w:szCs w:val="28"/>
        </w:rPr>
        <w:t xml:space="preserve">Course 29: Standard Operating Procedures (SOP) Course</w:t>
      </w:r>
    </w:p>
    <w:p>
      <w:pPr>
        <w:spacing w:after="60" w:before="60"/>
      </w:pPr>
      <w:r>
        <w:rPr>
          <w:rFonts w:ascii="Arial" w:cs="Arial" w:eastAsia="Arial" w:hAnsi="Arial"/>
          <w:sz w:val="22"/>
          <w:szCs w:val="22"/>
        </w:rPr>
        <w:t xml:space="preserve">Price: AUD $20  |  Status: Published  |  Modules: 1</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Standard Operating Procedures define the consistent, compliant, and safe method for completing every task in a restoration or cleaning business. This course teaches how to write, implement, and review SOPs that satisfy WHS legal obligations, protect workers, and deliver repeatable professional results on every job — including mandatory structure, safety requirements, and review protocols.</w:t>
      </w:r>
    </w:p>
    <w:p>
      <w:pPr>
        <w:spacing w:after="0" w:before="60"/>
      </w:pPr>
      <w:r>
        <w:t xml:space="preserve"/>
      </w:r>
    </w:p>
    <w:p>
      <w:pPr>
        <w:spacing w:after="80" w:before="200"/>
      </w:pPr>
      <w:r>
        <w:rPr>
          <w:rFonts w:ascii="Arial" w:cs="Arial" w:eastAsia="Arial" w:hAnsi="Arial"/>
          <w:b/>
          <w:bCs/>
          <w:sz w:val="23"/>
          <w:szCs w:val="23"/>
        </w:rPr>
        <w:t xml:space="preserve">Module 1: Standard Operating Procedures</w:t>
      </w:r>
    </w:p>
    <w:p>
      <w:pPr>
        <w:spacing w:after="60" w:before="60"/>
      </w:pPr>
      <w:r>
        <w:rPr>
          <w:rFonts w:ascii="Arial" w:cs="Arial" w:eastAsia="Arial" w:hAnsi="Arial"/>
          <w:sz w:val="22"/>
          <w:szCs w:val="22"/>
        </w:rPr>
        <w:t xml:space="preserve">An SOP is a documented, step-by-step procedure for performing a task correctly and safely every time. Under Model WHS Act s.19, the PCBU must provide safe systems of work — documented SOPs are the primary evidence of this.</w:t>
      </w:r>
    </w:p>
    <w:p>
      <w:pPr>
        <w:spacing w:after="0" w:before="60"/>
      </w:pPr>
      <w:r>
        <w:t xml:space="preserve"/>
      </w:r>
    </w:p>
    <w:p>
      <w:pPr>
        <w:spacing w:after="60" w:before="160"/>
      </w:pPr>
      <w:r>
        <w:rPr>
          <w:rFonts w:ascii="Arial" w:cs="Arial" w:eastAsia="Arial" w:hAnsi="Arial"/>
          <w:b/>
          <w:bCs/>
          <w:sz w:val="22"/>
          <w:szCs w:val="22"/>
        </w:rPr>
        <w:t xml:space="preserve">Why SOPs Are a Legal Obligation</w:t>
      </w:r>
    </w:p>
    <w:p>
      <w:pPr>
        <w:pStyle w:val="ListParagraph"/>
        <w:numPr>
          <w:ilvl w:val="0"/>
          <w:numId w:val="2"/>
        </w:numPr>
        <w:spacing w:after="40" w:before="40"/>
      </w:pPr>
      <w:r>
        <w:rPr>
          <w:rFonts w:ascii="Arial" w:cs="Arial" w:eastAsia="Arial" w:hAnsi="Arial"/>
          <w:sz w:val="22"/>
          <w:szCs w:val="22"/>
        </w:rPr>
        <w:t xml:space="preserve">Without SOPs, each technician creates their own method — inconsistency creates preventable incidents</w:t>
      </w:r>
    </w:p>
    <w:p>
      <w:pPr>
        <w:pStyle w:val="ListParagraph"/>
        <w:numPr>
          <w:ilvl w:val="0"/>
          <w:numId w:val="2"/>
        </w:numPr>
        <w:spacing w:after="40" w:before="40"/>
      </w:pPr>
      <w:r>
        <w:rPr>
          <w:rFonts w:ascii="Arial" w:cs="Arial" w:eastAsia="Arial" w:hAnsi="Arial"/>
          <w:sz w:val="22"/>
          <w:szCs w:val="22"/>
        </w:rPr>
        <w:t xml:space="preserve">In a SafeWork investigation or prosecution, the absence of an SOP is evidence of a failure in the safety management system</w:t>
      </w:r>
    </w:p>
    <w:p>
      <w:pPr>
        <w:pStyle w:val="ListParagraph"/>
        <w:numPr>
          <w:ilvl w:val="0"/>
          <w:numId w:val="2"/>
        </w:numPr>
        <w:spacing w:after="40" w:before="40"/>
      </w:pPr>
      <w:r>
        <w:rPr>
          <w:rFonts w:ascii="Arial" w:cs="Arial" w:eastAsia="Arial" w:hAnsi="Arial"/>
          <w:sz w:val="22"/>
          <w:szCs w:val="22"/>
        </w:rPr>
        <w:t xml:space="preserve">Insurers increasingly require documented SOPs as a condition of liability and workers compensation coverage</w:t>
      </w:r>
    </w:p>
    <w:p>
      <w:pPr>
        <w:spacing w:after="0" w:before="60"/>
      </w:pPr>
      <w:r>
        <w:t xml:space="preserve"/>
      </w:r>
    </w:p>
    <w:p>
      <w:pPr>
        <w:spacing w:after="60" w:before="160"/>
      </w:pPr>
      <w:r>
        <w:rPr>
          <w:rFonts w:ascii="Arial" w:cs="Arial" w:eastAsia="Arial" w:hAnsi="Arial"/>
          <w:b/>
          <w:bCs/>
          <w:sz w:val="22"/>
          <w:szCs w:val="22"/>
        </w:rPr>
        <w:t xml:space="preserve">Structure of an Effective SOP</w:t>
      </w:r>
    </w:p>
    <w:p>
      <w:pPr>
        <w:pStyle w:val="ListParagraph"/>
        <w:numPr>
          <w:ilvl w:val="0"/>
          <w:numId w:val="2"/>
        </w:numPr>
        <w:spacing w:after="40" w:before="40"/>
      </w:pPr>
      <w:r>
        <w:rPr>
          <w:rFonts w:ascii="Arial" w:cs="Arial" w:eastAsia="Arial" w:hAnsi="Arial"/>
          <w:sz w:val="22"/>
          <w:szCs w:val="22"/>
        </w:rPr>
        <w:t xml:space="preserve">Title and version number: document control is critical — always work from the current version</w:t>
      </w:r>
    </w:p>
    <w:p>
      <w:pPr>
        <w:pStyle w:val="ListParagraph"/>
        <w:numPr>
          <w:ilvl w:val="0"/>
          <w:numId w:val="2"/>
        </w:numPr>
        <w:spacing w:after="40" w:before="40"/>
      </w:pPr>
      <w:r>
        <w:rPr>
          <w:rFonts w:ascii="Arial" w:cs="Arial" w:eastAsia="Arial" w:hAnsi="Arial"/>
          <w:sz w:val="22"/>
          <w:szCs w:val="22"/>
        </w:rPr>
        <w:t xml:space="preserve">Scope: what jobs, tasks, or scenarios this SOP applies to</w:t>
      </w:r>
    </w:p>
    <w:p>
      <w:pPr>
        <w:pStyle w:val="ListParagraph"/>
        <w:numPr>
          <w:ilvl w:val="0"/>
          <w:numId w:val="2"/>
        </w:numPr>
        <w:spacing w:after="40" w:before="40"/>
      </w:pPr>
      <w:r>
        <w:rPr>
          <w:rFonts w:ascii="Arial" w:cs="Arial" w:eastAsia="Arial" w:hAnsi="Arial"/>
          <w:sz w:val="22"/>
          <w:szCs w:val="22"/>
        </w:rPr>
        <w:t xml:space="preserve">Responsibilities: who authorises, who performs, who checks and signs off</w:t>
      </w:r>
    </w:p>
    <w:p>
      <w:pPr>
        <w:pStyle w:val="ListParagraph"/>
        <w:numPr>
          <w:ilvl w:val="0"/>
          <w:numId w:val="2"/>
        </w:numPr>
        <w:spacing w:after="40" w:before="40"/>
      </w:pPr>
      <w:r>
        <w:rPr>
          <w:rFonts w:ascii="Arial" w:cs="Arial" w:eastAsia="Arial" w:hAnsi="Arial"/>
          <w:sz w:val="22"/>
          <w:szCs w:val="22"/>
        </w:rPr>
        <w:t xml:space="preserve">Required equipment and chemicals: with SDS reference numbers for each chemical listed</w:t>
      </w:r>
    </w:p>
    <w:p>
      <w:pPr>
        <w:pStyle w:val="ListParagraph"/>
        <w:numPr>
          <w:ilvl w:val="0"/>
          <w:numId w:val="2"/>
        </w:numPr>
        <w:spacing w:after="40" w:before="40"/>
      </w:pPr>
      <w:r>
        <w:rPr>
          <w:rFonts w:ascii="Arial" w:cs="Arial" w:eastAsia="Arial" w:hAnsi="Arial"/>
          <w:sz w:val="22"/>
          <w:szCs w:val="22"/>
        </w:rPr>
        <w:t xml:space="preserve">Step-by-step procedure: numbered, sequential, unambiguous — written at the literacy level of the user</w:t>
      </w:r>
    </w:p>
    <w:p>
      <w:pPr>
        <w:pStyle w:val="ListParagraph"/>
        <w:numPr>
          <w:ilvl w:val="0"/>
          <w:numId w:val="2"/>
        </w:numPr>
        <w:spacing w:after="40" w:before="40"/>
      </w:pPr>
      <w:r>
        <w:rPr>
          <w:rFonts w:ascii="Arial" w:cs="Arial" w:eastAsia="Arial" w:hAnsi="Arial"/>
          <w:sz w:val="22"/>
          <w:szCs w:val="22"/>
        </w:rPr>
        <w:t xml:space="preserve">Safety requirements: PPE specification for each task step, not just a generic note at the top</w:t>
      </w:r>
    </w:p>
    <w:p>
      <w:pPr>
        <w:pStyle w:val="ListParagraph"/>
        <w:numPr>
          <w:ilvl w:val="0"/>
          <w:numId w:val="2"/>
        </w:numPr>
        <w:spacing w:after="40" w:before="40"/>
      </w:pPr>
      <w:r>
        <w:rPr>
          <w:rFonts w:ascii="Arial" w:cs="Arial" w:eastAsia="Arial" w:hAnsi="Arial"/>
          <w:sz w:val="22"/>
          <w:szCs w:val="22"/>
        </w:rPr>
        <w:t xml:space="preserve">Emergency response: what to do if something goes wrong during this specific task</w:t>
      </w:r>
    </w:p>
    <w:p>
      <w:pPr>
        <w:pStyle w:val="ListParagraph"/>
        <w:numPr>
          <w:ilvl w:val="0"/>
          <w:numId w:val="2"/>
        </w:numPr>
        <w:spacing w:after="40" w:before="40"/>
      </w:pPr>
      <w:r>
        <w:rPr>
          <w:rFonts w:ascii="Arial" w:cs="Arial" w:eastAsia="Arial" w:hAnsi="Arial"/>
          <w:sz w:val="22"/>
          <w:szCs w:val="22"/>
        </w:rPr>
        <w:t xml:space="preserve">Review date and sign-off: reviewed at minimum annually, or immediately after any incident involving this task</w:t>
      </w:r>
    </w:p>
    <w:p>
      <w:pPr>
        <w:spacing w:after="0" w:before="60"/>
      </w:pPr>
      <w:r>
        <w:t xml:space="preserve"/>
      </w:r>
    </w:p>
    <w:p>
      <w:pPr>
        <w:spacing w:after="60" w:before="160"/>
      </w:pPr>
      <w:r>
        <w:rPr>
          <w:rFonts w:ascii="Arial" w:cs="Arial" w:eastAsia="Arial" w:hAnsi="Arial"/>
          <w:b/>
          <w:bCs/>
          <w:sz w:val="22"/>
          <w:szCs w:val="22"/>
        </w:rPr>
        <w:t xml:space="preserve">Key SOPs Every Restoration Business Must Have</w:t>
      </w:r>
    </w:p>
    <w:p>
      <w:pPr>
        <w:pStyle w:val="ListParagraph"/>
        <w:numPr>
          <w:ilvl w:val="0"/>
          <w:numId w:val="2"/>
        </w:numPr>
        <w:spacing w:after="40" w:before="40"/>
      </w:pPr>
      <w:r>
        <w:rPr>
          <w:rFonts w:ascii="Arial" w:cs="Arial" w:eastAsia="Arial" w:hAnsi="Arial"/>
          <w:sz w:val="22"/>
          <w:szCs w:val="22"/>
        </w:rPr>
        <w:t xml:space="preserve">Water damage initial response — Category 1, 2, and 3 differentiation, PPE requirements, notification protocol</w:t>
      </w:r>
    </w:p>
    <w:p>
      <w:pPr>
        <w:pStyle w:val="ListParagraph"/>
        <w:numPr>
          <w:ilvl w:val="0"/>
          <w:numId w:val="2"/>
        </w:numPr>
        <w:spacing w:after="40" w:before="40"/>
      </w:pPr>
      <w:r>
        <w:rPr>
          <w:rFonts w:ascii="Arial" w:cs="Arial" w:eastAsia="Arial" w:hAnsi="Arial"/>
          <w:sz w:val="22"/>
          <w:szCs w:val="22"/>
        </w:rPr>
        <w:t xml:space="preserve">Mould remediation — containment setup, negative pressure verification, clearance criteria</w:t>
      </w:r>
    </w:p>
    <w:p>
      <w:pPr>
        <w:pStyle w:val="ListParagraph"/>
        <w:numPr>
          <w:ilvl w:val="0"/>
          <w:numId w:val="2"/>
        </w:numPr>
        <w:spacing w:after="40" w:before="40"/>
      </w:pPr>
      <w:r>
        <w:rPr>
          <w:rFonts w:ascii="Arial" w:cs="Arial" w:eastAsia="Arial" w:hAnsi="Arial"/>
          <w:sz w:val="22"/>
          <w:szCs w:val="22"/>
        </w:rPr>
        <w:t xml:space="preserve">Chemical application — mixing ratios, dwell times, ventilation requirements, PPE, disposal</w:t>
      </w:r>
    </w:p>
    <w:p>
      <w:pPr>
        <w:pStyle w:val="ListParagraph"/>
        <w:numPr>
          <w:ilvl w:val="0"/>
          <w:numId w:val="2"/>
        </w:numPr>
        <w:spacing w:after="40" w:before="40"/>
      </w:pPr>
      <w:r>
        <w:rPr>
          <w:rFonts w:ascii="Arial" w:cs="Arial" w:eastAsia="Arial" w:hAnsi="Arial"/>
          <w:sz w:val="22"/>
          <w:szCs w:val="22"/>
        </w:rPr>
        <w:t xml:space="preserve">Asbestos suspected — stop-work, isolation, and notification procedure</w:t>
      </w:r>
    </w:p>
    <w:p>
      <w:pPr>
        <w:pStyle w:val="ListParagraph"/>
        <w:numPr>
          <w:ilvl w:val="0"/>
          <w:numId w:val="2"/>
        </w:numPr>
        <w:spacing w:after="40" w:before="40"/>
      </w:pPr>
      <w:r>
        <w:rPr>
          <w:rFonts w:ascii="Arial" w:cs="Arial" w:eastAsia="Arial" w:hAnsi="Arial"/>
          <w:sz w:val="22"/>
          <w:szCs w:val="22"/>
        </w:rPr>
        <w:t xml:space="preserve">Confined space entry — permit, atmosphere testing, rescue plan</w:t>
      </w:r>
    </w:p>
    <w:p>
      <w:pPr>
        <w:pStyle w:val="ListParagraph"/>
        <w:numPr>
          <w:ilvl w:val="0"/>
          <w:numId w:val="2"/>
        </w:numPr>
        <w:spacing w:after="40" w:before="40"/>
      </w:pPr>
      <w:r>
        <w:rPr>
          <w:rFonts w:ascii="Arial" w:cs="Arial" w:eastAsia="Arial" w:hAnsi="Arial"/>
          <w:sz w:val="22"/>
          <w:szCs w:val="22"/>
        </w:rPr>
        <w:t xml:space="preserve">Emergency evacuation from a contaminated site</w:t>
      </w:r>
    </w:p>
    <w:p>
      <w:pPr>
        <w:spacing w:after="0" w:before="60"/>
      </w:pPr>
      <w:r>
        <w:t xml:space="preserve"/>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s.22: Officers have a positive duty to ensure the organisation has and uses safe systems of work. SOPs that exist but are unknown to workers, or not enforced, provide minimal legal protection.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Review every SOP after a near-miss or incident. If the procedure was followed and the incident still occurred, the SOP needs updating. If the procedure was not followed, that is a training and supervision issue.</w:t>
      </w:r>
    </w:p>
    <w:p>
      <w:r>
        <w:br w:type="page"/>
      </w:r>
    </w:p>
    <w:p>
      <w:pPr>
        <w:pStyle w:val="Heading1"/>
        <w:spacing w:after="120" w:before="400"/>
      </w:pPr>
      <w:r>
        <w:rPr>
          <w:rFonts w:ascii="Arial" w:cs="Arial" w:eastAsia="Arial" w:hAnsi="Arial"/>
          <w:b/>
          <w:bCs/>
          <w:sz w:val="28"/>
          <w:szCs w:val="28"/>
        </w:rPr>
        <w:t xml:space="preserve">Course 31: Safe Work Method Statements (SWMS) Course</w:t>
      </w:r>
    </w:p>
    <w:p>
      <w:pPr>
        <w:spacing w:after="60" w:before="60"/>
      </w:pPr>
      <w:r>
        <w:rPr>
          <w:rFonts w:ascii="Arial" w:cs="Arial" w:eastAsia="Arial" w:hAnsi="Arial"/>
          <w:sz w:val="22"/>
          <w:szCs w:val="22"/>
        </w:rPr>
        <w:t xml:space="preserve">Price: AUD $20  |  Status: Published  |  Modules: 1</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A SWMS is a legally required document for all high-risk construction work in Australia. This course teaches restoration professionals when a SWMS is required by law, how to write one that is accurate and site-specific, and how to implement it correctly — including worker consultation, review triggers, and principal contractor obligations.</w:t>
      </w:r>
    </w:p>
    <w:p>
      <w:pPr>
        <w:spacing w:after="0" w:before="60"/>
      </w:pPr>
      <w:r>
        <w:t xml:space="preserve"/>
      </w:r>
    </w:p>
    <w:p>
      <w:pPr>
        <w:spacing w:after="80" w:before="200"/>
      </w:pPr>
      <w:r>
        <w:rPr>
          <w:rFonts w:ascii="Arial" w:cs="Arial" w:eastAsia="Arial" w:hAnsi="Arial"/>
          <w:b/>
          <w:bCs/>
          <w:sz w:val="23"/>
          <w:szCs w:val="23"/>
        </w:rPr>
        <w:t xml:space="preserve">Module 1: Safe Work Method Statements</w:t>
      </w:r>
    </w:p>
    <w:p>
      <w:pPr>
        <w:spacing w:after="60" w:before="60"/>
      </w:pPr>
      <w:r>
        <w:rPr>
          <w:rFonts w:ascii="Arial" w:cs="Arial" w:eastAsia="Arial" w:hAnsi="Arial"/>
          <w:sz w:val="22"/>
          <w:szCs w:val="22"/>
        </w:rPr>
        <w:t xml:space="preserve">A SWMS is not optional for high-risk construction work — it is a legal requirement under Model WHS Regulations Schedule 18. Many routine restoration tasks qualify as high-risk construction work.</w:t>
      </w:r>
    </w:p>
    <w:p>
      <w:pPr>
        <w:spacing w:after="0" w:before="60"/>
      </w:pPr>
      <w:r>
        <w:t xml:space="preserve"/>
      </w:r>
    </w:p>
    <w:p>
      <w:pPr>
        <w:spacing w:after="60" w:before="160"/>
      </w:pPr>
      <w:r>
        <w:rPr>
          <w:rFonts w:ascii="Arial" w:cs="Arial" w:eastAsia="Arial" w:hAnsi="Arial"/>
          <w:b/>
          <w:bCs/>
          <w:sz w:val="22"/>
          <w:szCs w:val="22"/>
        </w:rPr>
        <w:t xml:space="preserve">When a SWMS Is Legally Required</w:t>
      </w:r>
    </w:p>
    <w:p>
      <w:pPr>
        <w:pStyle w:val="ListParagraph"/>
        <w:numPr>
          <w:ilvl w:val="0"/>
          <w:numId w:val="2"/>
        </w:numPr>
        <w:spacing w:after="40" w:before="40"/>
      </w:pPr>
      <w:r>
        <w:rPr>
          <w:rFonts w:ascii="Arial" w:cs="Arial" w:eastAsia="Arial" w:hAnsi="Arial"/>
          <w:sz w:val="22"/>
          <w:szCs w:val="22"/>
        </w:rPr>
        <w:t xml:space="preserve">Any work where a person may fall more than 2 metres</w:t>
      </w:r>
    </w:p>
    <w:p>
      <w:pPr>
        <w:pStyle w:val="ListParagraph"/>
        <w:numPr>
          <w:ilvl w:val="0"/>
          <w:numId w:val="2"/>
        </w:numPr>
        <w:spacing w:after="40" w:before="40"/>
      </w:pPr>
      <w:r>
        <w:rPr>
          <w:rFonts w:ascii="Arial" w:cs="Arial" w:eastAsia="Arial" w:hAnsi="Arial"/>
          <w:sz w:val="22"/>
          <w:szCs w:val="22"/>
        </w:rPr>
        <w:t xml:space="preserve">Work in or near a confined space including subfloors and roof voids</w:t>
      </w:r>
    </w:p>
    <w:p>
      <w:pPr>
        <w:pStyle w:val="ListParagraph"/>
        <w:numPr>
          <w:ilvl w:val="0"/>
          <w:numId w:val="2"/>
        </w:numPr>
        <w:spacing w:after="40" w:before="40"/>
      </w:pPr>
      <w:r>
        <w:rPr>
          <w:rFonts w:ascii="Arial" w:cs="Arial" w:eastAsia="Arial" w:hAnsi="Arial"/>
          <w:sz w:val="22"/>
          <w:szCs w:val="22"/>
        </w:rPr>
        <w:t xml:space="preserve">Demolition of any structure or part of a structure, including controlled demolition for water damage</w:t>
      </w:r>
    </w:p>
    <w:p>
      <w:pPr>
        <w:pStyle w:val="ListParagraph"/>
        <w:numPr>
          <w:ilvl w:val="0"/>
          <w:numId w:val="2"/>
        </w:numPr>
        <w:spacing w:after="40" w:before="40"/>
      </w:pPr>
      <w:r>
        <w:rPr>
          <w:rFonts w:ascii="Arial" w:cs="Arial" w:eastAsia="Arial" w:hAnsi="Arial"/>
          <w:sz w:val="22"/>
          <w:szCs w:val="22"/>
        </w:rPr>
        <w:t xml:space="preserve">Work involving asbestos or asbestos-containing materials</w:t>
      </w:r>
    </w:p>
    <w:p>
      <w:pPr>
        <w:pStyle w:val="ListParagraph"/>
        <w:numPr>
          <w:ilvl w:val="0"/>
          <w:numId w:val="2"/>
        </w:numPr>
        <w:spacing w:after="40" w:before="40"/>
      </w:pPr>
      <w:r>
        <w:rPr>
          <w:rFonts w:ascii="Arial" w:cs="Arial" w:eastAsia="Arial" w:hAnsi="Arial"/>
          <w:sz w:val="22"/>
          <w:szCs w:val="22"/>
        </w:rPr>
        <w:t xml:space="preserve">Work near energised electrical installations or services</w:t>
      </w:r>
    </w:p>
    <w:p>
      <w:pPr>
        <w:pStyle w:val="ListParagraph"/>
        <w:numPr>
          <w:ilvl w:val="0"/>
          <w:numId w:val="2"/>
        </w:numPr>
        <w:spacing w:after="40" w:before="40"/>
      </w:pPr>
      <w:r>
        <w:rPr>
          <w:rFonts w:ascii="Arial" w:cs="Arial" w:eastAsia="Arial" w:hAnsi="Arial"/>
          <w:sz w:val="22"/>
          <w:szCs w:val="22"/>
        </w:rPr>
        <w:t xml:space="preserve">Work in an area with a contaminated or flammable atmosphere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r.291: Before any high-risk construction work commences, the person conducting the work must prepare or obtain a SWMS. It must be followed throughout the work and kept accessible on site.</w:t>
      </w:r>
    </w:p>
    <w:p>
      <w:pPr>
        <w:spacing w:after="0" w:before="60"/>
      </w:pPr>
      <w:r>
        <w:t xml:space="preserve"/>
      </w:r>
    </w:p>
    <w:p>
      <w:pPr>
        <w:spacing w:after="60" w:before="160"/>
      </w:pPr>
      <w:r>
        <w:rPr>
          <w:rFonts w:ascii="Arial" w:cs="Arial" w:eastAsia="Arial" w:hAnsi="Arial"/>
          <w:b/>
          <w:bCs/>
          <w:sz w:val="22"/>
          <w:szCs w:val="22"/>
        </w:rPr>
        <w:t xml:space="preserve">What Must Be Included in a SWMS</w:t>
      </w:r>
    </w:p>
    <w:p>
      <w:pPr>
        <w:pStyle w:val="ListParagraph"/>
        <w:numPr>
          <w:ilvl w:val="0"/>
          <w:numId w:val="2"/>
        </w:numPr>
        <w:spacing w:after="40" w:before="40"/>
      </w:pPr>
      <w:r>
        <w:rPr>
          <w:rFonts w:ascii="Arial" w:cs="Arial" w:eastAsia="Arial" w:hAnsi="Arial"/>
          <w:sz w:val="22"/>
          <w:szCs w:val="22"/>
        </w:rPr>
        <w:t xml:space="preserve">Description of the work and the site address</w:t>
      </w:r>
    </w:p>
    <w:p>
      <w:pPr>
        <w:pStyle w:val="ListParagraph"/>
        <w:numPr>
          <w:ilvl w:val="0"/>
          <w:numId w:val="2"/>
        </w:numPr>
        <w:spacing w:after="40" w:before="40"/>
      </w:pPr>
      <w:r>
        <w:rPr>
          <w:rFonts w:ascii="Arial" w:cs="Arial" w:eastAsia="Arial" w:hAnsi="Arial"/>
          <w:sz w:val="22"/>
          <w:szCs w:val="22"/>
        </w:rPr>
        <w:t xml:space="preserve">List of the specific high-risk construction work activities on this job</w:t>
      </w:r>
    </w:p>
    <w:p>
      <w:pPr>
        <w:pStyle w:val="ListParagraph"/>
        <w:numPr>
          <w:ilvl w:val="0"/>
          <w:numId w:val="2"/>
        </w:numPr>
        <w:spacing w:after="40" w:before="40"/>
      </w:pPr>
      <w:r>
        <w:rPr>
          <w:rFonts w:ascii="Arial" w:cs="Arial" w:eastAsia="Arial" w:hAnsi="Arial"/>
          <w:sz w:val="22"/>
          <w:szCs w:val="22"/>
        </w:rPr>
        <w:t xml:space="preserve">Hazards and risks identified for each activity</w:t>
      </w:r>
    </w:p>
    <w:p>
      <w:pPr>
        <w:pStyle w:val="ListParagraph"/>
        <w:numPr>
          <w:ilvl w:val="0"/>
          <w:numId w:val="2"/>
        </w:numPr>
        <w:spacing w:after="40" w:before="40"/>
      </w:pPr>
      <w:r>
        <w:rPr>
          <w:rFonts w:ascii="Arial" w:cs="Arial" w:eastAsia="Arial" w:hAnsi="Arial"/>
          <w:sz w:val="22"/>
          <w:szCs w:val="22"/>
        </w:rPr>
        <w:t xml:space="preserve">Control measures referenced to the Hierarchy of Controls</w:t>
      </w:r>
    </w:p>
    <w:p>
      <w:pPr>
        <w:pStyle w:val="ListParagraph"/>
        <w:numPr>
          <w:ilvl w:val="0"/>
          <w:numId w:val="2"/>
        </w:numPr>
        <w:spacing w:after="40" w:before="40"/>
      </w:pPr>
      <w:r>
        <w:rPr>
          <w:rFonts w:ascii="Arial" w:cs="Arial" w:eastAsia="Arial" w:hAnsi="Arial"/>
          <w:sz w:val="22"/>
          <w:szCs w:val="22"/>
        </w:rPr>
        <w:t xml:space="preserve">How controls will be implemented and monitored on site</w:t>
      </w:r>
    </w:p>
    <w:p>
      <w:pPr>
        <w:pStyle w:val="ListParagraph"/>
        <w:numPr>
          <w:ilvl w:val="0"/>
          <w:numId w:val="2"/>
        </w:numPr>
        <w:spacing w:after="40" w:before="40"/>
      </w:pPr>
      <w:r>
        <w:rPr>
          <w:rFonts w:ascii="Arial" w:cs="Arial" w:eastAsia="Arial" w:hAnsi="Arial"/>
          <w:sz w:val="22"/>
          <w:szCs w:val="22"/>
        </w:rPr>
        <w:t xml:space="preserve">Names and signatures of workers who have read and understood the SWMS</w:t>
      </w:r>
    </w:p>
    <w:p>
      <w:pPr>
        <w:pStyle w:val="ListParagraph"/>
        <w:numPr>
          <w:ilvl w:val="0"/>
          <w:numId w:val="2"/>
        </w:numPr>
        <w:spacing w:after="40" w:before="40"/>
      </w:pPr>
      <w:r>
        <w:rPr>
          <w:rFonts w:ascii="Arial" w:cs="Arial" w:eastAsia="Arial" w:hAnsi="Arial"/>
          <w:sz w:val="22"/>
          <w:szCs w:val="22"/>
        </w:rPr>
        <w:t xml:space="preserve">Date, version number, and review trigger events</w:t>
      </w:r>
    </w:p>
    <w:p>
      <w:pPr>
        <w:spacing w:after="0" w:before="60"/>
      </w:pPr>
      <w:r>
        <w:t xml:space="preserve"/>
      </w:r>
    </w:p>
    <w:p>
      <w:pPr>
        <w:spacing w:after="60" w:before="160"/>
      </w:pPr>
      <w:r>
        <w:rPr>
          <w:rFonts w:ascii="Arial" w:cs="Arial" w:eastAsia="Arial" w:hAnsi="Arial"/>
          <w:b/>
          <w:bCs/>
          <w:sz w:val="22"/>
          <w:szCs w:val="22"/>
        </w:rPr>
        <w:t xml:space="preserve">Applying the Hierarchy of Controls in a SWMS</w:t>
      </w:r>
    </w:p>
    <w:p>
      <w:pPr>
        <w:pStyle w:val="ListParagraph"/>
        <w:numPr>
          <w:ilvl w:val="0"/>
          <w:numId w:val="2"/>
        </w:numPr>
        <w:spacing w:after="40" w:before="40"/>
      </w:pPr>
      <w:r>
        <w:rPr>
          <w:rFonts w:ascii="Arial" w:cs="Arial" w:eastAsia="Arial" w:hAnsi="Arial"/>
          <w:sz w:val="22"/>
          <w:szCs w:val="22"/>
        </w:rPr>
        <w:t xml:space="preserve">Elimination: can the hazardous task be removed from the scope entirely?</w:t>
      </w:r>
    </w:p>
    <w:p>
      <w:pPr>
        <w:pStyle w:val="ListParagraph"/>
        <w:numPr>
          <w:ilvl w:val="0"/>
          <w:numId w:val="2"/>
        </w:numPr>
        <w:spacing w:after="40" w:before="40"/>
      </w:pPr>
      <w:r>
        <w:rPr>
          <w:rFonts w:ascii="Arial" w:cs="Arial" w:eastAsia="Arial" w:hAnsi="Arial"/>
          <w:sz w:val="22"/>
          <w:szCs w:val="22"/>
        </w:rPr>
        <w:t xml:space="preserve">Substitution: can a safer method, material, or chemical achieve the same result?</w:t>
      </w:r>
    </w:p>
    <w:p>
      <w:pPr>
        <w:pStyle w:val="ListParagraph"/>
        <w:numPr>
          <w:ilvl w:val="0"/>
          <w:numId w:val="2"/>
        </w:numPr>
        <w:spacing w:after="40" w:before="40"/>
      </w:pPr>
      <w:r>
        <w:rPr>
          <w:rFonts w:ascii="Arial" w:cs="Arial" w:eastAsia="Arial" w:hAnsi="Arial"/>
          <w:sz w:val="22"/>
          <w:szCs w:val="22"/>
        </w:rPr>
        <w:t xml:space="preserve">Engineering controls: guarding, containment, ventilation — do not rely on human behaviour</w:t>
      </w:r>
    </w:p>
    <w:p>
      <w:pPr>
        <w:pStyle w:val="ListParagraph"/>
        <w:numPr>
          <w:ilvl w:val="0"/>
          <w:numId w:val="2"/>
        </w:numPr>
        <w:spacing w:after="40" w:before="40"/>
      </w:pPr>
      <w:r>
        <w:rPr>
          <w:rFonts w:ascii="Arial" w:cs="Arial" w:eastAsia="Arial" w:hAnsi="Arial"/>
          <w:sz w:val="22"/>
          <w:szCs w:val="22"/>
        </w:rPr>
        <w:t xml:space="preserve">Administrative controls: SOPs, permits, supervision, scheduling — rely on behaviour; require active management</w:t>
      </w:r>
    </w:p>
    <w:p>
      <w:pPr>
        <w:pStyle w:val="ListParagraph"/>
        <w:numPr>
          <w:ilvl w:val="0"/>
          <w:numId w:val="2"/>
        </w:numPr>
        <w:spacing w:after="40" w:before="40"/>
      </w:pPr>
      <w:r>
        <w:rPr>
          <w:rFonts w:ascii="Arial" w:cs="Arial" w:eastAsia="Arial" w:hAnsi="Arial"/>
          <w:sz w:val="22"/>
          <w:szCs w:val="22"/>
        </w:rPr>
        <w:t xml:space="preserve">PPE: last resort and supplementary — never the primary or sole control for a significant risk</w:t>
      </w:r>
    </w:p>
    <w:p>
      <w:pPr>
        <w:spacing w:after="0" w:before="60"/>
      </w:pPr>
      <w:r>
        <w:t xml:space="preserve"/>
      </w:r>
    </w:p>
    <w:p>
      <w:pPr>
        <w:spacing w:after="60" w:before="160"/>
      </w:pPr>
      <w:r>
        <w:rPr>
          <w:rFonts w:ascii="Arial" w:cs="Arial" w:eastAsia="Arial" w:hAnsi="Arial"/>
          <w:b/>
          <w:bCs/>
          <w:sz w:val="22"/>
          <w:szCs w:val="22"/>
        </w:rPr>
        <w:t xml:space="preserve">Common SWMS Failures</w:t>
      </w:r>
    </w:p>
    <w:p>
      <w:pPr>
        <w:pStyle w:val="ListParagraph"/>
        <w:numPr>
          <w:ilvl w:val="0"/>
          <w:numId w:val="2"/>
        </w:numPr>
        <w:spacing w:after="40" w:before="40"/>
      </w:pPr>
      <w:r>
        <w:rPr>
          <w:rFonts w:ascii="Arial" w:cs="Arial" w:eastAsia="Arial" w:hAnsi="Arial"/>
          <w:sz w:val="22"/>
          <w:szCs w:val="22"/>
        </w:rPr>
        <w:t xml:space="preserve">Generic SWMS not specific to the actual site or task — courts and inspectors identify these immediately</w:t>
      </w:r>
    </w:p>
    <w:p>
      <w:pPr>
        <w:pStyle w:val="ListParagraph"/>
        <w:numPr>
          <w:ilvl w:val="0"/>
          <w:numId w:val="2"/>
        </w:numPr>
        <w:spacing w:after="40" w:before="40"/>
      </w:pPr>
      <w:r>
        <w:rPr>
          <w:rFonts w:ascii="Arial" w:cs="Arial" w:eastAsia="Arial" w:hAnsi="Arial"/>
          <w:sz w:val="22"/>
          <w:szCs w:val="22"/>
        </w:rPr>
        <w:t xml:space="preserve">Workers signed but were not consulted in preparation — consultation is mandatory under WHS Act s.47</w:t>
      </w:r>
    </w:p>
    <w:p>
      <w:pPr>
        <w:pStyle w:val="ListParagraph"/>
        <w:numPr>
          <w:ilvl w:val="0"/>
          <w:numId w:val="2"/>
        </w:numPr>
        <w:spacing w:after="40" w:before="40"/>
      </w:pPr>
      <w:r>
        <w:rPr>
          <w:rFonts w:ascii="Arial" w:cs="Arial" w:eastAsia="Arial" w:hAnsi="Arial"/>
          <w:sz w:val="22"/>
          <w:szCs w:val="22"/>
        </w:rPr>
        <w:t xml:space="preserve">SWMS prepared for paperwork compliance only — not actually followed during the work</w:t>
      </w:r>
    </w:p>
    <w:p>
      <w:pPr>
        <w:pStyle w:val="ListParagraph"/>
        <w:numPr>
          <w:ilvl w:val="0"/>
          <w:numId w:val="2"/>
        </w:numPr>
        <w:spacing w:after="40" w:before="40"/>
      </w:pPr>
      <w:r>
        <w:rPr>
          <w:rFonts w:ascii="Arial" w:cs="Arial" w:eastAsia="Arial" w:hAnsi="Arial"/>
          <w:sz w:val="22"/>
          <w:szCs w:val="22"/>
        </w:rPr>
        <w:t xml:space="preserve">Not reviewed after a change in conditions, personnel, or scope of work</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Walk the site with the SWMS before work starts. Any hazard visible on site that is not addressed must be added before work begins. Never accept a pre-prepared SWMS without verifying it matches actual site conditions.</w:t>
      </w:r>
    </w:p>
    <w:p>
      <w:r>
        <w:br w:type="page"/>
      </w:r>
    </w:p>
    <w:p>
      <w:pPr>
        <w:pStyle w:val="Heading1"/>
        <w:spacing w:after="120" w:before="400"/>
      </w:pPr>
      <w:r>
        <w:rPr>
          <w:rFonts w:ascii="Arial" w:cs="Arial" w:eastAsia="Arial" w:hAnsi="Arial"/>
          <w:b/>
          <w:bCs/>
          <w:sz w:val="28"/>
          <w:szCs w:val="28"/>
        </w:rPr>
        <w:t xml:space="preserve">Course 40: Job Safety and Environmental Analysis (JSEA) Course</w:t>
      </w:r>
    </w:p>
    <w:p>
      <w:pPr>
        <w:spacing w:after="60" w:before="60"/>
      </w:pPr>
      <w:r>
        <w:rPr>
          <w:rFonts w:ascii="Arial" w:cs="Arial" w:eastAsia="Arial" w:hAnsi="Arial"/>
          <w:sz w:val="22"/>
          <w:szCs w:val="22"/>
        </w:rPr>
        <w:t xml:space="preserve">Price: AUD $20  |  Status: Published  |  Modules: 2</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A JSEA is a dynamic, task-specific hazard identification and control tool completed by the crew on site before each task. Unlike a SWMS, a JSEA is adapted to actual, current site conditions. This course covers how to complete a JSEA correctly, how it differs from a SWMS, and how to embed it as a daily practice in restoration operations.</w:t>
      </w:r>
    </w:p>
    <w:p>
      <w:pPr>
        <w:spacing w:after="0" w:before="60"/>
      </w:pPr>
      <w:r>
        <w:t xml:space="preserve"/>
      </w:r>
    </w:p>
    <w:p>
      <w:pPr>
        <w:spacing w:after="80" w:before="200"/>
      </w:pPr>
      <w:r>
        <w:rPr>
          <w:rFonts w:ascii="Arial" w:cs="Arial" w:eastAsia="Arial" w:hAnsi="Arial"/>
          <w:b/>
          <w:bCs/>
          <w:sz w:val="23"/>
          <w:szCs w:val="23"/>
        </w:rPr>
        <w:t xml:space="preserve">Module 1: Job Safety and Environmental Analysis (JSEA)</w:t>
      </w:r>
    </w:p>
    <w:p>
      <w:pPr>
        <w:spacing w:after="60" w:before="60"/>
      </w:pPr>
      <w:r>
        <w:rPr>
          <w:rFonts w:ascii="Arial" w:cs="Arial" w:eastAsia="Arial" w:hAnsi="Arial"/>
          <w:sz w:val="22"/>
          <w:szCs w:val="22"/>
        </w:rPr>
        <w:t xml:space="preserve">The JSEA captures the specific hazards of the work being done today, at this site, with this crew. It is completed before every task that may present a risk — not just once at project start.</w:t>
      </w:r>
    </w:p>
    <w:p>
      <w:pPr>
        <w:spacing w:after="0" w:before="60"/>
      </w:pPr>
      <w:r>
        <w:t xml:space="preserve"/>
      </w:r>
    </w:p>
    <w:p>
      <w:pPr>
        <w:spacing w:after="60" w:before="160"/>
      </w:pPr>
      <w:r>
        <w:rPr>
          <w:rFonts w:ascii="Arial" w:cs="Arial" w:eastAsia="Arial" w:hAnsi="Arial"/>
          <w:b/>
          <w:bCs/>
          <w:sz w:val="22"/>
          <w:szCs w:val="22"/>
        </w:rPr>
        <w:t xml:space="preserve">JSEA vs SWMS</w:t>
      </w:r>
    </w:p>
    <w:p>
      <w:pPr>
        <w:pStyle w:val="ListParagraph"/>
        <w:numPr>
          <w:ilvl w:val="0"/>
          <w:numId w:val="2"/>
        </w:numPr>
        <w:spacing w:after="40" w:before="40"/>
      </w:pPr>
      <w:r>
        <w:rPr>
          <w:rFonts w:ascii="Arial" w:cs="Arial" w:eastAsia="Arial" w:hAnsi="Arial"/>
          <w:sz w:val="22"/>
          <w:szCs w:val="22"/>
        </w:rPr>
        <w:t xml:space="preserve">SWMS: legislatively required for high-risk construction work; prepared before work commences; formally reviewed and signed</w:t>
      </w:r>
    </w:p>
    <w:p>
      <w:pPr>
        <w:pStyle w:val="ListParagraph"/>
        <w:numPr>
          <w:ilvl w:val="0"/>
          <w:numId w:val="2"/>
        </w:numPr>
        <w:spacing w:after="40" w:before="40"/>
      </w:pPr>
      <w:r>
        <w:rPr>
          <w:rFonts w:ascii="Arial" w:cs="Arial" w:eastAsia="Arial" w:hAnsi="Arial"/>
          <w:sz w:val="22"/>
          <w:szCs w:val="22"/>
        </w:rPr>
        <w:t xml:space="preserve">JSEA: proactive operational tool; completed daily or per task; team-led and site-specific</w:t>
      </w:r>
    </w:p>
    <w:p>
      <w:pPr>
        <w:pStyle w:val="ListParagraph"/>
        <w:numPr>
          <w:ilvl w:val="0"/>
          <w:numId w:val="2"/>
        </w:numPr>
        <w:spacing w:after="40" w:before="40"/>
      </w:pPr>
      <w:r>
        <w:rPr>
          <w:rFonts w:ascii="Arial" w:cs="Arial" w:eastAsia="Arial" w:hAnsi="Arial"/>
          <w:sz w:val="22"/>
          <w:szCs w:val="22"/>
        </w:rPr>
        <w:t xml:space="preserve">Both can be required on the same job — they complement, not replace, each other</w:t>
      </w:r>
    </w:p>
    <w:p>
      <w:pPr>
        <w:spacing w:after="0" w:before="60"/>
      </w:pPr>
      <w:r>
        <w:t xml:space="preserve"/>
      </w:r>
    </w:p>
    <w:p>
      <w:pPr>
        <w:spacing w:after="60" w:before="160"/>
      </w:pPr>
      <w:r>
        <w:rPr>
          <w:rFonts w:ascii="Arial" w:cs="Arial" w:eastAsia="Arial" w:hAnsi="Arial"/>
          <w:b/>
          <w:bCs/>
          <w:sz w:val="22"/>
          <w:szCs w:val="22"/>
        </w:rPr>
        <w:t xml:space="preserve">The JSEA Process - Step by Step</w:t>
      </w:r>
    </w:p>
    <w:p>
      <w:pPr>
        <w:pStyle w:val="ListParagraph"/>
        <w:numPr>
          <w:ilvl w:val="0"/>
          <w:numId w:val="2"/>
        </w:numPr>
        <w:spacing w:after="40" w:before="40"/>
      </w:pPr>
      <w:r>
        <w:rPr>
          <w:rFonts w:ascii="Arial" w:cs="Arial" w:eastAsia="Arial" w:hAnsi="Arial"/>
          <w:sz w:val="22"/>
          <w:szCs w:val="22"/>
        </w:rPr>
        <w:t xml:space="preserve">Step 1 - Job description: name the specific task, location, and timeframe</w:t>
      </w:r>
    </w:p>
    <w:p>
      <w:pPr>
        <w:pStyle w:val="ListParagraph"/>
        <w:numPr>
          <w:ilvl w:val="0"/>
          <w:numId w:val="2"/>
        </w:numPr>
        <w:spacing w:after="40" w:before="40"/>
      </w:pPr>
      <w:r>
        <w:rPr>
          <w:rFonts w:ascii="Arial" w:cs="Arial" w:eastAsia="Arial" w:hAnsi="Arial"/>
          <w:sz w:val="22"/>
          <w:szCs w:val="22"/>
        </w:rPr>
        <w:t xml:space="preserve">Step 2 - Break the task into steps: list each discrete activity in sequence</w:t>
      </w:r>
    </w:p>
    <w:p>
      <w:pPr>
        <w:pStyle w:val="ListParagraph"/>
        <w:numPr>
          <w:ilvl w:val="0"/>
          <w:numId w:val="2"/>
        </w:numPr>
        <w:spacing w:after="40" w:before="40"/>
      </w:pPr>
      <w:r>
        <w:rPr>
          <w:rFonts w:ascii="Arial" w:cs="Arial" w:eastAsia="Arial" w:hAnsi="Arial"/>
          <w:sz w:val="22"/>
          <w:szCs w:val="22"/>
        </w:rPr>
        <w:t xml:space="preserve">Step 3 - Identify hazards for each step: physical, chemical, biological, ergonomic, environmental</w:t>
      </w:r>
    </w:p>
    <w:p>
      <w:pPr>
        <w:pStyle w:val="ListParagraph"/>
        <w:numPr>
          <w:ilvl w:val="0"/>
          <w:numId w:val="2"/>
        </w:numPr>
        <w:spacing w:after="40" w:before="40"/>
      </w:pPr>
      <w:r>
        <w:rPr>
          <w:rFonts w:ascii="Arial" w:cs="Arial" w:eastAsia="Arial" w:hAnsi="Arial"/>
          <w:sz w:val="22"/>
          <w:szCs w:val="22"/>
        </w:rPr>
        <w:t xml:space="preserve">Step 4 - Assess the risk: use a risk matrix to score likelihood multiplied by consequence</w:t>
      </w:r>
    </w:p>
    <w:p>
      <w:pPr>
        <w:pStyle w:val="ListParagraph"/>
        <w:numPr>
          <w:ilvl w:val="0"/>
          <w:numId w:val="2"/>
        </w:numPr>
        <w:spacing w:after="40" w:before="40"/>
      </w:pPr>
      <w:r>
        <w:rPr>
          <w:rFonts w:ascii="Arial" w:cs="Arial" w:eastAsia="Arial" w:hAnsi="Arial"/>
          <w:sz w:val="22"/>
          <w:szCs w:val="22"/>
        </w:rPr>
        <w:t xml:space="preserve">Step 5 - Apply controls: use the Hierarchy from elimination down to PPE</w:t>
      </w:r>
    </w:p>
    <w:p>
      <w:pPr>
        <w:pStyle w:val="ListParagraph"/>
        <w:numPr>
          <w:ilvl w:val="0"/>
          <w:numId w:val="2"/>
        </w:numPr>
        <w:spacing w:after="40" w:before="40"/>
      </w:pPr>
      <w:r>
        <w:rPr>
          <w:rFonts w:ascii="Arial" w:cs="Arial" w:eastAsia="Arial" w:hAnsi="Arial"/>
          <w:sz w:val="22"/>
          <w:szCs w:val="22"/>
        </w:rPr>
        <w:t xml:space="preserve">Step 6 - Assign responsibility: who is responsible for implementing each control</w:t>
      </w:r>
    </w:p>
    <w:p>
      <w:pPr>
        <w:pStyle w:val="ListParagraph"/>
        <w:numPr>
          <w:ilvl w:val="0"/>
          <w:numId w:val="2"/>
        </w:numPr>
        <w:spacing w:after="40" w:before="40"/>
      </w:pPr>
      <w:r>
        <w:rPr>
          <w:rFonts w:ascii="Arial" w:cs="Arial" w:eastAsia="Arial" w:hAnsi="Arial"/>
          <w:sz w:val="22"/>
          <w:szCs w:val="22"/>
        </w:rPr>
        <w:t xml:space="preserve">Step 7 - Sign on: all workers performing the task sign the JSEA before work starts</w:t>
      </w:r>
    </w:p>
    <w:p>
      <w:pPr>
        <w:pStyle w:val="ListParagraph"/>
        <w:numPr>
          <w:ilvl w:val="0"/>
          <w:numId w:val="2"/>
        </w:numPr>
        <w:spacing w:after="40" w:before="40"/>
      </w:pPr>
      <w:r>
        <w:rPr>
          <w:rFonts w:ascii="Arial" w:cs="Arial" w:eastAsia="Arial" w:hAnsi="Arial"/>
          <w:sz w:val="22"/>
          <w:szCs w:val="22"/>
        </w:rPr>
        <w:t xml:space="preserve">Step 8 - Review: if conditions change, call a toolbox talk and update the JSEA before continuing</w:t>
      </w:r>
    </w:p>
    <w:p>
      <w:pPr>
        <w:spacing w:after="0" w:before="60"/>
      </w:pPr>
      <w:r>
        <w:t xml:space="preserve"/>
      </w:r>
    </w:p>
    <w:p>
      <w:pPr>
        <w:spacing w:after="60" w:before="160"/>
      </w:pPr>
      <w:r>
        <w:rPr>
          <w:rFonts w:ascii="Arial" w:cs="Arial" w:eastAsia="Arial" w:hAnsi="Arial"/>
          <w:b/>
          <w:bCs/>
          <w:sz w:val="22"/>
          <w:szCs w:val="22"/>
        </w:rPr>
        <w:t xml:space="preserve">Practical JSEA Examples for Restoration</w:t>
      </w:r>
    </w:p>
    <w:p>
      <w:pPr>
        <w:pStyle w:val="ListParagraph"/>
        <w:numPr>
          <w:ilvl w:val="0"/>
          <w:numId w:val="2"/>
        </w:numPr>
        <w:spacing w:after="40" w:before="40"/>
      </w:pPr>
      <w:r>
        <w:rPr>
          <w:rFonts w:ascii="Arial" w:cs="Arial" w:eastAsia="Arial" w:hAnsi="Arial"/>
          <w:sz w:val="22"/>
          <w:szCs w:val="22"/>
        </w:rPr>
        <w:t xml:space="preserve">Wet carpet extraction in a Category 2 loss: slip risk, biological contact, electrical near water</w:t>
      </w:r>
    </w:p>
    <w:p>
      <w:pPr>
        <w:pStyle w:val="ListParagraph"/>
        <w:numPr>
          <w:ilvl w:val="0"/>
          <w:numId w:val="2"/>
        </w:numPr>
        <w:spacing w:after="40" w:before="40"/>
      </w:pPr>
      <w:r>
        <w:rPr>
          <w:rFonts w:ascii="Arial" w:cs="Arial" w:eastAsia="Arial" w:hAnsi="Arial"/>
          <w:sz w:val="22"/>
          <w:szCs w:val="22"/>
        </w:rPr>
        <w:t xml:space="preserve">Post-flood wall demolition: suspected ACM, mould spores, nail and cut injuries, dust inhalation</w:t>
      </w:r>
    </w:p>
    <w:p>
      <w:pPr>
        <w:pStyle w:val="ListParagraph"/>
        <w:numPr>
          <w:ilvl w:val="0"/>
          <w:numId w:val="2"/>
        </w:numPr>
        <w:spacing w:after="40" w:before="40"/>
      </w:pPr>
      <w:r>
        <w:rPr>
          <w:rFonts w:ascii="Arial" w:cs="Arial" w:eastAsia="Arial" w:hAnsi="Arial"/>
          <w:sz w:val="22"/>
          <w:szCs w:val="22"/>
        </w:rPr>
        <w:t xml:space="preserve">Subfloor inspection: confined space, poor lighting, biological hazards from rodents, low clearance physical injury</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s.47: Workers must be consulted on changes affecting WHS. The JSEA is the most practical tool for meeting this daily consultation requirement. It must be a genuine discussion — not a pre-filled form handed to workers for signature only.</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Keep all completed JSEAs in the project file. In a SafeWork investigation, JSEAs demonstrate an active ongoing safety culture — not just documentation filed at project start.</w:t>
      </w:r>
    </w:p>
    <w:p>
      <w:pPr>
        <w:spacing w:after="0" w:before="60"/>
      </w:pPr>
      <w:r>
        <w:t xml:space="preserve"/>
      </w:r>
    </w:p>
    <w:p>
      <w:pPr>
        <w:spacing w:after="80" w:before="200"/>
      </w:pPr>
      <w:r>
        <w:rPr>
          <w:rFonts w:ascii="Arial" w:cs="Arial" w:eastAsia="Arial" w:hAnsi="Arial"/>
          <w:b/>
          <w:bCs/>
          <w:sz w:val="23"/>
          <w:szCs w:val="23"/>
        </w:rPr>
        <w:t xml:space="preserve">Module 2: Professional Carpet Cleaners and Restorers - Podcast Integration</w:t>
      </w:r>
    </w:p>
    <w:p>
      <w:pPr>
        <w:spacing w:after="60" w:before="60"/>
      </w:pPr>
      <w:r>
        <w:rPr>
          <w:rFonts w:ascii="Arial" w:cs="Arial" w:eastAsia="Arial" w:hAnsi="Arial"/>
          <w:sz w:val="22"/>
          <w:szCs w:val="22"/>
        </w:rPr>
        <w:t xml:space="preserve">This module provides industry context through curated podcast content from Australian restoration and cleaning professionals, covering real-world JSEA challenges including: working in multi-tenancy buildings, managing subcontractor safety obligations, and adapting JSEAs for emergency response jobs where site conditions change rapidly.</w:t>
      </w:r>
    </w:p>
    <w:p>
      <w:pPr>
        <w:pStyle w:val="ListParagraph"/>
        <w:numPr>
          <w:ilvl w:val="0"/>
          <w:numId w:val="2"/>
        </w:numPr>
        <w:spacing w:after="40" w:before="40"/>
      </w:pPr>
      <w:r>
        <w:rPr>
          <w:rFonts w:ascii="Arial" w:cs="Arial" w:eastAsia="Arial" w:hAnsi="Arial"/>
          <w:sz w:val="22"/>
          <w:szCs w:val="22"/>
        </w:rPr>
        <w:t xml:space="preserve">Key takeaway: a JSEA completed under time pressure is better than no JSEA — pre-planned task-specific templates make field completion faster and more consistent</w:t>
      </w:r>
    </w:p>
    <w:p>
      <w:pPr>
        <w:pStyle w:val="ListParagraph"/>
        <w:numPr>
          <w:ilvl w:val="0"/>
          <w:numId w:val="2"/>
        </w:numPr>
        <w:spacing w:after="40" w:before="40"/>
      </w:pPr>
      <w:r>
        <w:rPr>
          <w:rFonts w:ascii="Arial" w:cs="Arial" w:eastAsia="Arial" w:hAnsi="Arial"/>
          <w:sz w:val="22"/>
          <w:szCs w:val="22"/>
        </w:rPr>
        <w:t xml:space="preserve">Build a JSEA template library for your 10 most common job types — technicians complete the site-specific details rather than starting from a blank page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Use your JSEA template library during new-starter inductions. Completing a practice JSEA is one of the most effective ways to ensure new workers understand the hazards of their role before they encounter them on site.</w:t>
      </w:r>
    </w:p>
    <w:p>
      <w:r>
        <w:br w:type="page"/>
      </w:r>
    </w:p>
    <w:p>
      <w:pPr>
        <w:pStyle w:val="Heading1"/>
        <w:spacing w:after="120" w:before="400"/>
      </w:pPr>
      <w:r>
        <w:rPr>
          <w:rFonts w:ascii="Arial" w:cs="Arial" w:eastAsia="Arial" w:hAnsi="Arial"/>
          <w:b/>
          <w:bCs/>
          <w:sz w:val="28"/>
          <w:szCs w:val="28"/>
        </w:rPr>
        <w:t xml:space="preserve">Course 32: Risk Assessment Course</w:t>
      </w:r>
    </w:p>
    <w:p>
      <w:pPr>
        <w:spacing w:after="60" w:before="60"/>
      </w:pPr>
      <w:r>
        <w:rPr>
          <w:rFonts w:ascii="Arial" w:cs="Arial" w:eastAsia="Arial" w:hAnsi="Arial"/>
          <w:sz w:val="22"/>
          <w:szCs w:val="22"/>
        </w:rPr>
        <w:t xml:space="preserve">Price: AUD $99  |  Status: Published  |  Modules: 8</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Risk assessment is the foundation of every legally compliant WHS management system. This course provides a complete, practical framework covering the WHS legislative structure, hazard and risk identification, the Hierarchy of Controls, the risk matrix, JSEAs, SWMSs, and mandatory worker consultation. Every module is grounded in real restoration and remediation scenarios.</w:t>
      </w:r>
    </w:p>
    <w:p>
      <w:pPr>
        <w:spacing w:after="0" w:before="60"/>
      </w:pPr>
      <w:r>
        <w:t xml:space="preserve"/>
      </w:r>
    </w:p>
    <w:p>
      <w:pPr>
        <w:spacing w:after="80" w:before="200"/>
      </w:pPr>
      <w:r>
        <w:rPr>
          <w:rFonts w:ascii="Arial" w:cs="Arial" w:eastAsia="Arial" w:hAnsi="Arial"/>
          <w:b/>
          <w:bCs/>
          <w:sz w:val="23"/>
          <w:szCs w:val="23"/>
        </w:rPr>
        <w:t xml:space="preserve">Module 1: Introduction to WHS</w:t>
      </w:r>
    </w:p>
    <w:p>
      <w:pPr>
        <w:spacing w:after="60" w:before="60"/>
      </w:pPr>
      <w:r>
        <w:rPr>
          <w:rFonts w:ascii="Arial" w:cs="Arial" w:eastAsia="Arial" w:hAnsi="Arial"/>
          <w:sz w:val="22"/>
          <w:szCs w:val="22"/>
        </w:rPr>
        <w:t xml:space="preserve">The Work Health and Safety Act 2011 (Model) establishes the primary duty of care for all PCBUs.</w:t>
      </w:r>
    </w:p>
    <w:p>
      <w:pPr>
        <w:pStyle w:val="ListParagraph"/>
        <w:numPr>
          <w:ilvl w:val="0"/>
          <w:numId w:val="2"/>
        </w:numPr>
        <w:spacing w:after="40" w:before="40"/>
      </w:pPr>
      <w:r>
        <w:rPr>
          <w:rFonts w:ascii="Arial" w:cs="Arial" w:eastAsia="Arial" w:hAnsi="Arial"/>
          <w:sz w:val="22"/>
          <w:szCs w:val="22"/>
        </w:rPr>
        <w:t xml:space="preserve">Officers (directors, managers) have a due diligence duty — they must proactively verify WHS systems are working, not just assume they are</w:t>
      </w:r>
    </w:p>
    <w:p>
      <w:pPr>
        <w:pStyle w:val="ListParagraph"/>
        <w:numPr>
          <w:ilvl w:val="0"/>
          <w:numId w:val="2"/>
        </w:numPr>
        <w:spacing w:after="40" w:before="40"/>
      </w:pPr>
      <w:r>
        <w:rPr>
          <w:rFonts w:ascii="Arial" w:cs="Arial" w:eastAsia="Arial" w:hAnsi="Arial"/>
          <w:sz w:val="22"/>
          <w:szCs w:val="22"/>
        </w:rPr>
        <w:t xml:space="preserve">Workers have a duty to take reasonable care for their own health and safety and not adversely affect others on site</w:t>
      </w:r>
    </w:p>
    <w:p>
      <w:pPr>
        <w:pStyle w:val="ListParagraph"/>
        <w:numPr>
          <w:ilvl w:val="0"/>
          <w:numId w:val="2"/>
        </w:numPr>
        <w:spacing w:after="40" w:before="40"/>
      </w:pPr>
      <w:r>
        <w:rPr>
          <w:rFonts w:ascii="Arial" w:cs="Arial" w:eastAsia="Arial" w:hAnsi="Arial"/>
          <w:sz w:val="22"/>
          <w:szCs w:val="22"/>
        </w:rPr>
        <w:t xml:space="preserve">WHS laws apply to all workplaces in Australia — including private homes when used as a job site by a restoration contractor</w:t>
      </w:r>
    </w:p>
    <w:p>
      <w:pPr>
        <w:pStyle w:val="ListParagraph"/>
        <w:numPr>
          <w:ilvl w:val="0"/>
          <w:numId w:val="2"/>
        </w:numPr>
        <w:spacing w:after="40" w:before="40"/>
      </w:pPr>
      <w:r>
        <w:rPr>
          <w:rFonts w:ascii="Arial" w:cs="Arial" w:eastAsia="Arial" w:hAnsi="Arial"/>
          <w:sz w:val="22"/>
          <w:szCs w:val="22"/>
        </w:rPr>
        <w:t xml:space="preserve">Category 1 (reckless) offences: up to $3.3 million for corporations and up to $300,000 or 5 years imprisonment for individuals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The WHS Act requires risk to be reduced so far as is reasonably practicable (SFAIRP) — not to zero. This balance of risk, cost, and likelihood of harm must be actively assessed and documented for every job.</w:t>
      </w:r>
    </w:p>
    <w:p>
      <w:pPr>
        <w:spacing w:after="0" w:before="60"/>
      </w:pPr>
      <w:r>
        <w:t xml:space="preserve"/>
      </w:r>
    </w:p>
    <w:p>
      <w:pPr>
        <w:spacing w:after="80" w:before="200"/>
      </w:pPr>
      <w:r>
        <w:rPr>
          <w:rFonts w:ascii="Arial" w:cs="Arial" w:eastAsia="Arial" w:hAnsi="Arial"/>
          <w:b/>
          <w:bCs/>
          <w:sz w:val="23"/>
          <w:szCs w:val="23"/>
        </w:rPr>
        <w:t xml:space="preserve">Module 2: Hazards and Risks</w:t>
      </w:r>
    </w:p>
    <w:p>
      <w:pPr>
        <w:pStyle w:val="ListParagraph"/>
        <w:numPr>
          <w:ilvl w:val="0"/>
          <w:numId w:val="2"/>
        </w:numPr>
        <w:spacing w:after="40" w:before="40"/>
      </w:pPr>
      <w:r>
        <w:rPr>
          <w:rFonts w:ascii="Arial" w:cs="Arial" w:eastAsia="Arial" w:hAnsi="Arial"/>
          <w:sz w:val="22"/>
          <w:szCs w:val="22"/>
        </w:rPr>
        <w:t xml:space="preserve">Hazard: anything with the potential to cause harm — a wet floor, a chemical, asbestos, a height, a faulty power tool</w:t>
      </w:r>
    </w:p>
    <w:p>
      <w:pPr>
        <w:pStyle w:val="ListParagraph"/>
        <w:numPr>
          <w:ilvl w:val="0"/>
          <w:numId w:val="2"/>
        </w:numPr>
        <w:spacing w:after="40" w:before="40"/>
      </w:pPr>
      <w:r>
        <w:rPr>
          <w:rFonts w:ascii="Arial" w:cs="Arial" w:eastAsia="Arial" w:hAnsi="Arial"/>
          <w:sz w:val="22"/>
          <w:szCs w:val="22"/>
        </w:rPr>
        <w:t xml:space="preserve">Risk: the likelihood and consequence of harm occurring from a specific hazard in specific conditions</w:t>
      </w:r>
    </w:p>
    <w:p>
      <w:pPr>
        <w:pStyle w:val="ListParagraph"/>
        <w:numPr>
          <w:ilvl w:val="0"/>
          <w:numId w:val="2"/>
        </w:numPr>
        <w:spacing w:after="40" w:before="40"/>
      </w:pPr>
      <w:r>
        <w:rPr>
          <w:rFonts w:ascii="Arial" w:cs="Arial" w:eastAsia="Arial" w:hAnsi="Arial"/>
          <w:sz w:val="22"/>
          <w:szCs w:val="22"/>
        </w:rPr>
        <w:t xml:space="preserve">Controlling hazards reduces risks — understanding this distinction drives effective risk management</w:t>
      </w:r>
    </w:p>
    <w:p>
      <w:pPr>
        <w:pStyle w:val="ListParagraph"/>
        <w:numPr>
          <w:ilvl w:val="0"/>
          <w:numId w:val="2"/>
        </w:numPr>
        <w:spacing w:after="40" w:before="40"/>
      </w:pPr>
      <w:r>
        <w:rPr>
          <w:rFonts w:ascii="Arial" w:cs="Arial" w:eastAsia="Arial" w:hAnsi="Arial"/>
          <w:sz w:val="22"/>
          <w:szCs w:val="22"/>
        </w:rPr>
        <w:t xml:space="preserve">Restoration hazard categories: biological (mould, sewage), chemical (cleaning agents, VOCs, asbestos), physical (noise, heat, height), ergonomic (lifting, repetitive strain), psychosocial (trauma exposure, client conflict)</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Walk every job site before work begins. Identify hazards by category. Do not rely on memory or past experience of similar jobs — two water damage losses in the same street can have completely different hazard profiles.</w:t>
      </w:r>
    </w:p>
    <w:p>
      <w:pPr>
        <w:spacing w:after="0" w:before="60"/>
      </w:pPr>
      <w:r>
        <w:t xml:space="preserve"/>
      </w:r>
    </w:p>
    <w:p>
      <w:pPr>
        <w:spacing w:after="80" w:before="200"/>
      </w:pPr>
      <w:r>
        <w:rPr>
          <w:rFonts w:ascii="Arial" w:cs="Arial" w:eastAsia="Arial" w:hAnsi="Arial"/>
          <w:b/>
          <w:bCs/>
          <w:sz w:val="23"/>
          <w:szCs w:val="23"/>
        </w:rPr>
        <w:t xml:space="preserve">Module 3: Hazard Identification</w:t>
      </w:r>
    </w:p>
    <w:p>
      <w:pPr>
        <w:pStyle w:val="ListParagraph"/>
        <w:numPr>
          <w:ilvl w:val="0"/>
          <w:numId w:val="2"/>
        </w:numPr>
        <w:spacing w:after="40" w:before="40"/>
      </w:pPr>
      <w:r>
        <w:rPr>
          <w:rFonts w:ascii="Arial" w:cs="Arial" w:eastAsia="Arial" w:hAnsi="Arial"/>
          <w:sz w:val="22"/>
          <w:szCs w:val="22"/>
        </w:rPr>
        <w:t xml:space="preserve">Formal identification methods: site inspection checklist, incident and near-miss review, consultation with experienced workers</w:t>
      </w:r>
    </w:p>
    <w:p>
      <w:pPr>
        <w:pStyle w:val="ListParagraph"/>
        <w:numPr>
          <w:ilvl w:val="0"/>
          <w:numId w:val="2"/>
        </w:numPr>
        <w:spacing w:after="40" w:before="40"/>
      </w:pPr>
      <w:r>
        <w:rPr>
          <w:rFonts w:ascii="Arial" w:cs="Arial" w:eastAsia="Arial" w:hAnsi="Arial"/>
          <w:sz w:val="22"/>
          <w:szCs w:val="22"/>
        </w:rPr>
        <w:t xml:space="preserve">Informal methods: pre-task toolbox talk, daily JSEA, spontaneous worker hazard reports</w:t>
      </w:r>
    </w:p>
    <w:p>
      <w:pPr>
        <w:pStyle w:val="ListParagraph"/>
        <w:numPr>
          <w:ilvl w:val="0"/>
          <w:numId w:val="2"/>
        </w:numPr>
        <w:spacing w:after="40" w:before="40"/>
      </w:pPr>
      <w:r>
        <w:rPr>
          <w:rFonts w:ascii="Arial" w:cs="Arial" w:eastAsia="Arial" w:hAnsi="Arial"/>
          <w:sz w:val="22"/>
          <w:szCs w:val="22"/>
        </w:rPr>
        <w:t xml:space="preserve">Sources to reference: Safe Work Australia industry hazard guides, IICRC standards, SDS for all chemicals on site</w:t>
      </w:r>
    </w:p>
    <w:p>
      <w:pPr>
        <w:pStyle w:val="ListParagraph"/>
        <w:numPr>
          <w:ilvl w:val="0"/>
          <w:numId w:val="2"/>
        </w:numPr>
        <w:spacing w:after="40" w:before="40"/>
      </w:pPr>
      <w:r>
        <w:rPr>
          <w:rFonts w:ascii="Arial" w:cs="Arial" w:eastAsia="Arial" w:hAnsi="Arial"/>
          <w:sz w:val="22"/>
          <w:szCs w:val="22"/>
        </w:rPr>
        <w:t xml:space="preserve">Hidden hazards in restoration: ACM in wall linings, live wiring in wet walls, structural instability from water damage, biological agents in sewage or mould</w:t>
      </w:r>
    </w:p>
    <w:p>
      <w:pPr>
        <w:pStyle w:val="ListParagraph"/>
        <w:numPr>
          <w:ilvl w:val="0"/>
          <w:numId w:val="2"/>
        </w:numPr>
        <w:spacing w:after="40" w:before="40"/>
      </w:pPr>
      <w:r>
        <w:rPr>
          <w:rFonts w:ascii="Arial" w:cs="Arial" w:eastAsia="Arial" w:hAnsi="Arial"/>
          <w:sz w:val="22"/>
          <w:szCs w:val="22"/>
        </w:rPr>
        <w:t xml:space="preserve">Psychosocial hazards — trauma exposure, extended emergency hours, client conflict — are legally required to be identified and managed under the WHS Act</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s.18: Reasonably practicable means what a reasonable person knows about the hazard and its likelihood of causing harm. Failing to identify a known industry hazard is indefensible in a prosecution.</w:t>
      </w:r>
    </w:p>
    <w:p>
      <w:pPr>
        <w:spacing w:after="0" w:before="60"/>
      </w:pPr>
      <w:r>
        <w:t xml:space="preserve"/>
      </w:r>
    </w:p>
    <w:p>
      <w:pPr>
        <w:spacing w:after="80" w:before="200"/>
      </w:pPr>
      <w:r>
        <w:rPr>
          <w:rFonts w:ascii="Arial" w:cs="Arial" w:eastAsia="Arial" w:hAnsi="Arial"/>
          <w:b/>
          <w:bCs/>
          <w:sz w:val="23"/>
          <w:szCs w:val="23"/>
        </w:rPr>
        <w:t xml:space="preserve">Module 4: Managing Risks</w:t>
      </w:r>
    </w:p>
    <w:p>
      <w:pPr>
        <w:spacing w:after="60" w:before="60"/>
      </w:pPr>
      <w:r>
        <w:rPr>
          <w:rFonts w:ascii="Arial" w:cs="Arial" w:eastAsia="Arial" w:hAnsi="Arial"/>
          <w:sz w:val="22"/>
          <w:szCs w:val="22"/>
        </w:rPr>
        <w:t xml:space="preserve">Control measures must be applied in the order of the Hierarchy of Controls — never jump directly to PPE.</w:t>
      </w:r>
    </w:p>
    <w:p>
      <w:pPr>
        <w:pStyle w:val="ListParagraph"/>
        <w:numPr>
          <w:ilvl w:val="0"/>
          <w:numId w:val="2"/>
        </w:numPr>
        <w:spacing w:after="40" w:before="40"/>
      </w:pPr>
      <w:r>
        <w:rPr>
          <w:rFonts w:ascii="Arial" w:cs="Arial" w:eastAsia="Arial" w:hAnsi="Arial"/>
          <w:sz w:val="22"/>
          <w:szCs w:val="22"/>
        </w:rPr>
        <w:t xml:space="preserve">Elimination: redesign the task to remove the hazard entirely — for example, pre-cut contaminated materials outside the building rather than inside</w:t>
      </w:r>
    </w:p>
    <w:p>
      <w:pPr>
        <w:pStyle w:val="ListParagraph"/>
        <w:numPr>
          <w:ilvl w:val="0"/>
          <w:numId w:val="2"/>
        </w:numPr>
        <w:spacing w:after="40" w:before="40"/>
      </w:pPr>
      <w:r>
        <w:rPr>
          <w:rFonts w:ascii="Arial" w:cs="Arial" w:eastAsia="Arial" w:hAnsi="Arial"/>
          <w:sz w:val="22"/>
          <w:szCs w:val="22"/>
        </w:rPr>
        <w:t xml:space="preserve">Substitution: replace a hazardous chemical or method with a less hazardous alternative that achieves the same outcome</w:t>
      </w:r>
    </w:p>
    <w:p>
      <w:pPr>
        <w:pStyle w:val="ListParagraph"/>
        <w:numPr>
          <w:ilvl w:val="0"/>
          <w:numId w:val="2"/>
        </w:numPr>
        <w:spacing w:after="40" w:before="40"/>
      </w:pPr>
      <w:r>
        <w:rPr>
          <w:rFonts w:ascii="Arial" w:cs="Arial" w:eastAsia="Arial" w:hAnsi="Arial"/>
          <w:sz w:val="22"/>
          <w:szCs w:val="22"/>
        </w:rPr>
        <w:t xml:space="preserve">Engineering controls: physical barriers, ventilation, guarding — these work independently of human behaviour</w:t>
      </w:r>
    </w:p>
    <w:p>
      <w:pPr>
        <w:pStyle w:val="ListParagraph"/>
        <w:numPr>
          <w:ilvl w:val="0"/>
          <w:numId w:val="2"/>
        </w:numPr>
        <w:spacing w:after="40" w:before="40"/>
      </w:pPr>
      <w:r>
        <w:rPr>
          <w:rFonts w:ascii="Arial" w:cs="Arial" w:eastAsia="Arial" w:hAnsi="Arial"/>
          <w:sz w:val="22"/>
          <w:szCs w:val="22"/>
        </w:rPr>
        <w:t xml:space="preserve">Administrative controls: SOPs, training, scheduling, supervision — rely on behaviour and require active management to be effective</w:t>
      </w:r>
    </w:p>
    <w:p>
      <w:pPr>
        <w:pStyle w:val="ListParagraph"/>
        <w:numPr>
          <w:ilvl w:val="0"/>
          <w:numId w:val="2"/>
        </w:numPr>
        <w:spacing w:after="40" w:before="40"/>
      </w:pPr>
      <w:r>
        <w:rPr>
          <w:rFonts w:ascii="Arial" w:cs="Arial" w:eastAsia="Arial" w:hAnsi="Arial"/>
          <w:sz w:val="22"/>
          <w:szCs w:val="22"/>
        </w:rPr>
        <w:t xml:space="preserve">PPE: last resort and supplementary — never the primary or sole control for any significant risk</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When selecting controls, ask: will this control still work if the least experienced person on site is working unsupervised? If the answer is no, add an engineering or design control rather than relying on behaviour alone.</w:t>
      </w:r>
    </w:p>
    <w:p>
      <w:pPr>
        <w:spacing w:after="0" w:before="60"/>
      </w:pPr>
      <w:r>
        <w:t xml:space="preserve"/>
      </w:r>
    </w:p>
    <w:p>
      <w:pPr>
        <w:spacing w:after="80" w:before="200"/>
      </w:pPr>
      <w:r>
        <w:rPr>
          <w:rFonts w:ascii="Arial" w:cs="Arial" w:eastAsia="Arial" w:hAnsi="Arial"/>
          <w:b/>
          <w:bCs/>
          <w:sz w:val="23"/>
          <w:szCs w:val="23"/>
        </w:rPr>
        <w:t xml:space="preserve">Module 5: Risk Matrix</w:t>
      </w:r>
    </w:p>
    <w:p>
      <w:pPr>
        <w:spacing w:after="60" w:before="60"/>
      </w:pPr>
      <w:r>
        <w:rPr>
          <w:rFonts w:ascii="Arial" w:cs="Arial" w:eastAsia="Arial" w:hAnsi="Arial"/>
          <w:sz w:val="22"/>
          <w:szCs w:val="22"/>
        </w:rPr>
        <w:t xml:space="preserve">A risk matrix scores risk by multiplying likelihood by consequence to produce a risk rating that drives the control response.</w:t>
      </w:r>
    </w:p>
    <w:p>
      <w:pPr>
        <w:pStyle w:val="ListParagraph"/>
        <w:numPr>
          <w:ilvl w:val="0"/>
          <w:numId w:val="2"/>
        </w:numPr>
        <w:spacing w:after="40" w:before="40"/>
      </w:pPr>
      <w:r>
        <w:rPr>
          <w:rFonts w:ascii="Arial" w:cs="Arial" w:eastAsia="Arial" w:hAnsi="Arial"/>
          <w:sz w:val="22"/>
          <w:szCs w:val="22"/>
        </w:rPr>
        <w:t xml:space="preserve">Likelihood scale: 1 = Rare, 2 = Unlikely, 3 = Possible, 4 = Likely, 5 = Almost Certain</w:t>
      </w:r>
    </w:p>
    <w:p>
      <w:pPr>
        <w:pStyle w:val="ListParagraph"/>
        <w:numPr>
          <w:ilvl w:val="0"/>
          <w:numId w:val="2"/>
        </w:numPr>
        <w:spacing w:after="40" w:before="40"/>
      </w:pPr>
      <w:r>
        <w:rPr>
          <w:rFonts w:ascii="Arial" w:cs="Arial" w:eastAsia="Arial" w:hAnsi="Arial"/>
          <w:sz w:val="22"/>
          <w:szCs w:val="22"/>
        </w:rPr>
        <w:t xml:space="preserve">Consequence scale: 1 = Negligible, 2 = Minor, 3 = Moderate, 4 = Major, 5 = Catastrophic</w:t>
      </w:r>
    </w:p>
    <w:p>
      <w:pPr>
        <w:pStyle w:val="ListParagraph"/>
        <w:numPr>
          <w:ilvl w:val="0"/>
          <w:numId w:val="2"/>
        </w:numPr>
        <w:spacing w:after="40" w:before="40"/>
      </w:pPr>
      <w:r>
        <w:rPr>
          <w:rFonts w:ascii="Arial" w:cs="Arial" w:eastAsia="Arial" w:hAnsi="Arial"/>
          <w:sz w:val="22"/>
          <w:szCs w:val="22"/>
        </w:rPr>
        <w:t xml:space="preserve">Risk ratings: 1 to 6 = Low (monitor and review), 7 to 12 = Medium (manage with controls), 13 to 17 = High (senior review required), 18 to 25 = Extreme (immediate action, do not proceed)</w:t>
      </w:r>
    </w:p>
    <w:p>
      <w:pPr>
        <w:pStyle w:val="ListParagraph"/>
        <w:numPr>
          <w:ilvl w:val="0"/>
          <w:numId w:val="2"/>
        </w:numPr>
        <w:spacing w:after="40" w:before="40"/>
      </w:pPr>
      <w:r>
        <w:rPr>
          <w:rFonts w:ascii="Arial" w:cs="Arial" w:eastAsia="Arial" w:hAnsi="Arial"/>
          <w:sz w:val="22"/>
          <w:szCs w:val="22"/>
        </w:rPr>
        <w:t xml:space="preserve">Always rate the risk before and after applying controls — the post-control rating confirms whether your controls are actually effective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Use the same risk matrix format across all JSEAs, SWMSs, and assessments. Consistency means workers can apply the scoring intuitively in the field rather than re-learning a new scale for each document type.</w:t>
      </w:r>
    </w:p>
    <w:p>
      <w:pPr>
        <w:spacing w:after="0" w:before="60"/>
      </w:pPr>
      <w:r>
        <w:t xml:space="preserve"/>
      </w:r>
    </w:p>
    <w:p>
      <w:pPr>
        <w:spacing w:after="80" w:before="200"/>
      </w:pPr>
      <w:r>
        <w:rPr>
          <w:rFonts w:ascii="Arial" w:cs="Arial" w:eastAsia="Arial" w:hAnsi="Arial"/>
          <w:b/>
          <w:bCs/>
          <w:sz w:val="23"/>
          <w:szCs w:val="23"/>
        </w:rPr>
        <w:t xml:space="preserve">Module 6: Job Safety and Environmental Analysis</w:t>
      </w:r>
    </w:p>
    <w:p>
      <w:pPr>
        <w:spacing w:after="60" w:before="60"/>
      </w:pPr>
      <w:r>
        <w:rPr>
          <w:rFonts w:ascii="Arial" w:cs="Arial" w:eastAsia="Arial" w:hAnsi="Arial"/>
          <w:sz w:val="22"/>
          <w:szCs w:val="22"/>
        </w:rPr>
        <w:t xml:space="preserve">The JSEA is the daily, task-level application of the risk matrix — completed by the work crew before starting each task.</w:t>
      </w:r>
    </w:p>
    <w:p>
      <w:pPr>
        <w:pStyle w:val="ListParagraph"/>
        <w:numPr>
          <w:ilvl w:val="0"/>
          <w:numId w:val="2"/>
        </w:numPr>
        <w:spacing w:after="40" w:before="40"/>
      </w:pPr>
      <w:r>
        <w:rPr>
          <w:rFonts w:ascii="Arial" w:cs="Arial" w:eastAsia="Arial" w:hAnsi="Arial"/>
          <w:sz w:val="22"/>
          <w:szCs w:val="22"/>
        </w:rPr>
        <w:t xml:space="preserve">Structure: list task steps, identify hazards per step, score the risk, apply controls, assign responsibility, sign on</w:t>
      </w:r>
    </w:p>
    <w:p>
      <w:pPr>
        <w:pStyle w:val="ListParagraph"/>
        <w:numPr>
          <w:ilvl w:val="0"/>
          <w:numId w:val="2"/>
        </w:numPr>
        <w:spacing w:after="40" w:before="40"/>
      </w:pPr>
      <w:r>
        <w:rPr>
          <w:rFonts w:ascii="Arial" w:cs="Arial" w:eastAsia="Arial" w:hAnsi="Arial"/>
          <w:sz w:val="22"/>
          <w:szCs w:val="22"/>
        </w:rPr>
        <w:t xml:space="preserve">Environmental analysis: assess impact on drains, soil, air, and adjacent properties — required for all chemical use and waste management decisions</w:t>
      </w:r>
    </w:p>
    <w:p>
      <w:pPr>
        <w:pStyle w:val="ListParagraph"/>
        <w:numPr>
          <w:ilvl w:val="0"/>
          <w:numId w:val="2"/>
        </w:numPr>
        <w:spacing w:after="40" w:before="40"/>
      </w:pPr>
      <w:r>
        <w:rPr>
          <w:rFonts w:ascii="Arial" w:cs="Arial" w:eastAsia="Arial" w:hAnsi="Arial"/>
          <w:sz w:val="22"/>
          <w:szCs w:val="22"/>
        </w:rPr>
        <w:t xml:space="preserve">Completed JSEAs must be retained on site and included in the project documentation package</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Safe Work Australia: A Guide to the Model WHS Regulations — outlines mandatory consultation and risk management documentation requirements for Australian workplaces.</w:t>
      </w:r>
    </w:p>
    <w:p>
      <w:pPr>
        <w:spacing w:after="0" w:before="60"/>
      </w:pPr>
      <w:r>
        <w:t xml:space="preserve"/>
      </w:r>
    </w:p>
    <w:p>
      <w:pPr>
        <w:spacing w:after="80" w:before="200"/>
      </w:pPr>
      <w:r>
        <w:rPr>
          <w:rFonts w:ascii="Arial" w:cs="Arial" w:eastAsia="Arial" w:hAnsi="Arial"/>
          <w:b/>
          <w:bCs/>
          <w:sz w:val="23"/>
          <w:szCs w:val="23"/>
        </w:rPr>
        <w:t xml:space="preserve">Module 7: Safe Work Method Statements</w:t>
      </w:r>
    </w:p>
    <w:p>
      <w:pPr>
        <w:spacing w:after="60" w:before="60"/>
      </w:pPr>
      <w:r>
        <w:rPr>
          <w:rFonts w:ascii="Arial" w:cs="Arial" w:eastAsia="Arial" w:hAnsi="Arial"/>
          <w:sz w:val="22"/>
          <w:szCs w:val="22"/>
        </w:rPr>
        <w:t xml:space="preserve">Required by law for all high-risk construction work under Model WHS Regulations Schedule 18.</w:t>
      </w:r>
    </w:p>
    <w:p>
      <w:pPr>
        <w:pStyle w:val="ListParagraph"/>
        <w:numPr>
          <w:ilvl w:val="0"/>
          <w:numId w:val="2"/>
        </w:numPr>
        <w:spacing w:after="40" w:before="40"/>
      </w:pPr>
      <w:r>
        <w:rPr>
          <w:rFonts w:ascii="Arial" w:cs="Arial" w:eastAsia="Arial" w:hAnsi="Arial"/>
          <w:sz w:val="22"/>
          <w:szCs w:val="22"/>
        </w:rPr>
        <w:t xml:space="preserve">The SWMS must identify specific high-risk activities, hazards, risks, and controls before work commences</w:t>
      </w:r>
    </w:p>
    <w:p>
      <w:pPr>
        <w:pStyle w:val="ListParagraph"/>
        <w:numPr>
          <w:ilvl w:val="0"/>
          <w:numId w:val="2"/>
        </w:numPr>
        <w:spacing w:after="40" w:before="40"/>
      </w:pPr>
      <w:r>
        <w:rPr>
          <w:rFonts w:ascii="Arial" w:cs="Arial" w:eastAsia="Arial" w:hAnsi="Arial"/>
          <w:sz w:val="22"/>
          <w:szCs w:val="22"/>
        </w:rPr>
        <w:t xml:space="preserve">Workers must sign the SWMS and must be genuinely consulted in its preparation — not just presented with a completed document for signature</w:t>
      </w:r>
    </w:p>
    <w:p>
      <w:pPr>
        <w:pStyle w:val="ListParagraph"/>
        <w:numPr>
          <w:ilvl w:val="0"/>
          <w:numId w:val="2"/>
        </w:numPr>
        <w:spacing w:after="40" w:before="40"/>
      </w:pPr>
      <w:r>
        <w:rPr>
          <w:rFonts w:ascii="Arial" w:cs="Arial" w:eastAsia="Arial" w:hAnsi="Arial"/>
          <w:sz w:val="22"/>
          <w:szCs w:val="22"/>
        </w:rPr>
        <w:t xml:space="preserve">If site conditions change materially, work must stop, the SWMS must be reviewed, and workers must be re-briefed before continuing</w:t>
      </w:r>
    </w:p>
    <w:p>
      <w:pPr>
        <w:pStyle w:val="ListParagraph"/>
        <w:numPr>
          <w:ilvl w:val="0"/>
          <w:numId w:val="2"/>
        </w:numPr>
        <w:spacing w:after="40" w:before="40"/>
      </w:pPr>
      <w:r>
        <w:rPr>
          <w:rFonts w:ascii="Arial" w:cs="Arial" w:eastAsia="Arial" w:hAnsi="Arial"/>
          <w:sz w:val="22"/>
          <w:szCs w:val="22"/>
        </w:rPr>
        <w:t xml:space="preserve">Principal Contractors must obtain a copy of every subcontractor's SWMS for high-risk work performed on their site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r.299: The principal contractor must keep a copy of each SWMS and make it available to any person involved in the work on that site.</w:t>
      </w:r>
    </w:p>
    <w:p>
      <w:pPr>
        <w:spacing w:after="0" w:before="60"/>
      </w:pPr>
      <w:r>
        <w:t xml:space="preserve"/>
      </w:r>
    </w:p>
    <w:p>
      <w:pPr>
        <w:spacing w:after="80" w:before="200"/>
      </w:pPr>
      <w:r>
        <w:rPr>
          <w:rFonts w:ascii="Arial" w:cs="Arial" w:eastAsia="Arial" w:hAnsi="Arial"/>
          <w:b/>
          <w:bCs/>
          <w:sz w:val="23"/>
          <w:szCs w:val="23"/>
        </w:rPr>
        <w:t xml:space="preserve">Module 8: WHS Communication and Consultation</w:t>
      </w:r>
    </w:p>
    <w:p>
      <w:pPr>
        <w:spacing w:after="60" w:before="60"/>
      </w:pPr>
      <w:r>
        <w:rPr>
          <w:rFonts w:ascii="Arial" w:cs="Arial" w:eastAsia="Arial" w:hAnsi="Arial"/>
          <w:sz w:val="22"/>
          <w:szCs w:val="22"/>
        </w:rPr>
        <w:t xml:space="preserve">Consultation is a legal requirement under Model WHS Act s.47 — it is not optional or at the employer's discretion.</w:t>
      </w:r>
    </w:p>
    <w:p>
      <w:pPr>
        <w:pStyle w:val="ListParagraph"/>
        <w:numPr>
          <w:ilvl w:val="0"/>
          <w:numId w:val="2"/>
        </w:numPr>
        <w:spacing w:after="40" w:before="40"/>
      </w:pPr>
      <w:r>
        <w:rPr>
          <w:rFonts w:ascii="Arial" w:cs="Arial" w:eastAsia="Arial" w:hAnsi="Arial"/>
          <w:sz w:val="22"/>
          <w:szCs w:val="22"/>
        </w:rPr>
        <w:t xml:space="preserve">Required consultation mechanisms: toolbox talks, safety committee meetings, designated WHS representative, JSEA team process</w:t>
      </w:r>
    </w:p>
    <w:p>
      <w:pPr>
        <w:pStyle w:val="ListParagraph"/>
        <w:numPr>
          <w:ilvl w:val="0"/>
          <w:numId w:val="2"/>
        </w:numPr>
        <w:spacing w:after="40" w:before="40"/>
      </w:pPr>
      <w:r>
        <w:rPr>
          <w:rFonts w:ascii="Arial" w:cs="Arial" w:eastAsia="Arial" w:hAnsi="Arial"/>
          <w:sz w:val="22"/>
          <w:szCs w:val="22"/>
        </w:rPr>
        <w:t xml:space="preserve">Consultation must be genuine — workers must have the opportunity to express views and those views must be considered, not just noted</w:t>
      </w:r>
    </w:p>
    <w:p>
      <w:pPr>
        <w:pStyle w:val="ListParagraph"/>
        <w:numPr>
          <w:ilvl w:val="0"/>
          <w:numId w:val="2"/>
        </w:numPr>
        <w:spacing w:after="40" w:before="40"/>
      </w:pPr>
      <w:r>
        <w:rPr>
          <w:rFonts w:ascii="Arial" w:cs="Arial" w:eastAsia="Arial" w:hAnsi="Arial"/>
          <w:sz w:val="22"/>
          <w:szCs w:val="22"/>
        </w:rPr>
        <w:t xml:space="preserve">Issue resolution: any safety concern raised by a worker must be responded to and the resolution must be documented</w:t>
      </w:r>
    </w:p>
    <w:p>
      <w:pPr>
        <w:pStyle w:val="ListParagraph"/>
        <w:numPr>
          <w:ilvl w:val="0"/>
          <w:numId w:val="2"/>
        </w:numPr>
        <w:spacing w:after="40" w:before="40"/>
      </w:pPr>
      <w:r>
        <w:rPr>
          <w:rFonts w:ascii="Arial" w:cs="Arial" w:eastAsia="Arial" w:hAnsi="Arial"/>
          <w:sz w:val="22"/>
          <w:szCs w:val="22"/>
        </w:rPr>
        <w:t xml:space="preserve">Health and Safety Representatives (HSRs): elected by workers; have legal powers including issuing Provisional Improvement Notices (PINs) to halt unsafe work</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s.48: Consultation must occur when changes are proposed that may affect WHS. Starting a new job type, introducing a new chemical, or adding new equipment all trigger the consultation duty. Document every consultation — date, attendees, issues raised, and resolution.</w:t>
      </w:r>
    </w:p>
    <w:p>
      <w:r>
        <w:br w:type="page"/>
      </w:r>
    </w:p>
    <w:p>
      <w:pPr>
        <w:pStyle w:val="Heading1"/>
        <w:spacing w:after="120" w:before="400"/>
      </w:pPr>
      <w:r>
        <w:rPr>
          <w:rFonts w:ascii="Arial" w:cs="Arial" w:eastAsia="Arial" w:hAnsi="Arial"/>
          <w:b/>
          <w:bCs/>
          <w:sz w:val="28"/>
          <w:szCs w:val="28"/>
        </w:rPr>
        <w:t xml:space="preserve">Course 47: Introduction to Using Personal Protective Equipment</w:t>
      </w:r>
    </w:p>
    <w:p>
      <w:pPr>
        <w:spacing w:after="60" w:before="60"/>
      </w:pPr>
      <w:r>
        <w:rPr>
          <w:rFonts w:ascii="Arial" w:cs="Arial" w:eastAsia="Arial" w:hAnsi="Arial"/>
          <w:sz w:val="22"/>
          <w:szCs w:val="22"/>
        </w:rPr>
        <w:t xml:space="preserve">Price: AUD $29  |  Status: Published  |  Modules: 5</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PPE is the last line of defence in the Hierarchy of Controls — but it is also the most commonly misused element of a WHS program. This course provides restoration professionals with the knowledge to select, inspect, fit, use, and maintain the correct PPE for every hazard category encountered in restoration, mould remediation, water damage, and cleaning environments, aligned with AS/NZS standards and Safe Work Australia requirements.</w:t>
      </w:r>
    </w:p>
    <w:p>
      <w:pPr>
        <w:spacing w:after="0" w:before="60"/>
      </w:pPr>
      <w:r>
        <w:t xml:space="preserve"/>
      </w:r>
    </w:p>
    <w:p>
      <w:pPr>
        <w:spacing w:after="80" w:before="200"/>
      </w:pPr>
      <w:r>
        <w:rPr>
          <w:rFonts w:ascii="Arial" w:cs="Arial" w:eastAsia="Arial" w:hAnsi="Arial"/>
          <w:b/>
          <w:bCs/>
          <w:sz w:val="23"/>
          <w:szCs w:val="23"/>
        </w:rPr>
        <w:t xml:space="preserve">Module 1: Respiratory Protection</w:t>
      </w:r>
    </w:p>
    <w:p>
      <w:pPr>
        <w:pStyle w:val="ListParagraph"/>
        <w:numPr>
          <w:ilvl w:val="0"/>
          <w:numId w:val="2"/>
        </w:numPr>
        <w:spacing w:after="40" w:before="40"/>
      </w:pPr>
      <w:r>
        <w:rPr>
          <w:rFonts w:ascii="Arial" w:cs="Arial" w:eastAsia="Arial" w:hAnsi="Arial"/>
          <w:sz w:val="22"/>
          <w:szCs w:val="22"/>
        </w:rPr>
        <w:t xml:space="preserve">P1 disposable: nuisance dust only — not suitable for mould, asbestos, silica, or sewage aerosols</w:t>
      </w:r>
    </w:p>
    <w:p>
      <w:pPr>
        <w:pStyle w:val="ListParagraph"/>
        <w:numPr>
          <w:ilvl w:val="0"/>
          <w:numId w:val="2"/>
        </w:numPr>
        <w:spacing w:after="40" w:before="40"/>
      </w:pPr>
      <w:r>
        <w:rPr>
          <w:rFonts w:ascii="Arial" w:cs="Arial" w:eastAsia="Arial" w:hAnsi="Arial"/>
          <w:sz w:val="22"/>
          <w:szCs w:val="22"/>
        </w:rPr>
        <w:t xml:space="preserve">P2 disposable (AS/NZS 1716 certified): minimum for mould spores, bonded asbestos fibres, silica dust, and sewage aerosols</w:t>
      </w:r>
    </w:p>
    <w:p>
      <w:pPr>
        <w:pStyle w:val="ListParagraph"/>
        <w:numPr>
          <w:ilvl w:val="0"/>
          <w:numId w:val="2"/>
        </w:numPr>
        <w:spacing w:after="40" w:before="40"/>
      </w:pPr>
      <w:r>
        <w:rPr>
          <w:rFonts w:ascii="Arial" w:cs="Arial" w:eastAsia="Arial" w:hAnsi="Arial"/>
          <w:sz w:val="22"/>
          <w:szCs w:val="22"/>
        </w:rPr>
        <w:t xml:space="preserve">P3 half-face respirator with P3 filters: high-concentration particulate environments — larger mould or asbestos jobs</w:t>
      </w:r>
    </w:p>
    <w:p>
      <w:pPr>
        <w:pStyle w:val="ListParagraph"/>
        <w:numPr>
          <w:ilvl w:val="0"/>
          <w:numId w:val="2"/>
        </w:numPr>
        <w:spacing w:after="40" w:before="40"/>
      </w:pPr>
      <w:r>
        <w:rPr>
          <w:rFonts w:ascii="Arial" w:cs="Arial" w:eastAsia="Arial" w:hAnsi="Arial"/>
          <w:sz w:val="22"/>
          <w:szCs w:val="22"/>
        </w:rPr>
        <w:t xml:space="preserve">Full-face respirator with combination P3 and organic vapour filters: fire and smoke remediation, chemical deodorisation</w:t>
      </w:r>
    </w:p>
    <w:p>
      <w:pPr>
        <w:pStyle w:val="ListParagraph"/>
        <w:numPr>
          <w:ilvl w:val="0"/>
          <w:numId w:val="2"/>
        </w:numPr>
        <w:spacing w:after="40" w:before="40"/>
      </w:pPr>
      <w:r>
        <w:rPr>
          <w:rFonts w:ascii="Arial" w:cs="Arial" w:eastAsia="Arial" w:hAnsi="Arial"/>
          <w:sz w:val="22"/>
          <w:szCs w:val="22"/>
        </w:rPr>
        <w:t xml:space="preserve">Supplied air (SCBA or PAPR): confined space entry with unknown atmosphere, any asphyxiant or IDLH risk</w:t>
      </w:r>
    </w:p>
    <w:p>
      <w:pPr>
        <w:pStyle w:val="ListParagraph"/>
        <w:numPr>
          <w:ilvl w:val="0"/>
          <w:numId w:val="2"/>
        </w:numPr>
        <w:spacing w:after="40" w:before="40"/>
      </w:pPr>
      <w:r>
        <w:rPr>
          <w:rFonts w:ascii="Arial" w:cs="Arial" w:eastAsia="Arial" w:hAnsi="Arial"/>
          <w:sz w:val="22"/>
          <w:szCs w:val="22"/>
        </w:rPr>
        <w:t xml:space="preserve">Fit testing: all tight-fitting respirators must be individually fit tested — AS/NZS 1715 requirement. A positive/negative pressure seal check must be performed every time a tight-fitting respirator is donned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No P2 disposable provides effective protection over a beard, when dirty, or when incorrectly fitted. Fit check is mandatory every time — not just on first use.</w:t>
      </w:r>
    </w:p>
    <w:p>
      <w:pPr>
        <w:spacing w:after="0" w:before="60"/>
      </w:pPr>
      <w:r>
        <w:t xml:space="preserve"/>
      </w:r>
    </w:p>
    <w:p>
      <w:pPr>
        <w:spacing w:after="80" w:before="200"/>
      </w:pPr>
      <w:r>
        <w:rPr>
          <w:rFonts w:ascii="Arial" w:cs="Arial" w:eastAsia="Arial" w:hAnsi="Arial"/>
          <w:b/>
          <w:bCs/>
          <w:sz w:val="23"/>
          <w:szCs w:val="23"/>
        </w:rPr>
        <w:t xml:space="preserve">Module 2: Eye and Face Protection</w:t>
      </w:r>
    </w:p>
    <w:p>
      <w:pPr>
        <w:pStyle w:val="ListParagraph"/>
        <w:numPr>
          <w:ilvl w:val="0"/>
          <w:numId w:val="2"/>
        </w:numPr>
        <w:spacing w:after="40" w:before="40"/>
      </w:pPr>
      <w:r>
        <w:rPr>
          <w:rFonts w:ascii="Arial" w:cs="Arial" w:eastAsia="Arial" w:hAnsi="Arial"/>
          <w:sz w:val="22"/>
          <w:szCs w:val="22"/>
        </w:rPr>
        <w:t xml:space="preserve">Safety glasses (AS/NZS 1337): primary protection from flying particles and splash — must wrap around the face to be effective</w:t>
      </w:r>
    </w:p>
    <w:p>
      <w:pPr>
        <w:pStyle w:val="ListParagraph"/>
        <w:numPr>
          <w:ilvl w:val="0"/>
          <w:numId w:val="2"/>
        </w:numPr>
        <w:spacing w:after="40" w:before="40"/>
      </w:pPr>
      <w:r>
        <w:rPr>
          <w:rFonts w:ascii="Arial" w:cs="Arial" w:eastAsia="Arial" w:hAnsi="Arial"/>
          <w:sz w:val="22"/>
          <w:szCs w:val="22"/>
        </w:rPr>
        <w:t xml:space="preserve">Wraparound goggles: chemical splash protection — required for all chemical mixing, dilution, and application</w:t>
      </w:r>
    </w:p>
    <w:p>
      <w:pPr>
        <w:pStyle w:val="ListParagraph"/>
        <w:numPr>
          <w:ilvl w:val="0"/>
          <w:numId w:val="2"/>
        </w:numPr>
        <w:spacing w:after="40" w:before="40"/>
      </w:pPr>
      <w:r>
        <w:rPr>
          <w:rFonts w:ascii="Arial" w:cs="Arial" w:eastAsia="Arial" w:hAnsi="Arial"/>
          <w:sz w:val="22"/>
          <w:szCs w:val="22"/>
        </w:rPr>
        <w:t xml:space="preserve">Face shield: worn over glasses or goggles for additional protection from large splash or projectile risk</w:t>
      </w:r>
    </w:p>
    <w:p>
      <w:pPr>
        <w:pStyle w:val="ListParagraph"/>
        <w:numPr>
          <w:ilvl w:val="0"/>
          <w:numId w:val="2"/>
        </w:numPr>
        <w:spacing w:after="40" w:before="40"/>
      </w:pPr>
      <w:r>
        <w:rPr>
          <w:rFonts w:ascii="Arial" w:cs="Arial" w:eastAsia="Arial" w:hAnsi="Arial"/>
          <w:sz w:val="22"/>
          <w:szCs w:val="22"/>
        </w:rPr>
        <w:t xml:space="preserve">Combination face shield and P2 respirator: standard protection for Category 3 sewage remediation</w:t>
      </w:r>
    </w:p>
    <w:p>
      <w:pPr>
        <w:pStyle w:val="ListParagraph"/>
        <w:numPr>
          <w:ilvl w:val="0"/>
          <w:numId w:val="2"/>
        </w:numPr>
        <w:spacing w:after="40" w:before="40"/>
      </w:pPr>
      <w:r>
        <w:rPr>
          <w:rFonts w:ascii="Arial" w:cs="Arial" w:eastAsia="Arial" w:hAnsi="Arial"/>
          <w:sz w:val="22"/>
          <w:szCs w:val="22"/>
        </w:rPr>
        <w:t xml:space="preserve">Anti-fog treatment: essential in hot and humid restoration environments — fogged eyewear is removed in the field, defeating its purpose entirely</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Never substitute safety glasses for goggles when working with corrosive chemicals or biological material. Safety glasses have open sides — splash and airborne particles reach the eye. Goggles seal against the face.</w:t>
      </w:r>
    </w:p>
    <w:p>
      <w:pPr>
        <w:spacing w:after="0" w:before="60"/>
      </w:pPr>
      <w:r>
        <w:t xml:space="preserve"/>
      </w:r>
    </w:p>
    <w:p>
      <w:pPr>
        <w:spacing w:after="80" w:before="200"/>
      </w:pPr>
      <w:r>
        <w:rPr>
          <w:rFonts w:ascii="Arial" w:cs="Arial" w:eastAsia="Arial" w:hAnsi="Arial"/>
          <w:b/>
          <w:bCs/>
          <w:sz w:val="23"/>
          <w:szCs w:val="23"/>
        </w:rPr>
        <w:t xml:space="preserve">Module 3: Head Protection</w:t>
      </w:r>
    </w:p>
    <w:p>
      <w:pPr>
        <w:pStyle w:val="ListParagraph"/>
        <w:numPr>
          <w:ilvl w:val="0"/>
          <w:numId w:val="2"/>
        </w:numPr>
        <w:spacing w:after="40" w:before="40"/>
      </w:pPr>
      <w:r>
        <w:rPr>
          <w:rFonts w:ascii="Arial" w:cs="Arial" w:eastAsia="Arial" w:hAnsi="Arial"/>
          <w:sz w:val="22"/>
          <w:szCs w:val="22"/>
        </w:rPr>
        <w:t xml:space="preserve">Safety helmets (AS/NZS 1801): required for all work where falling objects, head strike risk, or overhead hazards exist</w:t>
      </w:r>
    </w:p>
    <w:p>
      <w:pPr>
        <w:pStyle w:val="ListParagraph"/>
        <w:numPr>
          <w:ilvl w:val="0"/>
          <w:numId w:val="2"/>
        </w:numPr>
        <w:spacing w:after="40" w:before="40"/>
      </w:pPr>
      <w:r>
        <w:rPr>
          <w:rFonts w:ascii="Arial" w:cs="Arial" w:eastAsia="Arial" w:hAnsi="Arial"/>
          <w:sz w:val="22"/>
          <w:szCs w:val="22"/>
        </w:rPr>
        <w:t xml:space="preserve">Restoration contexts requiring helmets: damaged or unstable ceilings, demolition work, excavation, working near operating machinery</w:t>
      </w:r>
    </w:p>
    <w:p>
      <w:pPr>
        <w:pStyle w:val="ListParagraph"/>
        <w:numPr>
          <w:ilvl w:val="0"/>
          <w:numId w:val="2"/>
        </w:numPr>
        <w:spacing w:after="40" w:before="40"/>
      </w:pPr>
      <w:r>
        <w:rPr>
          <w:rFonts w:ascii="Arial" w:cs="Arial" w:eastAsia="Arial" w:hAnsi="Arial"/>
          <w:sz w:val="22"/>
          <w:szCs w:val="22"/>
        </w:rPr>
        <w:t xml:space="preserve">Type 1 helmet: vertical impact protection only. Type 2: vertical and oblique impact protection</w:t>
      </w:r>
    </w:p>
    <w:p>
      <w:pPr>
        <w:pStyle w:val="ListParagraph"/>
        <w:numPr>
          <w:ilvl w:val="0"/>
          <w:numId w:val="2"/>
        </w:numPr>
        <w:spacing w:after="40" w:before="40"/>
      </w:pPr>
      <w:r>
        <w:rPr>
          <w:rFonts w:ascii="Arial" w:cs="Arial" w:eastAsia="Arial" w:hAnsi="Arial"/>
          <w:sz w:val="22"/>
          <w:szCs w:val="22"/>
        </w:rPr>
        <w:t xml:space="preserve">Expiry and inspection: helmets must be replaced after any significant impact, or per manufacturer date — typically 3 years from manufacture</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AS/NZS 1801: Occupational Protective Helmets. Always check the manufacturing date stamped inside the shell — UV and chemical degradation reduces protection significantly even when the helmet appears undamaged externally.</w:t>
      </w:r>
    </w:p>
    <w:p>
      <w:pPr>
        <w:spacing w:after="0" w:before="60"/>
      </w:pPr>
      <w:r>
        <w:t xml:space="preserve"/>
      </w:r>
    </w:p>
    <w:p>
      <w:pPr>
        <w:spacing w:after="80" w:before="200"/>
      </w:pPr>
      <w:r>
        <w:rPr>
          <w:rFonts w:ascii="Arial" w:cs="Arial" w:eastAsia="Arial" w:hAnsi="Arial"/>
          <w:b/>
          <w:bCs/>
          <w:sz w:val="23"/>
          <w:szCs w:val="23"/>
        </w:rPr>
        <w:t xml:space="preserve">Module 4: Hearing Protection</w:t>
      </w:r>
    </w:p>
    <w:p>
      <w:pPr>
        <w:pStyle w:val="ListParagraph"/>
        <w:numPr>
          <w:ilvl w:val="0"/>
          <w:numId w:val="2"/>
        </w:numPr>
        <w:spacing w:after="40" w:before="40"/>
      </w:pPr>
      <w:r>
        <w:rPr>
          <w:rFonts w:ascii="Arial" w:cs="Arial" w:eastAsia="Arial" w:hAnsi="Arial"/>
          <w:sz w:val="22"/>
          <w:szCs w:val="22"/>
        </w:rPr>
        <w:t xml:space="preserve">Hearing loss from noise is permanent — there is no medical treatment once damage occurs</w:t>
      </w:r>
    </w:p>
    <w:p>
      <w:pPr>
        <w:pStyle w:val="ListParagraph"/>
        <w:numPr>
          <w:ilvl w:val="0"/>
          <w:numId w:val="2"/>
        </w:numPr>
        <w:spacing w:after="40" w:before="40"/>
      </w:pPr>
      <w:r>
        <w:rPr>
          <w:rFonts w:ascii="Arial" w:cs="Arial" w:eastAsia="Arial" w:hAnsi="Arial"/>
          <w:sz w:val="22"/>
          <w:szCs w:val="22"/>
        </w:rPr>
        <w:t xml:space="preserve">Safe Work Australia mandatory threshold: hearing protection required above 85 dB(A) 8-hour TWA or 140 dB(C) peak</w:t>
      </w:r>
    </w:p>
    <w:p>
      <w:pPr>
        <w:pStyle w:val="ListParagraph"/>
        <w:numPr>
          <w:ilvl w:val="0"/>
          <w:numId w:val="2"/>
        </w:numPr>
        <w:spacing w:after="40" w:before="40"/>
      </w:pPr>
      <w:r>
        <w:rPr>
          <w:rFonts w:ascii="Arial" w:cs="Arial" w:eastAsia="Arial" w:hAnsi="Arial"/>
          <w:sz w:val="22"/>
          <w:szCs w:val="22"/>
        </w:rPr>
        <w:t xml:space="preserve">Disposable foam earplugs (Class 5): SLC80 rating of 26 to 35 dB — correct for most high-noise restoration equipment</w:t>
      </w:r>
    </w:p>
    <w:p>
      <w:pPr>
        <w:pStyle w:val="ListParagraph"/>
        <w:numPr>
          <w:ilvl w:val="0"/>
          <w:numId w:val="2"/>
        </w:numPr>
        <w:spacing w:after="40" w:before="40"/>
      </w:pPr>
      <w:r>
        <w:rPr>
          <w:rFonts w:ascii="Arial" w:cs="Arial" w:eastAsia="Arial" w:hAnsi="Arial"/>
          <w:sz w:val="22"/>
          <w:szCs w:val="22"/>
        </w:rPr>
        <w:t xml:space="preserve">Earmuffs: easier to fit-check and preferred where earplugs must be repeatedly inserted and removed during the work shift</w:t>
      </w:r>
    </w:p>
    <w:p>
      <w:pPr>
        <w:pStyle w:val="ListParagraph"/>
        <w:numPr>
          <w:ilvl w:val="0"/>
          <w:numId w:val="2"/>
        </w:numPr>
        <w:spacing w:after="40" w:before="40"/>
      </w:pPr>
      <w:r>
        <w:rPr>
          <w:rFonts w:ascii="Arial" w:cs="Arial" w:eastAsia="Arial" w:hAnsi="Arial"/>
          <w:sz w:val="22"/>
          <w:szCs w:val="22"/>
        </w:rPr>
        <w:t xml:space="preserve">Typical noise levels in restoration: truck-mounted extractors approximately 90 dB, angle grinders approximately 100 dB or more, desiccant dehumidifiers approximately 75 dB</w:t>
      </w:r>
    </w:p>
    <w:p>
      <w:pPr>
        <w:pStyle w:val="ListParagraph"/>
        <w:numPr>
          <w:ilvl w:val="0"/>
          <w:numId w:val="2"/>
        </w:numPr>
        <w:spacing w:after="40" w:before="40"/>
      </w:pPr>
      <w:r>
        <w:rPr>
          <w:rFonts w:ascii="Arial" w:cs="Arial" w:eastAsia="Arial" w:hAnsi="Arial"/>
          <w:sz w:val="22"/>
          <w:szCs w:val="22"/>
        </w:rPr>
        <w:t xml:space="preserve">Removing hearing protection for even 5 minutes during sustained noise exposure eliminates most of the accumulated protection benefit for that shift</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r.57: Engineering controls (silenced equipment, acoustic enclosures) must be implemented before requiring workers to rely on hearing protection as the sole or primary control.</w:t>
      </w:r>
    </w:p>
    <w:p>
      <w:pPr>
        <w:spacing w:after="0" w:before="60"/>
      </w:pPr>
      <w:r>
        <w:t xml:space="preserve"/>
      </w:r>
    </w:p>
    <w:p>
      <w:pPr>
        <w:spacing w:after="80" w:before="200"/>
      </w:pPr>
      <w:r>
        <w:rPr>
          <w:rFonts w:ascii="Arial" w:cs="Arial" w:eastAsia="Arial" w:hAnsi="Arial"/>
          <w:b/>
          <w:bCs/>
          <w:sz w:val="23"/>
          <w:szCs w:val="23"/>
        </w:rPr>
        <w:t xml:space="preserve">Module 5: Body Protection</w:t>
      </w:r>
    </w:p>
    <w:p>
      <w:pPr>
        <w:pStyle w:val="ListParagraph"/>
        <w:numPr>
          <w:ilvl w:val="0"/>
          <w:numId w:val="2"/>
        </w:numPr>
        <w:spacing w:after="40" w:before="40"/>
      </w:pPr>
      <w:r>
        <w:rPr>
          <w:rFonts w:ascii="Arial" w:cs="Arial" w:eastAsia="Arial" w:hAnsi="Arial"/>
          <w:sz w:val="22"/>
          <w:szCs w:val="22"/>
        </w:rPr>
        <w:t xml:space="preserve">Disposable coveralls (Type 5 and 6): minimum for mould, sewage, and bonded asbestos work — dispose of as contaminated waste inside the exclusion zone on exit</w:t>
      </w:r>
    </w:p>
    <w:p>
      <w:pPr>
        <w:pStyle w:val="ListParagraph"/>
        <w:numPr>
          <w:ilvl w:val="0"/>
          <w:numId w:val="2"/>
        </w:numPr>
        <w:spacing w:after="40" w:before="40"/>
      </w:pPr>
      <w:r>
        <w:rPr>
          <w:rFonts w:ascii="Arial" w:cs="Arial" w:eastAsia="Arial" w:hAnsi="Arial"/>
          <w:sz w:val="22"/>
          <w:szCs w:val="22"/>
        </w:rPr>
        <w:t xml:space="preserve">Type 4 chemical splash coveralls: required for Category 3 sewage response or hazardous chemical spill cleanup</w:t>
      </w:r>
    </w:p>
    <w:p>
      <w:pPr>
        <w:pStyle w:val="ListParagraph"/>
        <w:numPr>
          <w:ilvl w:val="0"/>
          <w:numId w:val="2"/>
        </w:numPr>
        <w:spacing w:after="40" w:before="40"/>
      </w:pPr>
      <w:r>
        <w:rPr>
          <w:rFonts w:ascii="Arial" w:cs="Arial" w:eastAsia="Arial" w:hAnsi="Arial"/>
          <w:sz w:val="22"/>
          <w:szCs w:val="22"/>
        </w:rPr>
        <w:t xml:space="preserve">Cut-resistant gloves: when handling broken glass, sharp debris, or demolition material</w:t>
      </w:r>
    </w:p>
    <w:p>
      <w:pPr>
        <w:pStyle w:val="ListParagraph"/>
        <w:numPr>
          <w:ilvl w:val="0"/>
          <w:numId w:val="2"/>
        </w:numPr>
        <w:spacing w:after="40" w:before="40"/>
      </w:pPr>
      <w:r>
        <w:rPr>
          <w:rFonts w:ascii="Arial" w:cs="Arial" w:eastAsia="Arial" w:hAnsi="Arial"/>
          <w:sz w:val="22"/>
          <w:szCs w:val="22"/>
        </w:rPr>
        <w:t xml:space="preserve">Chemical-resistant nitrile gloves (minimum): for all cleaning chemical application and contaminated material handling</w:t>
      </w:r>
    </w:p>
    <w:p>
      <w:pPr>
        <w:pStyle w:val="ListParagraph"/>
        <w:numPr>
          <w:ilvl w:val="0"/>
          <w:numId w:val="2"/>
        </w:numPr>
        <w:spacing w:after="40" w:before="40"/>
      </w:pPr>
      <w:r>
        <w:rPr>
          <w:rFonts w:ascii="Arial" w:cs="Arial" w:eastAsia="Arial" w:hAnsi="Arial"/>
          <w:sz w:val="22"/>
          <w:szCs w:val="22"/>
        </w:rPr>
        <w:t xml:space="preserve">Safety footwear (AS/NZS 2210.3, steel-capped): required on all sites with demolition activity, debris, or equipment handling</w:t>
      </w:r>
    </w:p>
    <w:p>
      <w:pPr>
        <w:pStyle w:val="ListParagraph"/>
        <w:numPr>
          <w:ilvl w:val="0"/>
          <w:numId w:val="2"/>
        </w:numPr>
        <w:spacing w:after="40" w:before="40"/>
      </w:pPr>
      <w:r>
        <w:rPr>
          <w:rFonts w:ascii="Arial" w:cs="Arial" w:eastAsia="Arial" w:hAnsi="Arial"/>
          <w:sz w:val="22"/>
          <w:szCs w:val="22"/>
        </w:rPr>
        <w:t xml:space="preserve">High-visibility clothing (Class 2, AS/NZS 4602.1): required when working near traffic, reversing vehicles, or on roadway-adjacent sites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At the end of every shift in a contaminated environment: remove and bag disposable coveralls inside the contamination zone, HEPA-vacuum clothing and boot soles before leaving, and wash hands and face before removing respiratory protection. This sequence prevents carry-out contamination to vehicles and homes.</w:t>
      </w:r>
    </w:p>
    <w:p>
      <w:r>
        <w:br w:type="page"/>
      </w:r>
    </w:p>
    <w:p>
      <w:pPr>
        <w:pStyle w:val="Heading1"/>
        <w:spacing w:after="120" w:before="400"/>
      </w:pPr>
      <w:r>
        <w:rPr>
          <w:rFonts w:ascii="Arial" w:cs="Arial" w:eastAsia="Arial" w:hAnsi="Arial"/>
          <w:b/>
          <w:bCs/>
          <w:sz w:val="28"/>
          <w:szCs w:val="28"/>
        </w:rPr>
        <w:t xml:space="preserve">Course 52: Introduction to Safety Procedures for Water Damage Work</w:t>
      </w:r>
    </w:p>
    <w:p>
      <w:pPr>
        <w:spacing w:after="60" w:before="60"/>
      </w:pPr>
      <w:r>
        <w:rPr>
          <w:rFonts w:ascii="Arial" w:cs="Arial" w:eastAsia="Arial" w:hAnsi="Arial"/>
          <w:sz w:val="22"/>
          <w:szCs w:val="22"/>
        </w:rPr>
        <w:t xml:space="preserve">Price: AUD $29  |  Status: Published  |  Modules: 4</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Water damage restoration creates overlapping hazards — electrical, biological, chemical, physical, and ergonomic — that can escalate rapidly without structured safety procedures. This course provides technicians with the practical protocols to assess hazards before entry, select correct PPE by contamination category, control biological and chemical exposures, and operate equipment safely on every water damage job site.</w:t>
      </w:r>
    </w:p>
    <w:p>
      <w:pPr>
        <w:spacing w:after="0" w:before="60"/>
      </w:pPr>
      <w:r>
        <w:t xml:space="preserve"/>
      </w:r>
    </w:p>
    <w:p>
      <w:pPr>
        <w:spacing w:after="80" w:before="200"/>
      </w:pPr>
      <w:r>
        <w:rPr>
          <w:rFonts w:ascii="Arial" w:cs="Arial" w:eastAsia="Arial" w:hAnsi="Arial"/>
          <w:b/>
          <w:bCs/>
          <w:sz w:val="23"/>
          <w:szCs w:val="23"/>
        </w:rPr>
        <w:t xml:space="preserve">Module 1: Assessing Hazards</w:t>
      </w:r>
    </w:p>
    <w:p>
      <w:pPr>
        <w:spacing w:after="60" w:before="60"/>
      </w:pPr>
      <w:r>
        <w:rPr>
          <w:rFonts w:ascii="Arial" w:cs="Arial" w:eastAsia="Arial" w:hAnsi="Arial"/>
          <w:sz w:val="22"/>
          <w:szCs w:val="22"/>
        </w:rPr>
        <w:t xml:space="preserve">A site hazard assessment must be completed before any equipment is brought inside the structure. This is non-negotiable regardless of client or insurer time pressure.</w:t>
      </w:r>
    </w:p>
    <w:p>
      <w:pPr>
        <w:pStyle w:val="ListParagraph"/>
        <w:numPr>
          <w:ilvl w:val="0"/>
          <w:numId w:val="2"/>
        </w:numPr>
        <w:spacing w:after="40" w:before="40"/>
      </w:pPr>
      <w:r>
        <w:rPr>
          <w:rFonts w:ascii="Arial" w:cs="Arial" w:eastAsia="Arial" w:hAnsi="Arial"/>
          <w:sz w:val="22"/>
          <w:szCs w:val="22"/>
        </w:rPr>
        <w:t xml:space="preserve">Electrical: treat all electrical services in a flooded zone as live until isolation is confirmed in writing by a licenced electrician</w:t>
      </w:r>
    </w:p>
    <w:p>
      <w:pPr>
        <w:pStyle w:val="ListParagraph"/>
        <w:numPr>
          <w:ilvl w:val="0"/>
          <w:numId w:val="2"/>
        </w:numPr>
        <w:spacing w:after="40" w:before="40"/>
      </w:pPr>
      <w:r>
        <w:rPr>
          <w:rFonts w:ascii="Arial" w:cs="Arial" w:eastAsia="Arial" w:hAnsi="Arial"/>
          <w:sz w:val="22"/>
          <w:szCs w:val="22"/>
        </w:rPr>
        <w:t xml:space="preserve">Structural: water-saturated walls and ceilings can collapse without warning — probe and assess before entering any room or void</w:t>
      </w:r>
    </w:p>
    <w:p>
      <w:pPr>
        <w:pStyle w:val="ListParagraph"/>
        <w:numPr>
          <w:ilvl w:val="0"/>
          <w:numId w:val="2"/>
        </w:numPr>
        <w:spacing w:after="40" w:before="40"/>
      </w:pPr>
      <w:r>
        <w:rPr>
          <w:rFonts w:ascii="Arial" w:cs="Arial" w:eastAsia="Arial" w:hAnsi="Arial"/>
          <w:sz w:val="22"/>
          <w:szCs w:val="22"/>
        </w:rPr>
        <w:t xml:space="preserve">Biological: Category 2 (grey water) and Category 3 (black water and sewage) require full PPE from the moment of site entry</w:t>
      </w:r>
    </w:p>
    <w:p>
      <w:pPr>
        <w:pStyle w:val="ListParagraph"/>
        <w:numPr>
          <w:ilvl w:val="0"/>
          <w:numId w:val="2"/>
        </w:numPr>
        <w:spacing w:after="40" w:before="40"/>
      </w:pPr>
      <w:r>
        <w:rPr>
          <w:rFonts w:ascii="Arial" w:cs="Arial" w:eastAsia="Arial" w:hAnsi="Arial"/>
          <w:sz w:val="22"/>
          <w:szCs w:val="22"/>
        </w:rPr>
        <w:t xml:space="preserve">Chemical: identify any petroleum products, agricultural chemicals, or industrial substances that may have mixed with the flood water</w:t>
      </w:r>
    </w:p>
    <w:p>
      <w:pPr>
        <w:pStyle w:val="ListParagraph"/>
        <w:numPr>
          <w:ilvl w:val="0"/>
          <w:numId w:val="2"/>
        </w:numPr>
        <w:spacing w:after="40" w:before="40"/>
      </w:pPr>
      <w:r>
        <w:rPr>
          <w:rFonts w:ascii="Arial" w:cs="Arial" w:eastAsia="Arial" w:hAnsi="Arial"/>
          <w:sz w:val="22"/>
          <w:szCs w:val="22"/>
        </w:rPr>
        <w:t xml:space="preserve">Confined spaces: subfloors, tanks, and pits that have been flooded may contain oxygen-depleted or toxic atmospheres — treat as confined space until tested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Part 4.1 — Confined Spaces: any flooded subfloor must be treated as a confined space until the atmosphere has been tested by a competent person with calibrated multi-gas detection equipment.</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Develop and use a site entry checklist for every water damage job. The first 10 minutes on site — before any work starts — determines whether the next 8 hours are safe. Do not skip this step.</w:t>
      </w:r>
    </w:p>
    <w:p>
      <w:pPr>
        <w:spacing w:after="0" w:before="60"/>
      </w:pPr>
      <w:r>
        <w:t xml:space="preserve"/>
      </w:r>
    </w:p>
    <w:p>
      <w:pPr>
        <w:spacing w:after="80" w:before="200"/>
      </w:pPr>
      <w:r>
        <w:rPr>
          <w:rFonts w:ascii="Arial" w:cs="Arial" w:eastAsia="Arial" w:hAnsi="Arial"/>
          <w:b/>
          <w:bCs/>
          <w:sz w:val="23"/>
          <w:szCs w:val="23"/>
        </w:rPr>
        <w:t xml:space="preserve">Module 2: Use of PPE</w:t>
      </w:r>
    </w:p>
    <w:p>
      <w:pPr>
        <w:pStyle w:val="ListParagraph"/>
        <w:numPr>
          <w:ilvl w:val="0"/>
          <w:numId w:val="2"/>
        </w:numPr>
        <w:spacing w:after="40" w:before="40"/>
      </w:pPr>
      <w:r>
        <w:rPr>
          <w:rFonts w:ascii="Arial" w:cs="Arial" w:eastAsia="Arial" w:hAnsi="Arial"/>
          <w:sz w:val="22"/>
          <w:szCs w:val="22"/>
        </w:rPr>
        <w:t xml:space="preserve">Category 1 (clean water): P2 respirator, safety glasses, nitrile gloves, steel-capped boots</w:t>
      </w:r>
    </w:p>
    <w:p>
      <w:pPr>
        <w:pStyle w:val="ListParagraph"/>
        <w:numPr>
          <w:ilvl w:val="0"/>
          <w:numId w:val="2"/>
        </w:numPr>
        <w:spacing w:after="40" w:before="40"/>
      </w:pPr>
      <w:r>
        <w:rPr>
          <w:rFonts w:ascii="Arial" w:cs="Arial" w:eastAsia="Arial" w:hAnsi="Arial"/>
          <w:sz w:val="22"/>
          <w:szCs w:val="22"/>
        </w:rPr>
        <w:t xml:space="preserve">Category 2 (grey water): disposable coveralls, P2 respirator, safety glasses, nitrile gloves, rubber boots</w:t>
      </w:r>
    </w:p>
    <w:p>
      <w:pPr>
        <w:pStyle w:val="ListParagraph"/>
        <w:numPr>
          <w:ilvl w:val="0"/>
          <w:numId w:val="2"/>
        </w:numPr>
        <w:spacing w:after="40" w:before="40"/>
      </w:pPr>
      <w:r>
        <w:rPr>
          <w:rFonts w:ascii="Arial" w:cs="Arial" w:eastAsia="Arial" w:hAnsi="Arial"/>
          <w:sz w:val="22"/>
          <w:szCs w:val="22"/>
        </w:rPr>
        <w:t xml:space="preserve">Category 3 (black water and sewage): Type 5 or 6 coveralls, full-face P3 respirator, face shield, heavy nitrile gloves, rubber boots — hepatitis B vaccination is strongly recommended for all technicians working in this category</w:t>
      </w:r>
    </w:p>
    <w:p>
      <w:pPr>
        <w:pStyle w:val="ListParagraph"/>
        <w:numPr>
          <w:ilvl w:val="0"/>
          <w:numId w:val="2"/>
        </w:numPr>
        <w:spacing w:after="40" w:before="40"/>
      </w:pPr>
      <w:r>
        <w:rPr>
          <w:rFonts w:ascii="Arial" w:cs="Arial" w:eastAsia="Arial" w:hAnsi="Arial"/>
          <w:sz w:val="22"/>
          <w:szCs w:val="22"/>
        </w:rPr>
        <w:t xml:space="preserve">PPE must be fully donned before entering the contaminated zone — not after observing conditions from the doorway</w:t>
      </w:r>
    </w:p>
    <w:p>
      <w:pPr>
        <w:pStyle w:val="ListParagraph"/>
        <w:numPr>
          <w:ilvl w:val="0"/>
          <w:numId w:val="2"/>
        </w:numPr>
        <w:spacing w:after="40" w:before="40"/>
      </w:pPr>
      <w:r>
        <w:rPr>
          <w:rFonts w:ascii="Arial" w:cs="Arial" w:eastAsia="Arial" w:hAnsi="Arial"/>
          <w:sz w:val="22"/>
          <w:szCs w:val="22"/>
        </w:rPr>
        <w:t xml:space="preserve">Removing PPE: doff coveralls inside the contaminated zone, rolling downward — bag immediately — then sanitise boots before crossing into the clean zone</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Any splash to the face, eyes, or open wound from Category 3 water requires immediate first aid and medical assessment. Document as a WHS incident and follow your organisation's exposure response protocol.</w:t>
      </w:r>
    </w:p>
    <w:p>
      <w:pPr>
        <w:spacing w:after="0" w:before="60"/>
      </w:pPr>
      <w:r>
        <w:t xml:space="preserve"/>
      </w:r>
    </w:p>
    <w:p>
      <w:pPr>
        <w:spacing w:after="80" w:before="200"/>
      </w:pPr>
      <w:r>
        <w:rPr>
          <w:rFonts w:ascii="Arial" w:cs="Arial" w:eastAsia="Arial" w:hAnsi="Arial"/>
          <w:b/>
          <w:bCs/>
          <w:sz w:val="23"/>
          <w:szCs w:val="23"/>
        </w:rPr>
        <w:t xml:space="preserve">Module 3: Exposure Control</w:t>
      </w:r>
    </w:p>
    <w:p>
      <w:pPr>
        <w:pStyle w:val="ListParagraph"/>
        <w:numPr>
          <w:ilvl w:val="0"/>
          <w:numId w:val="2"/>
        </w:numPr>
        <w:spacing w:after="40" w:before="40"/>
      </w:pPr>
      <w:r>
        <w:rPr>
          <w:rFonts w:ascii="Arial" w:cs="Arial" w:eastAsia="Arial" w:hAnsi="Arial"/>
          <w:sz w:val="22"/>
          <w:szCs w:val="22"/>
        </w:rPr>
        <w:t xml:space="preserve">Biological exposure: all Category 2 and 3 water must be treated as infectious — universal precautions apply throughout the entire job</w:t>
      </w:r>
    </w:p>
    <w:p>
      <w:pPr>
        <w:pStyle w:val="ListParagraph"/>
        <w:numPr>
          <w:ilvl w:val="0"/>
          <w:numId w:val="2"/>
        </w:numPr>
        <w:spacing w:after="40" w:before="40"/>
      </w:pPr>
      <w:r>
        <w:rPr>
          <w:rFonts w:ascii="Arial" w:cs="Arial" w:eastAsia="Arial" w:hAnsi="Arial"/>
          <w:sz w:val="22"/>
          <w:szCs w:val="22"/>
        </w:rPr>
        <w:t xml:space="preserve">Chemical exposure: if the source water may contain industrial chemicals, obtain SDS for any identified substances and conduct atmosphere testing before permitting entry</w:t>
      </w:r>
    </w:p>
    <w:p>
      <w:pPr>
        <w:pStyle w:val="ListParagraph"/>
        <w:numPr>
          <w:ilvl w:val="0"/>
          <w:numId w:val="2"/>
        </w:numPr>
        <w:spacing w:after="40" w:before="40"/>
      </w:pPr>
      <w:r>
        <w:rPr>
          <w:rFonts w:ascii="Arial" w:cs="Arial" w:eastAsia="Arial" w:hAnsi="Arial"/>
          <w:sz w:val="22"/>
          <w:szCs w:val="22"/>
        </w:rPr>
        <w:t xml:space="preserve">Airborne mould: if visible mould is present at first inspection, establish negative pressure containment before commencing any extraction or drying activity</w:t>
      </w:r>
    </w:p>
    <w:p>
      <w:pPr>
        <w:pStyle w:val="ListParagraph"/>
        <w:numPr>
          <w:ilvl w:val="0"/>
          <w:numId w:val="2"/>
        </w:numPr>
        <w:spacing w:after="40" w:before="40"/>
      </w:pPr>
      <w:r>
        <w:rPr>
          <w:rFonts w:ascii="Arial" w:cs="Arial" w:eastAsia="Arial" w:hAnsi="Arial"/>
          <w:sz w:val="22"/>
          <w:szCs w:val="22"/>
        </w:rPr>
        <w:t xml:space="preserve">Noise: truck-mounted extractors and industrial air movers exceed 85 dB — enforce hearing protection from engine start on every shift</w:t>
      </w:r>
    </w:p>
    <w:p>
      <w:pPr>
        <w:pStyle w:val="ListParagraph"/>
        <w:numPr>
          <w:ilvl w:val="0"/>
          <w:numId w:val="2"/>
        </w:numPr>
        <w:spacing w:after="40" w:before="40"/>
      </w:pPr>
      <w:r>
        <w:rPr>
          <w:rFonts w:ascii="Arial" w:cs="Arial" w:eastAsia="Arial" w:hAnsi="Arial"/>
          <w:sz w:val="22"/>
          <w:szCs w:val="22"/>
        </w:rPr>
        <w:t xml:space="preserve">Heat stress: working in full PPE in a hot or humid structure increases core body temperature rapidly — implement 20-minute work and 10-minute rest cycles, mandate hydration, and monitor for heat illness symptoms in ambient temperatures above 28 degrees Celsius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Exposure controls must be in place before work starts — not after the first worker reports feeling unwell. Pre-shift briefings must confirm current hazard categories, required PPE, site condition changes since last shift, and the emergency response plan for this specific site.</w:t>
      </w:r>
    </w:p>
    <w:p>
      <w:pPr>
        <w:spacing w:after="0" w:before="60"/>
      </w:pPr>
      <w:r>
        <w:t xml:space="preserve"/>
      </w:r>
    </w:p>
    <w:p>
      <w:pPr>
        <w:spacing w:after="80" w:before="200"/>
      </w:pPr>
      <w:r>
        <w:rPr>
          <w:rFonts w:ascii="Arial" w:cs="Arial" w:eastAsia="Arial" w:hAnsi="Arial"/>
          <w:b/>
          <w:bCs/>
          <w:sz w:val="23"/>
          <w:szCs w:val="23"/>
        </w:rPr>
        <w:t xml:space="preserve">Module 4: Equipment Safety</w:t>
      </w:r>
    </w:p>
    <w:p>
      <w:pPr>
        <w:pStyle w:val="ListParagraph"/>
        <w:numPr>
          <w:ilvl w:val="0"/>
          <w:numId w:val="2"/>
        </w:numPr>
        <w:spacing w:after="40" w:before="40"/>
      </w:pPr>
      <w:r>
        <w:rPr>
          <w:rFonts w:ascii="Arial" w:cs="Arial" w:eastAsia="Arial" w:hAnsi="Arial"/>
          <w:sz w:val="22"/>
          <w:szCs w:val="22"/>
        </w:rPr>
        <w:t xml:space="preserve">Electrical equipment near water: RCD protection is mandatory for all 240V equipment in wet environments — test the RCD before each use</w:t>
      </w:r>
    </w:p>
    <w:p>
      <w:pPr>
        <w:pStyle w:val="ListParagraph"/>
        <w:numPr>
          <w:ilvl w:val="0"/>
          <w:numId w:val="2"/>
        </w:numPr>
        <w:spacing w:after="40" w:before="40"/>
      </w:pPr>
      <w:r>
        <w:rPr>
          <w:rFonts w:ascii="Arial" w:cs="Arial" w:eastAsia="Arial" w:hAnsi="Arial"/>
          <w:sz w:val="22"/>
          <w:szCs w:val="22"/>
        </w:rPr>
        <w:t xml:space="preserve">Extension leads: use only leads rated for outdoor and wet environments — no joins, no damaged insulation</w:t>
      </w:r>
    </w:p>
    <w:p>
      <w:pPr>
        <w:pStyle w:val="ListParagraph"/>
        <w:numPr>
          <w:ilvl w:val="0"/>
          <w:numId w:val="2"/>
        </w:numPr>
        <w:spacing w:after="40" w:before="40"/>
      </w:pPr>
      <w:r>
        <w:rPr>
          <w:rFonts w:ascii="Arial" w:cs="Arial" w:eastAsia="Arial" w:hAnsi="Arial"/>
          <w:sz w:val="22"/>
          <w:szCs w:val="22"/>
        </w:rPr>
        <w:t xml:space="preserve">Air movers and dehumidifiers: position to avoid trip hazards and secure all electrical leads with cable clips or ramps</w:t>
      </w:r>
    </w:p>
    <w:p>
      <w:pPr>
        <w:pStyle w:val="ListParagraph"/>
        <w:numPr>
          <w:ilvl w:val="0"/>
          <w:numId w:val="2"/>
        </w:numPr>
        <w:spacing w:after="40" w:before="40"/>
      </w:pPr>
      <w:r>
        <w:rPr>
          <w:rFonts w:ascii="Arial" w:cs="Arial" w:eastAsia="Arial" w:hAnsi="Arial"/>
          <w:sz w:val="22"/>
          <w:szCs w:val="22"/>
        </w:rPr>
        <w:t xml:space="preserve">Truck-mounted units: exhaust fumes create CO risk — never position the exhaust near building entry points, windows, or HVAC intakes</w:t>
      </w:r>
    </w:p>
    <w:p>
      <w:pPr>
        <w:pStyle w:val="ListParagraph"/>
        <w:numPr>
          <w:ilvl w:val="0"/>
          <w:numId w:val="2"/>
        </w:numPr>
        <w:spacing w:after="40" w:before="40"/>
      </w:pPr>
      <w:r>
        <w:rPr>
          <w:rFonts w:ascii="Arial" w:cs="Arial" w:eastAsia="Arial" w:hAnsi="Arial"/>
          <w:sz w:val="22"/>
          <w:szCs w:val="22"/>
        </w:rPr>
        <w:t xml:space="preserve">Plant and equipment register: all equipment used on site must be inspected, tagged, and compliant — tag out and remove any defective equipment immediately</w:t>
      </w:r>
    </w:p>
    <w:p>
      <w:pPr>
        <w:pStyle w:val="ListParagraph"/>
        <w:numPr>
          <w:ilvl w:val="0"/>
          <w:numId w:val="2"/>
        </w:numPr>
        <w:spacing w:after="40" w:before="40"/>
      </w:pPr>
      <w:r>
        <w:rPr>
          <w:rFonts w:ascii="Arial" w:cs="Arial" w:eastAsia="Arial" w:hAnsi="Arial"/>
          <w:sz w:val="22"/>
          <w:szCs w:val="22"/>
        </w:rPr>
        <w:t xml:space="preserve">Manual handling: wet carpet and saturated building materials are extremely heavy — use mechanical assist tools and implement two-person lift protocols for items over 16 kilograms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Part 5.1 — Management of Risks of Plant: all equipment used on a job site must be designed safely, used according to manufacturer instructions, maintained, and inspected. Inspection logs must be retained as part of the project file.</w:t>
      </w:r>
    </w:p>
    <w:p>
      <w:r>
        <w:br w:type="page"/>
      </w:r>
    </w:p>
    <w:p>
      <w:pPr>
        <w:pStyle w:val="Heading1"/>
        <w:spacing w:after="120" w:before="400"/>
      </w:pPr>
      <w:r>
        <w:rPr>
          <w:rFonts w:ascii="Arial" w:cs="Arial" w:eastAsia="Arial" w:hAnsi="Arial"/>
          <w:b/>
          <w:bCs/>
          <w:sz w:val="28"/>
          <w:szCs w:val="28"/>
        </w:rPr>
        <w:t xml:space="preserve">Course 78: Donning and Doffing PPE</w:t>
      </w:r>
    </w:p>
    <w:p>
      <w:pPr>
        <w:spacing w:after="60" w:before="60"/>
      </w:pPr>
      <w:r>
        <w:rPr>
          <w:rFonts w:ascii="Arial" w:cs="Arial" w:eastAsia="Arial" w:hAnsi="Arial"/>
          <w:sz w:val="22"/>
          <w:szCs w:val="22"/>
        </w:rPr>
        <w:t xml:space="preserve">Price: AUD $39  |  Status: Published  |  Modules: 3</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The value of PPE depends entirely on how it is put on and taken off. A correctly selected respirator worn incorrectly provides little protection. Removing contaminated PPE carelessly transfers the hazards it was designed to stop. This course provides step-by-step donning and doffing protocols for full PPE in restoration, mould remediation, and infection control environments — including heat illness recognition and response.</w:t>
      </w:r>
    </w:p>
    <w:p>
      <w:pPr>
        <w:spacing w:after="0" w:before="60"/>
      </w:pPr>
      <w:r>
        <w:t xml:space="preserve"/>
      </w:r>
    </w:p>
    <w:p>
      <w:pPr>
        <w:spacing w:after="80" w:before="200"/>
      </w:pPr>
      <w:r>
        <w:rPr>
          <w:rFonts w:ascii="Arial" w:cs="Arial" w:eastAsia="Arial" w:hAnsi="Arial"/>
          <w:b/>
          <w:bCs/>
          <w:sz w:val="23"/>
          <w:szCs w:val="23"/>
        </w:rPr>
        <w:t xml:space="preserve">Module 1: Personal Protective Equipment (PPE)</w:t>
      </w:r>
    </w:p>
    <w:p>
      <w:pPr>
        <w:spacing w:after="60" w:before="60"/>
      </w:pPr>
      <w:r>
        <w:rPr>
          <w:rFonts w:ascii="Arial" w:cs="Arial" w:eastAsia="Arial" w:hAnsi="Arial"/>
          <w:sz w:val="22"/>
          <w:szCs w:val="22"/>
        </w:rPr>
        <w:t xml:space="preserve">Before donning any PPE, every item must be inspected, confirmed as the correct size, and matched to the hazard classification of the environment being entered.</w:t>
      </w:r>
    </w:p>
    <w:p>
      <w:pPr>
        <w:pStyle w:val="ListParagraph"/>
        <w:numPr>
          <w:ilvl w:val="0"/>
          <w:numId w:val="2"/>
        </w:numPr>
        <w:spacing w:after="40" w:before="40"/>
      </w:pPr>
      <w:r>
        <w:rPr>
          <w:rFonts w:ascii="Arial" w:cs="Arial" w:eastAsia="Arial" w:hAnsi="Arial"/>
          <w:sz w:val="22"/>
          <w:szCs w:val="22"/>
        </w:rPr>
        <w:t xml:space="preserve">Inspect before use: check expiry date, seal integrity, and for any visible damage — reject and replace any compromised item before entry</w:t>
      </w:r>
    </w:p>
    <w:p>
      <w:pPr>
        <w:pStyle w:val="ListParagraph"/>
        <w:numPr>
          <w:ilvl w:val="0"/>
          <w:numId w:val="2"/>
        </w:numPr>
        <w:spacing w:after="40" w:before="40"/>
      </w:pPr>
      <w:r>
        <w:rPr>
          <w:rFonts w:ascii="Arial" w:cs="Arial" w:eastAsia="Arial" w:hAnsi="Arial"/>
          <w:sz w:val="22"/>
          <w:szCs w:val="22"/>
        </w:rPr>
        <w:t xml:space="preserve">Match PPE to hazard: P2 for mould and bonded asbestos, P3 or full-face for high-concentration particulate, Type 5 or 6 coveralls for contaminated environments, Type 4 for liquid splash risk</w:t>
      </w:r>
    </w:p>
    <w:p>
      <w:pPr>
        <w:pStyle w:val="ListParagraph"/>
        <w:numPr>
          <w:ilvl w:val="0"/>
          <w:numId w:val="2"/>
        </w:numPr>
        <w:spacing w:after="40" w:before="40"/>
      </w:pPr>
      <w:r>
        <w:rPr>
          <w:rFonts w:ascii="Arial" w:cs="Arial" w:eastAsia="Arial" w:hAnsi="Arial"/>
          <w:sz w:val="22"/>
          <w:szCs w:val="22"/>
        </w:rPr>
        <w:t xml:space="preserve">Sizing: ill-fitting respirators, coveralls, or gloves compromise protection — maintain a full range of sizes on every vehicle</w:t>
      </w:r>
    </w:p>
    <w:p>
      <w:pPr>
        <w:pStyle w:val="ListParagraph"/>
        <w:numPr>
          <w:ilvl w:val="0"/>
          <w:numId w:val="2"/>
        </w:numPr>
        <w:spacing w:after="40" w:before="40"/>
      </w:pPr>
      <w:r>
        <w:rPr>
          <w:rFonts w:ascii="Arial" w:cs="Arial" w:eastAsia="Arial" w:hAnsi="Arial"/>
          <w:sz w:val="22"/>
          <w:szCs w:val="22"/>
        </w:rPr>
        <w:t xml:space="preserve">Standard PPE kit for water damage: one pair nitrile gloves, P2 respirator, safety glasses, Type 5 or 6 disposable coveralls, safety boots — pre-pack and restock after every contaminated job</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AS/NZS 1716: Selection, Use and Maintenance of Respiratory Protective Equipment. AS/NZS 4501.2: Occupational Protective Clothing. Both standards specify performance, labelling, and inspection requirements for compliant PPE.</w:t>
      </w:r>
    </w:p>
    <w:p>
      <w:pPr>
        <w:spacing w:after="0" w:before="60"/>
      </w:pPr>
      <w:r>
        <w:t xml:space="preserve"/>
      </w:r>
    </w:p>
    <w:p>
      <w:pPr>
        <w:spacing w:after="80" w:before="200"/>
      </w:pPr>
      <w:r>
        <w:rPr>
          <w:rFonts w:ascii="Arial" w:cs="Arial" w:eastAsia="Arial" w:hAnsi="Arial"/>
          <w:b/>
          <w:bCs/>
          <w:sz w:val="23"/>
          <w:szCs w:val="23"/>
        </w:rPr>
        <w:t xml:space="preserve">Module 2: Donning and Doffing PPE</w:t>
      </w:r>
    </w:p>
    <w:p>
      <w:pPr>
        <w:spacing w:after="60" w:before="160"/>
      </w:pPr>
      <w:r>
        <w:rPr>
          <w:rFonts w:ascii="Arial" w:cs="Arial" w:eastAsia="Arial" w:hAnsi="Arial"/>
          <w:b/>
          <w:bCs/>
          <w:sz w:val="22"/>
          <w:szCs w:val="22"/>
        </w:rPr>
        <w:t xml:space="preserve">Donning Sequence - Always Follow This Order</w:t>
      </w:r>
    </w:p>
    <w:p>
      <w:pPr>
        <w:pStyle w:val="ListParagraph"/>
        <w:numPr>
          <w:ilvl w:val="0"/>
          <w:numId w:val="2"/>
        </w:numPr>
        <w:spacing w:after="40" w:before="40"/>
      </w:pPr>
      <w:r>
        <w:rPr>
          <w:rFonts w:ascii="Arial" w:cs="Arial" w:eastAsia="Arial" w:hAnsi="Arial"/>
          <w:sz w:val="22"/>
          <w:szCs w:val="22"/>
        </w:rPr>
        <w:t xml:space="preserve">Step 1 - Safety boots: on before coveralls to prevent trip hazard during donning</w:t>
      </w:r>
    </w:p>
    <w:p>
      <w:pPr>
        <w:pStyle w:val="ListParagraph"/>
        <w:numPr>
          <w:ilvl w:val="0"/>
          <w:numId w:val="2"/>
        </w:numPr>
        <w:spacing w:after="40" w:before="40"/>
      </w:pPr>
      <w:r>
        <w:rPr>
          <w:rFonts w:ascii="Arial" w:cs="Arial" w:eastAsia="Arial" w:hAnsi="Arial"/>
          <w:sz w:val="22"/>
          <w:szCs w:val="22"/>
        </w:rPr>
        <w:t xml:space="preserve">Step 2 - Coveralls: pull on and zip up, but leave the hood down and face area open until the respirator is fitted and checked</w:t>
      </w:r>
    </w:p>
    <w:p>
      <w:pPr>
        <w:pStyle w:val="ListParagraph"/>
        <w:numPr>
          <w:ilvl w:val="0"/>
          <w:numId w:val="2"/>
        </w:numPr>
        <w:spacing w:after="40" w:before="40"/>
      </w:pPr>
      <w:r>
        <w:rPr>
          <w:rFonts w:ascii="Arial" w:cs="Arial" w:eastAsia="Arial" w:hAnsi="Arial"/>
          <w:sz w:val="22"/>
          <w:szCs w:val="22"/>
        </w:rPr>
        <w:t xml:space="preserve">Step 3 - Respirator: fit and perform a positive and negative pressure seal check before proceeding</w:t>
      </w:r>
    </w:p>
    <w:p>
      <w:pPr>
        <w:pStyle w:val="ListParagraph"/>
        <w:numPr>
          <w:ilvl w:val="0"/>
          <w:numId w:val="2"/>
        </w:numPr>
        <w:spacing w:after="40" w:before="40"/>
      </w:pPr>
      <w:r>
        <w:rPr>
          <w:rFonts w:ascii="Arial" w:cs="Arial" w:eastAsia="Arial" w:hAnsi="Arial"/>
          <w:sz w:val="22"/>
          <w:szCs w:val="22"/>
        </w:rPr>
        <w:t xml:space="preserve">Step 4 - Safety glasses or goggles: fit over the respirator straps</w:t>
      </w:r>
    </w:p>
    <w:p>
      <w:pPr>
        <w:pStyle w:val="ListParagraph"/>
        <w:numPr>
          <w:ilvl w:val="0"/>
          <w:numId w:val="2"/>
        </w:numPr>
        <w:spacing w:after="40" w:before="40"/>
      </w:pPr>
      <w:r>
        <w:rPr>
          <w:rFonts w:ascii="Arial" w:cs="Arial" w:eastAsia="Arial" w:hAnsi="Arial"/>
          <w:sz w:val="22"/>
          <w:szCs w:val="22"/>
        </w:rPr>
        <w:t xml:space="preserve">Step 5 - Hood: pull over head so it covers the respirator straps with no gaps at the neck or temples</w:t>
      </w:r>
    </w:p>
    <w:p>
      <w:pPr>
        <w:pStyle w:val="ListParagraph"/>
        <w:numPr>
          <w:ilvl w:val="0"/>
          <w:numId w:val="2"/>
        </w:numPr>
        <w:spacing w:after="40" w:before="40"/>
      </w:pPr>
      <w:r>
        <w:rPr>
          <w:rFonts w:ascii="Arial" w:cs="Arial" w:eastAsia="Arial" w:hAnsi="Arial"/>
          <w:sz w:val="22"/>
          <w:szCs w:val="22"/>
        </w:rPr>
        <w:t xml:space="preserve">Step 6 - Outer gloves: pull over the coverall cuff with no exposed skin gap between glove and coverall</w:t>
      </w:r>
    </w:p>
    <w:p>
      <w:pPr>
        <w:pStyle w:val="ListParagraph"/>
        <w:numPr>
          <w:ilvl w:val="0"/>
          <w:numId w:val="2"/>
        </w:numPr>
        <w:spacing w:after="40" w:before="40"/>
      </w:pPr>
      <w:r>
        <w:rPr>
          <w:rFonts w:ascii="Arial" w:cs="Arial" w:eastAsia="Arial" w:hAnsi="Arial"/>
          <w:sz w:val="22"/>
          <w:szCs w:val="22"/>
        </w:rPr>
        <w:t xml:space="preserve">Step 7 - Buddy check: have a colleague inspect for gaps, failed seals, or equipment issues before entering the contamination zone</w:t>
      </w:r>
    </w:p>
    <w:p>
      <w:pPr>
        <w:spacing w:after="0" w:before="60"/>
      </w:pPr>
      <w:r>
        <w:t xml:space="preserve"/>
      </w:r>
    </w:p>
    <w:p>
      <w:pPr>
        <w:spacing w:after="60" w:before="160"/>
      </w:pPr>
      <w:r>
        <w:rPr>
          <w:rFonts w:ascii="Arial" w:cs="Arial" w:eastAsia="Arial" w:hAnsi="Arial"/>
          <w:b/>
          <w:bCs/>
          <w:sz w:val="22"/>
          <w:szCs w:val="22"/>
        </w:rPr>
        <w:t xml:space="preserve">Doffing Sequence - Contaminated Side to Clean Side</w:t>
      </w:r>
    </w:p>
    <w:p>
      <w:pPr>
        <w:pStyle w:val="ListParagraph"/>
        <w:numPr>
          <w:ilvl w:val="0"/>
          <w:numId w:val="2"/>
        </w:numPr>
        <w:spacing w:after="40" w:before="40"/>
      </w:pPr>
      <w:r>
        <w:rPr>
          <w:rFonts w:ascii="Arial" w:cs="Arial" w:eastAsia="Arial" w:hAnsi="Arial"/>
          <w:sz w:val="22"/>
          <w:szCs w:val="22"/>
        </w:rPr>
        <w:t xml:space="preserve">Step 1 - Brush down: HEPA-vacuum coveralls and boot soles while still inside the contamination zone before moving to the exit</w:t>
      </w:r>
    </w:p>
    <w:p>
      <w:pPr>
        <w:pStyle w:val="ListParagraph"/>
        <w:numPr>
          <w:ilvl w:val="0"/>
          <w:numId w:val="2"/>
        </w:numPr>
        <w:spacing w:after="40" w:before="40"/>
      </w:pPr>
      <w:r>
        <w:rPr>
          <w:rFonts w:ascii="Arial" w:cs="Arial" w:eastAsia="Arial" w:hAnsi="Arial"/>
          <w:sz w:val="22"/>
          <w:szCs w:val="22"/>
        </w:rPr>
        <w:t xml:space="preserve">Step 2 - Outer gloves: peel off first, turning inside-out as removed — bag immediately inside the contamination zone</w:t>
      </w:r>
    </w:p>
    <w:p>
      <w:pPr>
        <w:pStyle w:val="ListParagraph"/>
        <w:numPr>
          <w:ilvl w:val="0"/>
          <w:numId w:val="2"/>
        </w:numPr>
        <w:spacing w:after="40" w:before="40"/>
      </w:pPr>
      <w:r>
        <w:rPr>
          <w:rFonts w:ascii="Arial" w:cs="Arial" w:eastAsia="Arial" w:hAnsi="Arial"/>
          <w:sz w:val="22"/>
          <w:szCs w:val="22"/>
        </w:rPr>
        <w:t xml:space="preserve">Step 3 - Coveralls: unzip and peel off rolling downward and outward — never pull over the head — bag inside the contamination zone</w:t>
      </w:r>
    </w:p>
    <w:p>
      <w:pPr>
        <w:pStyle w:val="ListParagraph"/>
        <w:numPr>
          <w:ilvl w:val="0"/>
          <w:numId w:val="2"/>
        </w:numPr>
        <w:spacing w:after="40" w:before="40"/>
      </w:pPr>
      <w:r>
        <w:rPr>
          <w:rFonts w:ascii="Arial" w:cs="Arial" w:eastAsia="Arial" w:hAnsi="Arial"/>
          <w:sz w:val="22"/>
          <w:szCs w:val="22"/>
        </w:rPr>
        <w:t xml:space="preserve">Step 4 - Safety boots: wipe with a disinfectant-soaked cloth or step through a boot-wash station before crossing into the clean zone</w:t>
      </w:r>
    </w:p>
    <w:p>
      <w:pPr>
        <w:pStyle w:val="ListParagraph"/>
        <w:numPr>
          <w:ilvl w:val="0"/>
          <w:numId w:val="2"/>
        </w:numPr>
        <w:spacing w:after="40" w:before="40"/>
      </w:pPr>
      <w:r>
        <w:rPr>
          <w:rFonts w:ascii="Arial" w:cs="Arial" w:eastAsia="Arial" w:hAnsi="Arial"/>
          <w:sz w:val="22"/>
          <w:szCs w:val="22"/>
        </w:rPr>
        <w:t xml:space="preserve">Step 5 - Exit contamination zone or decontamination room</w:t>
      </w:r>
    </w:p>
    <w:p>
      <w:pPr>
        <w:pStyle w:val="ListParagraph"/>
        <w:numPr>
          <w:ilvl w:val="0"/>
          <w:numId w:val="2"/>
        </w:numPr>
        <w:spacing w:after="40" w:before="40"/>
      </w:pPr>
      <w:r>
        <w:rPr>
          <w:rFonts w:ascii="Arial" w:cs="Arial" w:eastAsia="Arial" w:hAnsi="Arial"/>
          <w:sz w:val="22"/>
          <w:szCs w:val="22"/>
        </w:rPr>
        <w:t xml:space="preserve">Step 6 - Goggles or safety glasses: remove and decontaminate with a disinfectant wipe</w:t>
      </w:r>
    </w:p>
    <w:p>
      <w:pPr>
        <w:pStyle w:val="ListParagraph"/>
        <w:numPr>
          <w:ilvl w:val="0"/>
          <w:numId w:val="2"/>
        </w:numPr>
        <w:spacing w:after="40" w:before="40"/>
      </w:pPr>
      <w:r>
        <w:rPr>
          <w:rFonts w:ascii="Arial" w:cs="Arial" w:eastAsia="Arial" w:hAnsi="Arial"/>
          <w:sz w:val="22"/>
          <w:szCs w:val="22"/>
        </w:rPr>
        <w:t xml:space="preserve">Step 7 - Respirator: remove last — do not touch the facepiece — remove by the straps from behind, then bag for disposal or clean for reuse</w:t>
      </w:r>
    </w:p>
    <w:p>
      <w:pPr>
        <w:pStyle w:val="ListParagraph"/>
        <w:numPr>
          <w:ilvl w:val="0"/>
          <w:numId w:val="2"/>
        </w:numPr>
        <w:spacing w:after="40" w:before="40"/>
      </w:pPr>
      <w:r>
        <w:rPr>
          <w:rFonts w:ascii="Arial" w:cs="Arial" w:eastAsia="Arial" w:hAnsi="Arial"/>
          <w:sz w:val="22"/>
          <w:szCs w:val="22"/>
        </w:rPr>
        <w:t xml:space="preserve">Step 8 - Hand hygiene: wash hands with soap and water for a minimum of 20 seconds immediately after doffing is complete</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The doffing sequence is where most contamination transfer incidents occur. The respirator comes off last — always. Removing it earlier defeats its purpose at the highest-risk moment, when you are still handling contaminated coveralls and gloves.</w:t>
      </w:r>
    </w:p>
    <w:p>
      <w:pPr>
        <w:spacing w:after="0" w:before="60"/>
      </w:pPr>
      <w:r>
        <w:t xml:space="preserve"/>
      </w:r>
    </w:p>
    <w:p>
      <w:pPr>
        <w:spacing w:after="80" w:before="200"/>
      </w:pPr>
      <w:r>
        <w:rPr>
          <w:rFonts w:ascii="Arial" w:cs="Arial" w:eastAsia="Arial" w:hAnsi="Arial"/>
          <w:b/>
          <w:bCs/>
          <w:sz w:val="23"/>
          <w:szCs w:val="23"/>
        </w:rPr>
        <w:t xml:space="preserve">Module 3: Heat Exhaustion and Heat Stroke</w:t>
      </w:r>
    </w:p>
    <w:p>
      <w:pPr>
        <w:spacing w:after="60" w:before="60"/>
      </w:pPr>
      <w:r>
        <w:rPr>
          <w:rFonts w:ascii="Arial" w:cs="Arial" w:eastAsia="Arial" w:hAnsi="Arial"/>
          <w:sz w:val="22"/>
          <w:szCs w:val="22"/>
        </w:rPr>
        <w:t xml:space="preserve">Working in full PPE significantly increases core body temperature. In hot or humid conditions, heat-related illness can develop rapidly — and in a contaminated environment, a worker may not be able to remove their PPE without assistance.</w:t>
      </w:r>
    </w:p>
    <w:p>
      <w:pPr>
        <w:pStyle w:val="ListParagraph"/>
        <w:numPr>
          <w:ilvl w:val="0"/>
          <w:numId w:val="2"/>
        </w:numPr>
        <w:spacing w:after="40" w:before="40"/>
      </w:pPr>
      <w:r>
        <w:rPr>
          <w:rFonts w:ascii="Arial" w:cs="Arial" w:eastAsia="Arial" w:hAnsi="Arial"/>
          <w:sz w:val="22"/>
          <w:szCs w:val="22"/>
        </w:rPr>
        <w:t xml:space="preserve">Heat exhaustion signs: heavy sweating, weakness, cool pale and clammy skin, weak pulse, nausea, possible faintness — person remains conscious</w:t>
      </w:r>
    </w:p>
    <w:p>
      <w:pPr>
        <w:pStyle w:val="ListParagraph"/>
        <w:numPr>
          <w:ilvl w:val="0"/>
          <w:numId w:val="2"/>
        </w:numPr>
        <w:spacing w:after="40" w:before="40"/>
      </w:pPr>
      <w:r>
        <w:rPr>
          <w:rFonts w:ascii="Arial" w:cs="Arial" w:eastAsia="Arial" w:hAnsi="Arial"/>
          <w:sz w:val="22"/>
          <w:szCs w:val="22"/>
        </w:rPr>
        <w:t xml:space="preserve">Heat stroke signs: core temperature above 39 degrees Celsius, hot red dry or damp skin, rapid strong pulse, confusion or loss of consciousness — this is a medical emergency, call 000 immediately</w:t>
      </w:r>
    </w:p>
    <w:p>
      <w:pPr>
        <w:pStyle w:val="ListParagraph"/>
        <w:numPr>
          <w:ilvl w:val="0"/>
          <w:numId w:val="2"/>
        </w:numPr>
        <w:spacing w:after="40" w:before="40"/>
      </w:pPr>
      <w:r>
        <w:rPr>
          <w:rFonts w:ascii="Arial" w:cs="Arial" w:eastAsia="Arial" w:hAnsi="Arial"/>
          <w:sz w:val="22"/>
          <w:szCs w:val="22"/>
        </w:rPr>
        <w:t xml:space="preserve">Prevention: 20-minute on and 10-minute rest rotation in full PPE, pre-hydration with 500 mL water before suit-up, rest in a shaded cool zone during all breaks, buddy system so no worker is alone in a suit</w:t>
      </w:r>
    </w:p>
    <w:p>
      <w:pPr>
        <w:pStyle w:val="ListParagraph"/>
        <w:numPr>
          <w:ilvl w:val="0"/>
          <w:numId w:val="2"/>
        </w:numPr>
        <w:spacing w:after="40" w:before="40"/>
      </w:pPr>
      <w:r>
        <w:rPr>
          <w:rFonts w:ascii="Arial" w:cs="Arial" w:eastAsia="Arial" w:hAnsi="Arial"/>
          <w:sz w:val="22"/>
          <w:szCs w:val="22"/>
        </w:rPr>
        <w:t xml:space="preserve">Work scheduling: plan the highest-exertion tasks for early morning in temperatures above 28 degrees Celsius and reduce overall time in PPE per shift</w:t>
      </w:r>
    </w:p>
    <w:p>
      <w:pPr>
        <w:pStyle w:val="ListParagraph"/>
        <w:numPr>
          <w:ilvl w:val="0"/>
          <w:numId w:val="2"/>
        </w:numPr>
        <w:spacing w:after="40" w:before="40"/>
      </w:pPr>
      <w:r>
        <w:rPr>
          <w:rFonts w:ascii="Arial" w:cs="Arial" w:eastAsia="Arial" w:hAnsi="Arial"/>
          <w:sz w:val="22"/>
          <w:szCs w:val="22"/>
        </w:rPr>
        <w:t xml:space="preserve">First aid for heat exhaustion: move to cool area, remove PPE safely, cool with wet towels, provide fluids if fully conscious</w:t>
      </w:r>
    </w:p>
    <w:p>
      <w:pPr>
        <w:pStyle w:val="ListParagraph"/>
        <w:numPr>
          <w:ilvl w:val="0"/>
          <w:numId w:val="2"/>
        </w:numPr>
        <w:spacing w:after="40" w:before="40"/>
      </w:pPr>
      <w:r>
        <w:rPr>
          <w:rFonts w:ascii="Arial" w:cs="Arial" w:eastAsia="Arial" w:hAnsi="Arial"/>
          <w:sz w:val="22"/>
          <w:szCs w:val="22"/>
        </w:rPr>
        <w:t xml:space="preserve">First aid for heat stroke: call 000 immediately, cool rapidly with cold water immersion or ice packs applied to neck, armpits, and groin — do not give fluids if the person is unconscious or confused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r.55: The PCBU must manage risks from the work environment including heat. Work in full PPE above 28 degrees Celsius must be included in the site risk assessment with documented controls. Heat-related illness resulting in hospitalisation is a notifiable incident under the WHS Act.</w:t>
      </w:r>
    </w:p>
    <w:p>
      <w:r>
        <w:br w:type="page"/>
      </w:r>
    </w:p>
    <w:p>
      <w:pPr>
        <w:spacing w:after="120" w:before="0"/>
      </w:pPr>
      <w:r>
        <w:rPr>
          <w:rFonts w:ascii="Arial" w:cs="Arial" w:eastAsia="Arial" w:hAnsi="Arial"/>
          <w:b/>
          <w:bCs/>
          <w:sz w:val="32"/>
          <w:szCs w:val="32"/>
        </w:rPr>
        <w:t xml:space="preserve">SECTION B: MICROBIAL, INFECTION CONTROL &amp; HYGIENE COURSES</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This section covers all microbial remediation, infection control, and hygiene-focused courses in the CARSI curriculum. Content is aligned with Safe Work Australia guidelines, IICRC applied microbial remediation standards, and Australian infection control best practices for cleaning and restoration professionals.</w:t>
      </w:r>
    </w:p>
    <w:p>
      <w:pPr>
        <w:spacing w:after="0" w:before="60"/>
      </w:pPr>
      <w:r>
        <w:t xml:space="preserve"/>
      </w:r>
    </w:p>
    <w:p>
      <w:pPr>
        <w:spacing w:after="60" w:before="60"/>
      </w:pPr>
      <w:r>
        <w:rPr>
          <w:rFonts w:ascii="Arial" w:cs="Arial" w:eastAsia="Arial" w:hAnsi="Arial"/>
          <w:sz w:val="22"/>
          <w:szCs w:val="22"/>
        </w:rPr>
        <w:t xml:space="preserve">Courses in this section:</w:t>
      </w:r>
    </w:p>
    <w:p>
      <w:pPr>
        <w:pStyle w:val="ListParagraph"/>
        <w:numPr>
          <w:ilvl w:val="0"/>
          <w:numId w:val="2"/>
        </w:numPr>
        <w:spacing w:after="40" w:before="40"/>
      </w:pPr>
      <w:r>
        <w:rPr>
          <w:rFonts w:ascii="Arial" w:cs="Arial" w:eastAsia="Arial" w:hAnsi="Arial"/>
          <w:sz w:val="22"/>
          <w:szCs w:val="22"/>
        </w:rPr>
        <w:t xml:space="preserve">Course 28 - Using ATP to Create Protocols ($20)</w:t>
      </w:r>
    </w:p>
    <w:p>
      <w:pPr>
        <w:pStyle w:val="ListParagraph"/>
        <w:numPr>
          <w:ilvl w:val="0"/>
          <w:numId w:val="2"/>
        </w:numPr>
        <w:spacing w:after="40" w:before="40"/>
      </w:pPr>
      <w:r>
        <w:rPr>
          <w:rFonts w:ascii="Arial" w:cs="Arial" w:eastAsia="Arial" w:hAnsi="Arial"/>
          <w:sz w:val="22"/>
          <w:szCs w:val="22"/>
        </w:rPr>
        <w:t xml:space="preserve">Course 35 - Microbe Clean Basic Understanding Course ($99)</w:t>
      </w:r>
    </w:p>
    <w:p>
      <w:pPr>
        <w:pStyle w:val="ListParagraph"/>
        <w:numPr>
          <w:ilvl w:val="0"/>
          <w:numId w:val="2"/>
        </w:numPr>
        <w:spacing w:after="40" w:before="40"/>
      </w:pPr>
      <w:r>
        <w:rPr>
          <w:rFonts w:ascii="Arial" w:cs="Arial" w:eastAsia="Arial" w:hAnsi="Arial"/>
          <w:sz w:val="22"/>
          <w:szCs w:val="22"/>
        </w:rPr>
        <w:t xml:space="preserve">Course 71 - Introduction to Applied Microbial Remediation ($29)</w:t>
      </w:r>
    </w:p>
    <w:p>
      <w:pPr>
        <w:pStyle w:val="ListParagraph"/>
        <w:numPr>
          <w:ilvl w:val="0"/>
          <w:numId w:val="2"/>
        </w:numPr>
        <w:spacing w:after="40" w:before="40"/>
      </w:pPr>
      <w:r>
        <w:rPr>
          <w:rFonts w:ascii="Arial" w:cs="Arial" w:eastAsia="Arial" w:hAnsi="Arial"/>
          <w:sz w:val="22"/>
          <w:szCs w:val="22"/>
        </w:rPr>
        <w:t xml:space="preserve">Course 75 - Infectious Control for the Business Owner ($275)</w:t>
      </w:r>
    </w:p>
    <w:p>
      <w:pPr>
        <w:pStyle w:val="ListParagraph"/>
        <w:numPr>
          <w:ilvl w:val="0"/>
          <w:numId w:val="2"/>
        </w:numPr>
        <w:spacing w:after="40" w:before="40"/>
      </w:pPr>
      <w:r>
        <w:rPr>
          <w:rFonts w:ascii="Arial" w:cs="Arial" w:eastAsia="Arial" w:hAnsi="Arial"/>
          <w:sz w:val="22"/>
          <w:szCs w:val="22"/>
        </w:rPr>
        <w:t xml:space="preserve">Course 76 - Infection Control in Child Care ($99)</w:t>
      </w:r>
    </w:p>
    <w:p>
      <w:r>
        <w:br w:type="page"/>
      </w:r>
    </w:p>
    <w:p>
      <w:pPr>
        <w:pStyle w:val="Heading1"/>
        <w:spacing w:after="120" w:before="400"/>
      </w:pPr>
      <w:r>
        <w:rPr>
          <w:rFonts w:ascii="Arial" w:cs="Arial" w:eastAsia="Arial" w:hAnsi="Arial"/>
          <w:b/>
          <w:bCs/>
          <w:sz w:val="28"/>
          <w:szCs w:val="28"/>
        </w:rPr>
        <w:t xml:space="preserve">Course 28: Using ATP to Create Protocols</w:t>
      </w:r>
    </w:p>
    <w:p>
      <w:pPr>
        <w:spacing w:after="60" w:before="60"/>
      </w:pPr>
      <w:r>
        <w:rPr>
          <w:rFonts w:ascii="Arial" w:cs="Arial" w:eastAsia="Arial" w:hAnsi="Arial"/>
          <w:sz w:val="22"/>
          <w:szCs w:val="22"/>
        </w:rPr>
        <w:t xml:space="preserve">Price: AUD $20  |  Status: Published  |  Modules: 5</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ATP (adenosine triphosphate) bioluminescence testing is the industry standard method for verifying surface hygiene after cleaning and disinfection. This course teaches restoration and hygiene professionals how to use ATP meters correctly, how to interpret results, how to establish site-specific benchmarks, and how to build ATP-based cleaning verification protocols that satisfy insurance, regulatory, and client audit requirements.</w:t>
      </w:r>
    </w:p>
    <w:p>
      <w:pPr>
        <w:spacing w:after="0" w:before="60"/>
      </w:pPr>
      <w:r>
        <w:t xml:space="preserve"/>
      </w:r>
    </w:p>
    <w:p>
      <w:pPr>
        <w:spacing w:after="80" w:before="200"/>
      </w:pPr>
      <w:r>
        <w:rPr>
          <w:rFonts w:ascii="Arial" w:cs="Arial" w:eastAsia="Arial" w:hAnsi="Arial"/>
          <w:b/>
          <w:bCs/>
          <w:sz w:val="23"/>
          <w:szCs w:val="23"/>
        </w:rPr>
        <w:t xml:space="preserve">Module 1: ATP Terminology</w:t>
      </w:r>
    </w:p>
    <w:p>
      <w:pPr>
        <w:spacing w:after="60" w:before="60"/>
      </w:pPr>
      <w:r>
        <w:rPr>
          <w:rFonts w:ascii="Arial" w:cs="Arial" w:eastAsia="Arial" w:hAnsi="Arial"/>
          <w:sz w:val="22"/>
          <w:szCs w:val="22"/>
        </w:rPr>
        <w:t xml:space="preserve">ATP is a molecule found in all living cells. ATP meters measure the light produced when ATP reacts with the luciferin-luciferase enzyme system — the result is expressed in Relative Light Units (RLU).</w:t>
      </w:r>
    </w:p>
    <w:p>
      <w:pPr>
        <w:pStyle w:val="ListParagraph"/>
        <w:numPr>
          <w:ilvl w:val="0"/>
          <w:numId w:val="2"/>
        </w:numPr>
        <w:spacing w:after="40" w:before="40"/>
      </w:pPr>
      <w:r>
        <w:rPr>
          <w:rFonts w:ascii="Arial" w:cs="Arial" w:eastAsia="Arial" w:hAnsi="Arial"/>
          <w:sz w:val="22"/>
          <w:szCs w:val="22"/>
        </w:rPr>
        <w:t xml:space="preserve">RLU (Relative Light Units): the unit of measurement produced by an ATP meter — higher RLU = more organic matter and microbial activity present</w:t>
      </w:r>
    </w:p>
    <w:p>
      <w:pPr>
        <w:pStyle w:val="ListParagraph"/>
        <w:numPr>
          <w:ilvl w:val="0"/>
          <w:numId w:val="2"/>
        </w:numPr>
        <w:spacing w:after="40" w:before="40"/>
      </w:pPr>
      <w:r>
        <w:rPr>
          <w:rFonts w:ascii="Arial" w:cs="Arial" w:eastAsia="Arial" w:hAnsi="Arial"/>
          <w:sz w:val="22"/>
          <w:szCs w:val="22"/>
        </w:rPr>
        <w:t xml:space="preserve">Bioluminescence: the light-producing reaction that drives ATP testing — instantaneous, requiring no laboratory wait time</w:t>
      </w:r>
    </w:p>
    <w:p>
      <w:pPr>
        <w:pStyle w:val="ListParagraph"/>
        <w:numPr>
          <w:ilvl w:val="0"/>
          <w:numId w:val="2"/>
        </w:numPr>
        <w:spacing w:after="40" w:before="40"/>
      </w:pPr>
      <w:r>
        <w:rPr>
          <w:rFonts w:ascii="Arial" w:cs="Arial" w:eastAsia="Arial" w:hAnsi="Arial"/>
          <w:sz w:val="22"/>
          <w:szCs w:val="22"/>
        </w:rPr>
        <w:t xml:space="preserve">ATP meters: handheld devices with single-use swab-vials — common brands include Hygiena SystemSURE Plus, 3M Clean-Trace, Neogen AccuPoint</w:t>
      </w:r>
    </w:p>
    <w:p>
      <w:pPr>
        <w:pStyle w:val="ListParagraph"/>
        <w:numPr>
          <w:ilvl w:val="0"/>
          <w:numId w:val="2"/>
        </w:numPr>
        <w:spacing w:after="40" w:before="40"/>
      </w:pPr>
      <w:r>
        <w:rPr>
          <w:rFonts w:ascii="Arial" w:cs="Arial" w:eastAsia="Arial" w:hAnsi="Arial"/>
          <w:sz w:val="22"/>
          <w:szCs w:val="22"/>
        </w:rPr>
        <w:t xml:space="preserve">Swab technique: surface contact area is standardised at 10 cm x 10 cm for consistent, comparable results across sites and over time</w:t>
      </w:r>
    </w:p>
    <w:p>
      <w:pPr>
        <w:pStyle w:val="ListParagraph"/>
        <w:numPr>
          <w:ilvl w:val="0"/>
          <w:numId w:val="2"/>
        </w:numPr>
        <w:spacing w:after="40" w:before="40"/>
      </w:pPr>
      <w:r>
        <w:rPr>
          <w:rFonts w:ascii="Arial" w:cs="Arial" w:eastAsia="Arial" w:hAnsi="Arial"/>
          <w:sz w:val="22"/>
          <w:szCs w:val="22"/>
        </w:rPr>
        <w:t xml:space="preserve">Pass and fail thresholds: set by the operator based on surface type, risk category, and client or regulatory requirement — not universal</w:t>
      </w:r>
    </w:p>
    <w:p>
      <w:pPr>
        <w:pStyle w:val="ListParagraph"/>
        <w:numPr>
          <w:ilvl w:val="0"/>
          <w:numId w:val="2"/>
        </w:numPr>
        <w:spacing w:after="40" w:before="40"/>
      </w:pPr>
      <w:r>
        <w:rPr>
          <w:rFonts w:ascii="Arial" w:cs="Arial" w:eastAsia="Arial" w:hAnsi="Arial"/>
          <w:sz w:val="22"/>
          <w:szCs w:val="22"/>
        </w:rPr>
        <w:t xml:space="preserve">Total ATP: includes both microbial ATP and non-microbial organic residue — useful for general surface cleanliness verification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Before using an ATP meter on a new job type, establish your baseline by testing clean reference surfaces before any contamination event. This gives you a site-specific pass threshold based on actual conditions rather than generic manufacturer values.</w:t>
      </w:r>
    </w:p>
    <w:p>
      <w:pPr>
        <w:spacing w:after="0" w:before="60"/>
      </w:pPr>
      <w:r>
        <w:t xml:space="preserve"/>
      </w:r>
    </w:p>
    <w:p>
      <w:pPr>
        <w:spacing w:after="80" w:before="200"/>
      </w:pPr>
      <w:r>
        <w:rPr>
          <w:rFonts w:ascii="Arial" w:cs="Arial" w:eastAsia="Arial" w:hAnsi="Arial"/>
          <w:b/>
          <w:bCs/>
          <w:sz w:val="23"/>
          <w:szCs w:val="23"/>
        </w:rPr>
        <w:t xml:space="preserve">Module 2: Hygiene Monitoring</w:t>
      </w:r>
    </w:p>
    <w:p>
      <w:pPr>
        <w:spacing w:after="60" w:before="60"/>
      </w:pPr>
      <w:r>
        <w:rPr>
          <w:rFonts w:ascii="Arial" w:cs="Arial" w:eastAsia="Arial" w:hAnsi="Arial"/>
          <w:sz w:val="22"/>
          <w:szCs w:val="22"/>
        </w:rPr>
        <w:t xml:space="preserve">ATP hygiene monitoring is used to verify that a surface has been cleaned and disinfected to a standard that reduces biological risk. It is not a standalone microbiological test — it confirms the effectiveness of the cleaning process, not the identity or count of specific pathogens.</w:t>
      </w:r>
    </w:p>
    <w:p>
      <w:pPr>
        <w:pStyle w:val="ListParagraph"/>
        <w:numPr>
          <w:ilvl w:val="0"/>
          <w:numId w:val="2"/>
        </w:numPr>
        <w:spacing w:after="40" w:before="40"/>
      </w:pPr>
      <w:r>
        <w:rPr>
          <w:rFonts w:ascii="Arial" w:cs="Arial" w:eastAsia="Arial" w:hAnsi="Arial"/>
          <w:sz w:val="22"/>
          <w:szCs w:val="22"/>
        </w:rPr>
        <w:t xml:space="preserve">Pre-cleaning baseline: test high-touch surfaces before cleaning to quantify the hygiene deficit and document starting conditions</w:t>
      </w:r>
    </w:p>
    <w:p>
      <w:pPr>
        <w:pStyle w:val="ListParagraph"/>
        <w:numPr>
          <w:ilvl w:val="0"/>
          <w:numId w:val="2"/>
        </w:numPr>
        <w:spacing w:after="40" w:before="40"/>
      </w:pPr>
      <w:r>
        <w:rPr>
          <w:rFonts w:ascii="Arial" w:cs="Arial" w:eastAsia="Arial" w:hAnsi="Arial"/>
          <w:sz w:val="22"/>
          <w:szCs w:val="22"/>
        </w:rPr>
        <w:t xml:space="preserve">Post-cleaning verification: test immediately after cleaning and disinfection — results confirm whether the process achieved the required standard</w:t>
      </w:r>
    </w:p>
    <w:p>
      <w:pPr>
        <w:pStyle w:val="ListParagraph"/>
        <w:numPr>
          <w:ilvl w:val="0"/>
          <w:numId w:val="2"/>
        </w:numPr>
        <w:spacing w:after="40" w:before="40"/>
      </w:pPr>
      <w:r>
        <w:rPr>
          <w:rFonts w:ascii="Arial" w:cs="Arial" w:eastAsia="Arial" w:hAnsi="Arial"/>
          <w:sz w:val="22"/>
          <w:szCs w:val="22"/>
        </w:rPr>
        <w:t xml:space="preserve">Trending: repeat monitoring over time identifies surfaces that consistently underperform, indicating a process or technique problem</w:t>
      </w:r>
    </w:p>
    <w:p>
      <w:pPr>
        <w:pStyle w:val="ListParagraph"/>
        <w:numPr>
          <w:ilvl w:val="0"/>
          <w:numId w:val="2"/>
        </w:numPr>
        <w:spacing w:after="40" w:before="40"/>
      </w:pPr>
      <w:r>
        <w:rPr>
          <w:rFonts w:ascii="Arial" w:cs="Arial" w:eastAsia="Arial" w:hAnsi="Arial"/>
          <w:sz w:val="22"/>
          <w:szCs w:val="22"/>
        </w:rPr>
        <w:t xml:space="preserve">High-risk surfaces to prioritise: door handles, light switches, tap handles, benchtops, keyboards, handrails, toilet flush buttons, shared equipment</w:t>
      </w:r>
    </w:p>
    <w:p>
      <w:pPr>
        <w:pStyle w:val="ListParagraph"/>
        <w:numPr>
          <w:ilvl w:val="0"/>
          <w:numId w:val="2"/>
        </w:numPr>
        <w:spacing w:after="40" w:before="40"/>
      </w:pPr>
      <w:r>
        <w:rPr>
          <w:rFonts w:ascii="Arial" w:cs="Arial" w:eastAsia="Arial" w:hAnsi="Arial"/>
          <w:sz w:val="22"/>
          <w:szCs w:val="22"/>
        </w:rPr>
        <w:t xml:space="preserve">Healthcare and childcare benchmark: typically less than 100 RLU for high-touch surfaces — confirm with the applicable standard for your sector</w:t>
      </w:r>
    </w:p>
    <w:p>
      <w:pPr>
        <w:pStyle w:val="ListParagraph"/>
        <w:numPr>
          <w:ilvl w:val="0"/>
          <w:numId w:val="2"/>
        </w:numPr>
        <w:spacing w:after="40" w:before="40"/>
      </w:pPr>
      <w:r>
        <w:rPr>
          <w:rFonts w:ascii="Arial" w:cs="Arial" w:eastAsia="Arial" w:hAnsi="Arial"/>
          <w:sz w:val="22"/>
          <w:szCs w:val="22"/>
        </w:rPr>
        <w:t xml:space="preserve">Restoration benchmark: post-remediation surfaces should achieve RLU consistent with the pre-damage baseline reading for the same surface material</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Document all ATP readings with surface location, date, time, and operator name. Use a consistent swab technique every time — inconsistent pressure or coverage area produces unreliable and incomparable data.</w:t>
      </w:r>
    </w:p>
    <w:p>
      <w:pPr>
        <w:spacing w:after="0" w:before="60"/>
      </w:pPr>
      <w:r>
        <w:t xml:space="preserve"/>
      </w:r>
    </w:p>
    <w:p>
      <w:pPr>
        <w:spacing w:after="80" w:before="200"/>
      </w:pPr>
      <w:r>
        <w:rPr>
          <w:rFonts w:ascii="Arial" w:cs="Arial" w:eastAsia="Arial" w:hAnsi="Arial"/>
          <w:b/>
          <w:bCs/>
          <w:sz w:val="23"/>
          <w:szCs w:val="23"/>
        </w:rPr>
        <w:t xml:space="preserve">Module 3: ATP and Protocols</w:t>
      </w:r>
    </w:p>
    <w:p>
      <w:pPr>
        <w:spacing w:after="60" w:before="60"/>
      </w:pPr>
      <w:r>
        <w:rPr>
          <w:rFonts w:ascii="Arial" w:cs="Arial" w:eastAsia="Arial" w:hAnsi="Arial"/>
          <w:sz w:val="22"/>
          <w:szCs w:val="22"/>
        </w:rPr>
        <w:t xml:space="preserve">An ATP protocol specifies which surfaces to test, when to test, what threshold constitutes a pass, and what action to take on a fail. A written protocol is essential for consistent, defensible hygiene verification.</w:t>
      </w:r>
    </w:p>
    <w:p>
      <w:pPr>
        <w:pStyle w:val="ListParagraph"/>
        <w:numPr>
          <w:ilvl w:val="0"/>
          <w:numId w:val="2"/>
        </w:numPr>
        <w:spacing w:after="40" w:before="40"/>
      </w:pPr>
      <w:r>
        <w:rPr>
          <w:rFonts w:ascii="Arial" w:cs="Arial" w:eastAsia="Arial" w:hAnsi="Arial"/>
          <w:sz w:val="22"/>
          <w:szCs w:val="22"/>
        </w:rPr>
        <w:t xml:space="preserve">Define scope: list all surfaces and zones included in the monitoring program — do not leave this to technician discretion</w:t>
      </w:r>
    </w:p>
    <w:p>
      <w:pPr>
        <w:pStyle w:val="ListParagraph"/>
        <w:numPr>
          <w:ilvl w:val="0"/>
          <w:numId w:val="2"/>
        </w:numPr>
        <w:spacing w:after="40" w:before="40"/>
      </w:pPr>
      <w:r>
        <w:rPr>
          <w:rFonts w:ascii="Arial" w:cs="Arial" w:eastAsia="Arial" w:hAnsi="Arial"/>
          <w:sz w:val="22"/>
          <w:szCs w:val="22"/>
        </w:rPr>
        <w:t xml:space="preserve">Set thresholds: establish pass and fail RLU values for each surface category based on risk level, surface type, and applicable industry benchmark</w:t>
      </w:r>
    </w:p>
    <w:p>
      <w:pPr>
        <w:pStyle w:val="ListParagraph"/>
        <w:numPr>
          <w:ilvl w:val="0"/>
          <w:numId w:val="2"/>
        </w:numPr>
        <w:spacing w:after="40" w:before="40"/>
      </w:pPr>
      <w:r>
        <w:rPr>
          <w:rFonts w:ascii="Arial" w:cs="Arial" w:eastAsia="Arial" w:hAnsi="Arial"/>
          <w:sz w:val="22"/>
          <w:szCs w:val="22"/>
        </w:rPr>
        <w:t xml:space="preserve">Define action on fail: specify the required response — reclean and retest, escalate to supervisor, notify client, or suspend operations in the affected zone</w:t>
      </w:r>
    </w:p>
    <w:p>
      <w:pPr>
        <w:pStyle w:val="ListParagraph"/>
        <w:numPr>
          <w:ilvl w:val="0"/>
          <w:numId w:val="2"/>
        </w:numPr>
        <w:spacing w:after="40" w:before="40"/>
      </w:pPr>
      <w:r>
        <w:rPr>
          <w:rFonts w:ascii="Arial" w:cs="Arial" w:eastAsia="Arial" w:hAnsi="Arial"/>
          <w:sz w:val="22"/>
          <w:szCs w:val="22"/>
        </w:rPr>
        <w:t xml:space="preserve">Calibration and maintenance: ATP meters must be calibrated per manufacturer schedule — out-of-calibration meters produce results that cannot be relied upon professionally</w:t>
      </w:r>
    </w:p>
    <w:p>
      <w:pPr>
        <w:pStyle w:val="ListParagraph"/>
        <w:numPr>
          <w:ilvl w:val="0"/>
          <w:numId w:val="2"/>
        </w:numPr>
        <w:spacing w:after="40" w:before="40"/>
      </w:pPr>
      <w:r>
        <w:rPr>
          <w:rFonts w:ascii="Arial" w:cs="Arial" w:eastAsia="Arial" w:hAnsi="Arial"/>
          <w:sz w:val="22"/>
          <w:szCs w:val="22"/>
        </w:rPr>
        <w:t xml:space="preserve">Chain of custody: results must be logged immediately, not reconstructed from memory — use the meter's built-in data logging function or a structured paper form</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For regulated environments including aged care, childcare, healthcare, and food preparation: ATP protocols must align with the relevant Australian Standard or regulatory guideline for that sector. Generic restoration protocols are not sufficient for these environments.</w:t>
      </w:r>
    </w:p>
    <w:p>
      <w:pPr>
        <w:spacing w:after="0" w:before="60"/>
      </w:pPr>
      <w:r>
        <w:t xml:space="preserve"/>
      </w:r>
    </w:p>
    <w:p>
      <w:pPr>
        <w:spacing w:after="80" w:before="200"/>
      </w:pPr>
      <w:r>
        <w:rPr>
          <w:rFonts w:ascii="Arial" w:cs="Arial" w:eastAsia="Arial" w:hAnsi="Arial"/>
          <w:b/>
          <w:bCs/>
          <w:sz w:val="23"/>
          <w:szCs w:val="23"/>
        </w:rPr>
        <w:t xml:space="preserve">Module 4: Testing Protocols</w:t>
      </w:r>
    </w:p>
    <w:p>
      <w:pPr>
        <w:spacing w:after="60" w:before="60"/>
      </w:pPr>
      <w:r>
        <w:rPr>
          <w:rFonts w:ascii="Arial" w:cs="Arial" w:eastAsia="Arial" w:hAnsi="Arial"/>
          <w:sz w:val="22"/>
          <w:szCs w:val="22"/>
        </w:rPr>
        <w:t xml:space="preserve">A testing protocol defines the exact method for conducting ATP testing to produce consistent, comparable results across operators, sites, and time.</w:t>
      </w:r>
    </w:p>
    <w:p>
      <w:pPr>
        <w:pStyle w:val="ListParagraph"/>
        <w:numPr>
          <w:ilvl w:val="0"/>
          <w:numId w:val="2"/>
        </w:numPr>
        <w:spacing w:after="40" w:before="40"/>
      </w:pPr>
      <w:r>
        <w:rPr>
          <w:rFonts w:ascii="Arial" w:cs="Arial" w:eastAsia="Arial" w:hAnsi="Arial"/>
          <w:sz w:val="22"/>
          <w:szCs w:val="22"/>
        </w:rPr>
        <w:t xml:space="preserve">Surface preparation: do not touch the test area with ungloved hands before swabbing — skin oils and organic residue will artificially elevate the reading</w:t>
      </w:r>
    </w:p>
    <w:p>
      <w:pPr>
        <w:pStyle w:val="ListParagraph"/>
        <w:numPr>
          <w:ilvl w:val="0"/>
          <w:numId w:val="2"/>
        </w:numPr>
        <w:spacing w:after="40" w:before="40"/>
      </w:pPr>
      <w:r>
        <w:rPr>
          <w:rFonts w:ascii="Arial" w:cs="Arial" w:eastAsia="Arial" w:hAnsi="Arial"/>
          <w:sz w:val="22"/>
          <w:szCs w:val="22"/>
        </w:rPr>
        <w:t xml:space="preserve">Swab technique: use firm, consistent pressure, swab in an S-pattern within the 10 cm x 10 cm test area, rotate the swab as you go to ensure full surface contact</w:t>
      </w:r>
    </w:p>
    <w:p>
      <w:pPr>
        <w:pStyle w:val="ListParagraph"/>
        <w:numPr>
          <w:ilvl w:val="0"/>
          <w:numId w:val="2"/>
        </w:numPr>
        <w:spacing w:after="40" w:before="40"/>
      </w:pPr>
      <w:r>
        <w:rPr>
          <w:rFonts w:ascii="Arial" w:cs="Arial" w:eastAsia="Arial" w:hAnsi="Arial"/>
          <w:sz w:val="22"/>
          <w:szCs w:val="22"/>
        </w:rPr>
        <w:t xml:space="preserve">Immediate processing: insert the swab into the vial, snap the tube, shake to activate the reagent, and insert into the meter within 60 seconds of swabbing — delayed processing reduces accuracy</w:t>
      </w:r>
    </w:p>
    <w:p>
      <w:pPr>
        <w:pStyle w:val="ListParagraph"/>
        <w:numPr>
          <w:ilvl w:val="0"/>
          <w:numId w:val="2"/>
        </w:numPr>
        <w:spacing w:after="40" w:before="40"/>
      </w:pPr>
      <w:r>
        <w:rPr>
          <w:rFonts w:ascii="Arial" w:cs="Arial" w:eastAsia="Arial" w:hAnsi="Arial"/>
          <w:sz w:val="22"/>
          <w:szCs w:val="22"/>
        </w:rPr>
        <w:t xml:space="preserve">Record immediately: log the RLU result, surface location, date, time, and operator into the monitoring record as soon as the reading is displayed</w:t>
      </w:r>
    </w:p>
    <w:p>
      <w:pPr>
        <w:pStyle w:val="ListParagraph"/>
        <w:numPr>
          <w:ilvl w:val="0"/>
          <w:numId w:val="2"/>
        </w:numPr>
        <w:spacing w:after="40" w:before="40"/>
      </w:pPr>
      <w:r>
        <w:rPr>
          <w:rFonts w:ascii="Arial" w:cs="Arial" w:eastAsia="Arial" w:hAnsi="Arial"/>
          <w:sz w:val="22"/>
          <w:szCs w:val="22"/>
        </w:rPr>
        <w:t xml:space="preserve">Retest protocol: if a surface fails, reclean using the appropriate method, allow the required dwell time for the disinfectant, then retest. If the surface fails a second test, escalate to supervisor and do not return the area to use</w:t>
      </w:r>
    </w:p>
    <w:p>
      <w:pPr>
        <w:pStyle w:val="ListParagraph"/>
        <w:numPr>
          <w:ilvl w:val="0"/>
          <w:numId w:val="2"/>
        </w:numPr>
        <w:spacing w:after="40" w:before="40"/>
      </w:pPr>
      <w:r>
        <w:rPr>
          <w:rFonts w:ascii="Arial" w:cs="Arial" w:eastAsia="Arial" w:hAnsi="Arial"/>
          <w:sz w:val="22"/>
          <w:szCs w:val="22"/>
        </w:rPr>
        <w:t xml:space="preserve">Frequency: minimum testing frequency depends on surface risk category and applicable guideline — high-touch surfaces in outbreak or remediation situations require testing after every cleaning cycle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Keep a small stock of backup swab-vials in your kit at all times. Running out of swabs during active monitoring is not an acceptable reason to skip verification testing at the end of a remediation job.</w:t>
      </w:r>
    </w:p>
    <w:p>
      <w:pPr>
        <w:spacing w:after="0" w:before="60"/>
      </w:pPr>
      <w:r>
        <w:t xml:space="preserve"/>
      </w:r>
    </w:p>
    <w:p>
      <w:pPr>
        <w:spacing w:after="80" w:before="200"/>
      </w:pPr>
      <w:r>
        <w:rPr>
          <w:rFonts w:ascii="Arial" w:cs="Arial" w:eastAsia="Arial" w:hAnsi="Arial"/>
          <w:b/>
          <w:bCs/>
          <w:sz w:val="23"/>
          <w:szCs w:val="23"/>
        </w:rPr>
        <w:t xml:space="preserve">Module 5: Examples</w:t>
      </w:r>
    </w:p>
    <w:p>
      <w:pPr>
        <w:spacing w:after="60" w:before="60"/>
      </w:pPr>
      <w:r>
        <w:rPr>
          <w:rFonts w:ascii="Arial" w:cs="Arial" w:eastAsia="Arial" w:hAnsi="Arial"/>
          <w:sz w:val="22"/>
          <w:szCs w:val="22"/>
        </w:rPr>
        <w:t xml:space="preserve">The following examples illustrate correct ATP protocol application across common restoration and hygiene scenarios.</w:t>
      </w:r>
    </w:p>
    <w:p>
      <w:pPr>
        <w:pStyle w:val="ListParagraph"/>
        <w:numPr>
          <w:ilvl w:val="0"/>
          <w:numId w:val="2"/>
        </w:numPr>
        <w:spacing w:after="40" w:before="40"/>
      </w:pPr>
      <w:r>
        <w:rPr>
          <w:rFonts w:ascii="Arial" w:cs="Arial" w:eastAsia="Arial" w:hAnsi="Arial"/>
          <w:sz w:val="22"/>
          <w:szCs w:val="22"/>
        </w:rPr>
        <w:t xml:space="preserve">Post-flood Category 3 remediation: test all structural surfaces remaining in the building after demolition scope is complete. Target less than 200 RLU on all surfaces before closing the containment. Document as part of the clearance package.</w:t>
      </w:r>
    </w:p>
    <w:p>
      <w:pPr>
        <w:pStyle w:val="ListParagraph"/>
        <w:numPr>
          <w:ilvl w:val="0"/>
          <w:numId w:val="2"/>
        </w:numPr>
        <w:spacing w:after="40" w:before="40"/>
      </w:pPr>
      <w:r>
        <w:rPr>
          <w:rFonts w:ascii="Arial" w:cs="Arial" w:eastAsia="Arial" w:hAnsi="Arial"/>
          <w:sz w:val="22"/>
          <w:szCs w:val="22"/>
        </w:rPr>
        <w:t xml:space="preserve">Childcare centre deep clean after norovirus outbreak: test all high-touch surfaces and food preparation areas after cleaning and disinfection. Use a less than 100 RLU threshold for all surfaces. Retest any fails and do not reopen the affected room until all surfaces pass.</w:t>
      </w:r>
    </w:p>
    <w:p>
      <w:pPr>
        <w:pStyle w:val="ListParagraph"/>
        <w:numPr>
          <w:ilvl w:val="0"/>
          <w:numId w:val="2"/>
        </w:numPr>
        <w:spacing w:after="40" w:before="40"/>
      </w:pPr>
      <w:r>
        <w:rPr>
          <w:rFonts w:ascii="Arial" w:cs="Arial" w:eastAsia="Arial" w:hAnsi="Arial"/>
          <w:sz w:val="22"/>
          <w:szCs w:val="22"/>
        </w:rPr>
        <w:t xml:space="preserve">Post-mould remediation clearance: ATP testing supplements air sampling — test all structural surfaces in the remediated zone. Use pre-damage baseline RLU as the pass threshold for each surface material type.</w:t>
      </w:r>
    </w:p>
    <w:p>
      <w:pPr>
        <w:pStyle w:val="ListParagraph"/>
        <w:numPr>
          <w:ilvl w:val="0"/>
          <w:numId w:val="2"/>
        </w:numPr>
        <w:spacing w:after="40" w:before="40"/>
      </w:pPr>
      <w:r>
        <w:rPr>
          <w:rFonts w:ascii="Arial" w:cs="Arial" w:eastAsia="Arial" w:hAnsi="Arial"/>
          <w:sz w:val="22"/>
          <w:szCs w:val="22"/>
        </w:rPr>
        <w:t xml:space="preserve">Regular hygiene monitoring in a commercial cleaning contract: establish a monthly testing schedule with documented results. Trend reports showing consistent pass rates are a powerful client retention and contract renewal tool.</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Build an ATP results template that includes: job address, room or zone, surface description, pre-clean RLU, post-clean RLU, pass or fail status, action taken on fail, retest RLU, and operator signature. Use this on every job where ATP monitoring is part of the scope.</w:t>
      </w:r>
    </w:p>
    <w:p>
      <w:r>
        <w:br w:type="page"/>
      </w:r>
    </w:p>
    <w:p>
      <w:pPr>
        <w:pStyle w:val="Heading1"/>
        <w:spacing w:after="120" w:before="400"/>
      </w:pPr>
      <w:r>
        <w:rPr>
          <w:rFonts w:ascii="Arial" w:cs="Arial" w:eastAsia="Arial" w:hAnsi="Arial"/>
          <w:b/>
          <w:bCs/>
          <w:sz w:val="28"/>
          <w:szCs w:val="28"/>
        </w:rPr>
        <w:t xml:space="preserve">Course 35: Microbe Clean Basic Understanding Course</w:t>
      </w:r>
    </w:p>
    <w:p>
      <w:pPr>
        <w:spacing w:after="60" w:before="60"/>
      </w:pPr>
      <w:r>
        <w:rPr>
          <w:rFonts w:ascii="Arial" w:cs="Arial" w:eastAsia="Arial" w:hAnsi="Arial"/>
          <w:sz w:val="22"/>
          <w:szCs w:val="22"/>
        </w:rPr>
        <w:t xml:space="preserve">Price: AUD $99  |  Status: Published  |  Modules: 20</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This course provides cleaning and restoration professionals with a comprehensive, practical foundation in microbiology as it applies to infection control and hygiene work in Australian commercial and residential environments. It covers virus and bacteria biology, cleaning and disinfection chemistry, cross-contamination prevention, PPE selection, WHS documentation, and safe chemical handling — giving technicians everything they need to work safely and compliantly in biologically contaminated environments.</w:t>
      </w:r>
    </w:p>
    <w:p>
      <w:pPr>
        <w:spacing w:after="0" w:before="60"/>
      </w:pPr>
      <w:r>
        <w:t xml:space="preserve"/>
      </w:r>
    </w:p>
    <w:p>
      <w:pPr>
        <w:spacing w:after="80" w:before="200"/>
      </w:pPr>
      <w:r>
        <w:rPr>
          <w:rFonts w:ascii="Arial" w:cs="Arial" w:eastAsia="Arial" w:hAnsi="Arial"/>
          <w:b/>
          <w:bCs/>
          <w:sz w:val="23"/>
          <w:szCs w:val="23"/>
        </w:rPr>
        <w:t xml:space="preserve">Module 1: Virus Facts</w:t>
      </w:r>
    </w:p>
    <w:p>
      <w:pPr>
        <w:pStyle w:val="ListParagraph"/>
        <w:numPr>
          <w:ilvl w:val="0"/>
          <w:numId w:val="2"/>
        </w:numPr>
        <w:spacing w:after="40" w:before="40"/>
      </w:pPr>
      <w:r>
        <w:rPr>
          <w:rFonts w:ascii="Arial" w:cs="Arial" w:eastAsia="Arial" w:hAnsi="Arial"/>
          <w:sz w:val="22"/>
          <w:szCs w:val="22"/>
        </w:rPr>
        <w:t xml:space="preserve">Viruses are not alive in the conventional sense — they replicate only inside a host cell and cannot reproduce independently on surfaces</w:t>
      </w:r>
    </w:p>
    <w:p>
      <w:pPr>
        <w:pStyle w:val="ListParagraph"/>
        <w:numPr>
          <w:ilvl w:val="0"/>
          <w:numId w:val="2"/>
        </w:numPr>
        <w:spacing w:after="40" w:before="40"/>
      </w:pPr>
      <w:r>
        <w:rPr>
          <w:rFonts w:ascii="Arial" w:cs="Arial" w:eastAsia="Arial" w:hAnsi="Arial"/>
          <w:sz w:val="22"/>
          <w:szCs w:val="22"/>
        </w:rPr>
        <w:t xml:space="preserve">Virus classification by type: non-enveloped viruses (norovirus, adenovirus) are harder to kill than enveloped viruses (influenza, coronaviruses, herpes) because they lack the lipid membrane that disinfectants target</w:t>
      </w:r>
    </w:p>
    <w:p>
      <w:pPr>
        <w:pStyle w:val="ListParagraph"/>
        <w:numPr>
          <w:ilvl w:val="0"/>
          <w:numId w:val="2"/>
        </w:numPr>
        <w:spacing w:after="40" w:before="40"/>
      </w:pPr>
      <w:r>
        <w:rPr>
          <w:rFonts w:ascii="Arial" w:cs="Arial" w:eastAsia="Arial" w:hAnsi="Arial"/>
          <w:sz w:val="22"/>
          <w:szCs w:val="22"/>
        </w:rPr>
        <w:t xml:space="preserve">Transmission routes: direct contact, respiratory droplets, aerosols, fomites (contaminated surfaces), and faecal-oral transmission</w:t>
      </w:r>
    </w:p>
    <w:p>
      <w:pPr>
        <w:pStyle w:val="ListParagraph"/>
        <w:numPr>
          <w:ilvl w:val="0"/>
          <w:numId w:val="2"/>
        </w:numPr>
        <w:spacing w:after="40" w:before="40"/>
      </w:pPr>
      <w:r>
        <w:rPr>
          <w:rFonts w:ascii="Arial" w:cs="Arial" w:eastAsia="Arial" w:hAnsi="Arial"/>
          <w:sz w:val="22"/>
          <w:szCs w:val="22"/>
        </w:rPr>
        <w:t xml:space="preserve">Surface survival: influenza can survive on hard surfaces for up to 24 hours; norovirus up to several days on porous surfaces; SARS-CoV-2 up to 72 hours on plastic and steel under controlled conditions</w:t>
      </w:r>
    </w:p>
    <w:p>
      <w:pPr>
        <w:pStyle w:val="ListParagraph"/>
        <w:numPr>
          <w:ilvl w:val="0"/>
          <w:numId w:val="2"/>
        </w:numPr>
        <w:spacing w:after="40" w:before="40"/>
      </w:pPr>
      <w:r>
        <w:rPr>
          <w:rFonts w:ascii="Arial" w:cs="Arial" w:eastAsia="Arial" w:hAnsi="Arial"/>
          <w:sz w:val="22"/>
          <w:szCs w:val="22"/>
        </w:rPr>
        <w:t xml:space="preserve">Disinfectant selection: always verify the product's listed claim against the specific virus — not all disinfectants are effective against all virus types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When responding to a confirmed or suspected viral contamination event, identify the specific virus type before selecting a disinfectant. A product that lists influenza on its label is not necessarily effective against norovirus.</w:t>
      </w:r>
    </w:p>
    <w:p>
      <w:pPr>
        <w:spacing w:after="0" w:before="60"/>
      </w:pPr>
      <w:r>
        <w:t xml:space="preserve"/>
      </w:r>
    </w:p>
    <w:p>
      <w:pPr>
        <w:spacing w:after="80" w:before="200"/>
      </w:pPr>
      <w:r>
        <w:rPr>
          <w:rFonts w:ascii="Arial" w:cs="Arial" w:eastAsia="Arial" w:hAnsi="Arial"/>
          <w:b/>
          <w:bCs/>
          <w:sz w:val="23"/>
          <w:szCs w:val="23"/>
        </w:rPr>
        <w:t xml:space="preserve">Module 2: Bacteria and Modes of Transmission</w:t>
      </w:r>
    </w:p>
    <w:p>
      <w:pPr>
        <w:pStyle w:val="ListParagraph"/>
        <w:numPr>
          <w:ilvl w:val="0"/>
          <w:numId w:val="2"/>
        </w:numPr>
        <w:spacing w:after="40" w:before="40"/>
      </w:pPr>
      <w:r>
        <w:rPr>
          <w:rFonts w:ascii="Arial" w:cs="Arial" w:eastAsia="Arial" w:hAnsi="Arial"/>
          <w:sz w:val="22"/>
          <w:szCs w:val="22"/>
        </w:rPr>
        <w:t xml:space="preserve">Bacteria are single-celled living organisms that can reproduce independently on surfaces — unlike viruses, they can multiply in the environment under the right conditions</w:t>
      </w:r>
    </w:p>
    <w:p>
      <w:pPr>
        <w:pStyle w:val="ListParagraph"/>
        <w:numPr>
          <w:ilvl w:val="0"/>
          <w:numId w:val="2"/>
        </w:numPr>
        <w:spacing w:after="40" w:before="40"/>
      </w:pPr>
      <w:r>
        <w:rPr>
          <w:rFonts w:ascii="Arial" w:cs="Arial" w:eastAsia="Arial" w:hAnsi="Arial"/>
          <w:sz w:val="22"/>
          <w:szCs w:val="22"/>
        </w:rPr>
        <w:t xml:space="preserve">Key categories in restoration and hygiene contexts: Gram-positive (Staphylococcus aureus, MRSA), Gram-negative (E. coli, Pseudomonas), spore-forming (Clostridium difficile, Bacillus anthracis)</w:t>
      </w:r>
    </w:p>
    <w:p>
      <w:pPr>
        <w:pStyle w:val="ListParagraph"/>
        <w:numPr>
          <w:ilvl w:val="0"/>
          <w:numId w:val="2"/>
        </w:numPr>
        <w:spacing w:after="40" w:before="40"/>
      </w:pPr>
      <w:r>
        <w:rPr>
          <w:rFonts w:ascii="Arial" w:cs="Arial" w:eastAsia="Arial" w:hAnsi="Arial"/>
          <w:sz w:val="22"/>
          <w:szCs w:val="22"/>
        </w:rPr>
        <w:t xml:space="preserve">Spore-forming bacteria are the most resistant to standard disinfectants — C. difficile spores require a chlorine-based disinfectant at a minimum 1000 ppm available chlorine</w:t>
      </w:r>
    </w:p>
    <w:p>
      <w:pPr>
        <w:pStyle w:val="ListParagraph"/>
        <w:numPr>
          <w:ilvl w:val="0"/>
          <w:numId w:val="2"/>
        </w:numPr>
        <w:spacing w:after="40" w:before="40"/>
      </w:pPr>
      <w:r>
        <w:rPr>
          <w:rFonts w:ascii="Arial" w:cs="Arial" w:eastAsia="Arial" w:hAnsi="Arial"/>
          <w:sz w:val="22"/>
          <w:szCs w:val="22"/>
        </w:rPr>
        <w:t xml:space="preserve">Transmission routes: direct contact with contaminated surfaces, aerosolisation during cleaning (especially with high-pressure equipment), and indirect transfer via contaminated hands, tools, or clothing</w:t>
      </w:r>
    </w:p>
    <w:p>
      <w:pPr>
        <w:pStyle w:val="ListParagraph"/>
        <w:numPr>
          <w:ilvl w:val="0"/>
          <w:numId w:val="2"/>
        </w:numPr>
        <w:spacing w:after="40" w:before="40"/>
      </w:pPr>
      <w:r>
        <w:rPr>
          <w:rFonts w:ascii="Arial" w:cs="Arial" w:eastAsia="Arial" w:hAnsi="Arial"/>
          <w:sz w:val="22"/>
          <w:szCs w:val="22"/>
        </w:rPr>
        <w:t xml:space="preserve">Biofilm: bacteria embedded in a self-produced polymer matrix on a surface — highly resistant to disinfection and common in drains, water systems, and chronically damp surfaces. Physical removal must precede disinfection.</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In any Category 3 water damage or sewage exposure event, the water and affected materials must be treated as potentially containing pathogenic bacteria including E. coli, Salmonella, and Pseudomonas. Full PPE and documented decontamination procedures are required.</w:t>
      </w:r>
    </w:p>
    <w:p>
      <w:pPr>
        <w:spacing w:after="0" w:before="60"/>
      </w:pPr>
      <w:r>
        <w:t xml:space="preserve"/>
      </w:r>
    </w:p>
    <w:p>
      <w:pPr>
        <w:spacing w:after="80" w:before="200"/>
      </w:pPr>
      <w:r>
        <w:rPr>
          <w:rFonts w:ascii="Arial" w:cs="Arial" w:eastAsia="Arial" w:hAnsi="Arial"/>
          <w:b/>
          <w:bCs/>
          <w:sz w:val="23"/>
          <w:szCs w:val="23"/>
        </w:rPr>
        <w:t xml:space="preserve">Module 3: Hygiene Practices</w:t>
      </w:r>
    </w:p>
    <w:p>
      <w:pPr>
        <w:pStyle w:val="ListParagraph"/>
        <w:numPr>
          <w:ilvl w:val="0"/>
          <w:numId w:val="2"/>
        </w:numPr>
        <w:spacing w:after="40" w:before="40"/>
      </w:pPr>
      <w:r>
        <w:rPr>
          <w:rFonts w:ascii="Arial" w:cs="Arial" w:eastAsia="Arial" w:hAnsi="Arial"/>
          <w:sz w:val="22"/>
          <w:szCs w:val="22"/>
        </w:rPr>
        <w:t xml:space="preserve">Hand hygiene is the single most effective infection control measure — performed correctly and at the right moments</w:t>
      </w:r>
    </w:p>
    <w:p>
      <w:pPr>
        <w:pStyle w:val="ListParagraph"/>
        <w:numPr>
          <w:ilvl w:val="0"/>
          <w:numId w:val="2"/>
        </w:numPr>
        <w:spacing w:after="40" w:before="40"/>
      </w:pPr>
      <w:r>
        <w:rPr>
          <w:rFonts w:ascii="Arial" w:cs="Arial" w:eastAsia="Arial" w:hAnsi="Arial"/>
          <w:sz w:val="22"/>
          <w:szCs w:val="22"/>
        </w:rPr>
        <w:t xml:space="preserve">Five moments for hand hygiene in a cleaning or restoration context: before entering a contaminated zone, before touching a clean surface after handling contaminated material, after removing gloves, after handling waste, and before leaving site</w:t>
      </w:r>
    </w:p>
    <w:p>
      <w:pPr>
        <w:pStyle w:val="ListParagraph"/>
        <w:numPr>
          <w:ilvl w:val="0"/>
          <w:numId w:val="2"/>
        </w:numPr>
        <w:spacing w:after="40" w:before="40"/>
      </w:pPr>
      <w:r>
        <w:rPr>
          <w:rFonts w:ascii="Arial" w:cs="Arial" w:eastAsia="Arial" w:hAnsi="Arial"/>
          <w:sz w:val="22"/>
          <w:szCs w:val="22"/>
        </w:rPr>
        <w:t xml:space="preserve">Hand washing technique: wet hands, apply soap, lather for minimum 20 seconds covering all surfaces including between fingers and under rings, rinse thoroughly, dry with a disposable towel</w:t>
      </w:r>
    </w:p>
    <w:p>
      <w:pPr>
        <w:pStyle w:val="ListParagraph"/>
        <w:numPr>
          <w:ilvl w:val="0"/>
          <w:numId w:val="2"/>
        </w:numPr>
        <w:spacing w:after="40" w:before="40"/>
      </w:pPr>
      <w:r>
        <w:rPr>
          <w:rFonts w:ascii="Arial" w:cs="Arial" w:eastAsia="Arial" w:hAnsi="Arial"/>
          <w:sz w:val="22"/>
          <w:szCs w:val="22"/>
        </w:rPr>
        <w:t xml:space="preserve">Alcohol-based hand rub (ABHR): minimum 60 percent ethanol — effective against enveloped viruses and most bacteria. Not effective against C. difficile spores or norovirus — soap and water required for these pathogens</w:t>
      </w:r>
    </w:p>
    <w:p>
      <w:pPr>
        <w:pStyle w:val="ListParagraph"/>
        <w:numPr>
          <w:ilvl w:val="0"/>
          <w:numId w:val="2"/>
        </w:numPr>
        <w:spacing w:after="40" w:before="40"/>
      </w:pPr>
      <w:r>
        <w:rPr>
          <w:rFonts w:ascii="Arial" w:cs="Arial" w:eastAsia="Arial" w:hAnsi="Arial"/>
          <w:sz w:val="22"/>
          <w:szCs w:val="22"/>
        </w:rPr>
        <w:t xml:space="preserve">Hygiene for tools and equipment: all reusable tools that enter a contaminated zone must be decontaminated before use in a clean zone — wipe down with an appropriate disinfectant at the correct dilution and dwell time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Install a hand hygiene station at the exit of every contaminated zone — soap, water or ABHR, and disposable towels. Workers who do not stop to perform hand hygiene on exit are a cross-contamination risk to the clean zone, vehicle, and their own home.</w:t>
      </w:r>
    </w:p>
    <w:p>
      <w:pPr>
        <w:spacing w:after="0" w:before="60"/>
      </w:pPr>
      <w:r>
        <w:t xml:space="preserve"/>
      </w:r>
    </w:p>
    <w:p>
      <w:pPr>
        <w:spacing w:after="80" w:before="200"/>
      </w:pPr>
      <w:r>
        <w:rPr>
          <w:rFonts w:ascii="Arial" w:cs="Arial" w:eastAsia="Arial" w:hAnsi="Arial"/>
          <w:b/>
          <w:bCs/>
          <w:sz w:val="23"/>
          <w:szCs w:val="23"/>
        </w:rPr>
        <w:t xml:space="preserve">Module 4: Cleaning and Disinfecting for Health</w:t>
      </w:r>
    </w:p>
    <w:p>
      <w:pPr>
        <w:pStyle w:val="ListParagraph"/>
        <w:numPr>
          <w:ilvl w:val="0"/>
          <w:numId w:val="2"/>
        </w:numPr>
        <w:spacing w:after="40" w:before="40"/>
      </w:pPr>
      <w:r>
        <w:rPr>
          <w:rFonts w:ascii="Arial" w:cs="Arial" w:eastAsia="Arial" w:hAnsi="Arial"/>
          <w:sz w:val="22"/>
          <w:szCs w:val="22"/>
        </w:rPr>
        <w:t xml:space="preserve">Cleaning: physical removal of dirt, organic matter, and debris — reduces the microbial load but does not kill pathogens</w:t>
      </w:r>
    </w:p>
    <w:p>
      <w:pPr>
        <w:pStyle w:val="ListParagraph"/>
        <w:numPr>
          <w:ilvl w:val="0"/>
          <w:numId w:val="2"/>
        </w:numPr>
        <w:spacing w:after="40" w:before="40"/>
      </w:pPr>
      <w:r>
        <w:rPr>
          <w:rFonts w:ascii="Arial" w:cs="Arial" w:eastAsia="Arial" w:hAnsi="Arial"/>
          <w:sz w:val="22"/>
          <w:szCs w:val="22"/>
        </w:rPr>
        <w:t xml:space="preserve">Disinfection: application of a biocidal agent to kill or inactivate pathogens on a surface — only effective after cleaning, because organic matter neutralises most disinfectants</w:t>
      </w:r>
    </w:p>
    <w:p>
      <w:pPr>
        <w:pStyle w:val="ListParagraph"/>
        <w:numPr>
          <w:ilvl w:val="0"/>
          <w:numId w:val="2"/>
        </w:numPr>
        <w:spacing w:after="40" w:before="40"/>
      </w:pPr>
      <w:r>
        <w:rPr>
          <w:rFonts w:ascii="Arial" w:cs="Arial" w:eastAsia="Arial" w:hAnsi="Arial"/>
          <w:sz w:val="22"/>
          <w:szCs w:val="22"/>
        </w:rPr>
        <w:t xml:space="preserve">Sterilisation: elimination of all microbial life including spores — not required or practical in most cleaning and restoration contexts</w:t>
      </w:r>
    </w:p>
    <w:p>
      <w:pPr>
        <w:pStyle w:val="ListParagraph"/>
        <w:numPr>
          <w:ilvl w:val="0"/>
          <w:numId w:val="2"/>
        </w:numPr>
        <w:spacing w:after="40" w:before="40"/>
      </w:pPr>
      <w:r>
        <w:rPr>
          <w:rFonts w:ascii="Arial" w:cs="Arial" w:eastAsia="Arial" w:hAnsi="Arial"/>
          <w:sz w:val="22"/>
          <w:szCs w:val="22"/>
        </w:rPr>
        <w:t xml:space="preserve">Two-stage process: always clean first, then disinfect — never skip cleaning and go directly to disinfection on a visibly soiled surface</w:t>
      </w:r>
    </w:p>
    <w:p>
      <w:pPr>
        <w:pStyle w:val="ListParagraph"/>
        <w:numPr>
          <w:ilvl w:val="0"/>
          <w:numId w:val="2"/>
        </w:numPr>
        <w:spacing w:after="40" w:before="40"/>
      </w:pPr>
      <w:r>
        <w:rPr>
          <w:rFonts w:ascii="Arial" w:cs="Arial" w:eastAsia="Arial" w:hAnsi="Arial"/>
          <w:sz w:val="22"/>
          <w:szCs w:val="22"/>
        </w:rPr>
        <w:t xml:space="preserve">Dwell time: the disinfectant must remain wet on the surface for the duration specified on the label or SDS — wiping dry before dwell time is complete renders the disinfection ineffective</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IICRC S520 and IICRC S100 both require cleaning before disinfection in any remediation context. Disinfection of a surface that has not been physically cleaned first is not compliant with either standard.</w:t>
      </w:r>
    </w:p>
    <w:p>
      <w:pPr>
        <w:spacing w:after="0" w:before="60"/>
      </w:pPr>
      <w:r>
        <w:t xml:space="preserve"/>
      </w:r>
    </w:p>
    <w:p>
      <w:pPr>
        <w:spacing w:after="80" w:before="200"/>
      </w:pPr>
      <w:r>
        <w:rPr>
          <w:rFonts w:ascii="Arial" w:cs="Arial" w:eastAsia="Arial" w:hAnsi="Arial"/>
          <w:b/>
          <w:bCs/>
          <w:sz w:val="23"/>
          <w:szCs w:val="23"/>
        </w:rPr>
        <w:t xml:space="preserve">Module 5: Cleaning Types and Touch Points</w:t>
      </w:r>
    </w:p>
    <w:p>
      <w:pPr>
        <w:pStyle w:val="ListParagraph"/>
        <w:numPr>
          <w:ilvl w:val="0"/>
          <w:numId w:val="2"/>
        </w:numPr>
        <w:spacing w:after="40" w:before="40"/>
      </w:pPr>
      <w:r>
        <w:rPr>
          <w:rFonts w:ascii="Arial" w:cs="Arial" w:eastAsia="Arial" w:hAnsi="Arial"/>
          <w:sz w:val="22"/>
          <w:szCs w:val="22"/>
        </w:rPr>
        <w:t xml:space="preserve">Routine cleaning: scheduled cleaning of all surfaces to maintain baseline hygiene — the foundation of any infection control program</w:t>
      </w:r>
    </w:p>
    <w:p>
      <w:pPr>
        <w:pStyle w:val="ListParagraph"/>
        <w:numPr>
          <w:ilvl w:val="0"/>
          <w:numId w:val="2"/>
        </w:numPr>
        <w:spacing w:after="40" w:before="40"/>
      </w:pPr>
      <w:r>
        <w:rPr>
          <w:rFonts w:ascii="Arial" w:cs="Arial" w:eastAsia="Arial" w:hAnsi="Arial"/>
          <w:sz w:val="22"/>
          <w:szCs w:val="22"/>
        </w:rPr>
        <w:t xml:space="preserve">Enhanced cleaning: increased frequency and attention to high-touch surfaces during active outbreak or elevated risk periods</w:t>
      </w:r>
    </w:p>
    <w:p>
      <w:pPr>
        <w:pStyle w:val="ListParagraph"/>
        <w:numPr>
          <w:ilvl w:val="0"/>
          <w:numId w:val="2"/>
        </w:numPr>
        <w:spacing w:after="40" w:before="40"/>
      </w:pPr>
      <w:r>
        <w:rPr>
          <w:rFonts w:ascii="Arial" w:cs="Arial" w:eastAsia="Arial" w:hAnsi="Arial"/>
          <w:sz w:val="22"/>
          <w:szCs w:val="22"/>
        </w:rPr>
        <w:t xml:space="preserve">Terminal cleaning: thorough cleaning and disinfection of an entire room or zone after a confirmed infection or contamination event — requires documented protocol and verification testing</w:t>
      </w:r>
    </w:p>
    <w:p>
      <w:pPr>
        <w:pStyle w:val="ListParagraph"/>
        <w:numPr>
          <w:ilvl w:val="0"/>
          <w:numId w:val="2"/>
        </w:numPr>
        <w:spacing w:after="40" w:before="40"/>
      </w:pPr>
      <w:r>
        <w:rPr>
          <w:rFonts w:ascii="Arial" w:cs="Arial" w:eastAsia="Arial" w:hAnsi="Arial"/>
          <w:sz w:val="22"/>
          <w:szCs w:val="22"/>
        </w:rPr>
        <w:t xml:space="preserve">High-touch surface identification: surfaces touched by multiple people multiple times per day — door handles, light switches, tap handles, lift buttons, handrails, shared keyboards, toilet flush buttons, kitchen benchtops</w:t>
      </w:r>
    </w:p>
    <w:p>
      <w:pPr>
        <w:pStyle w:val="ListParagraph"/>
        <w:numPr>
          <w:ilvl w:val="0"/>
          <w:numId w:val="2"/>
        </w:numPr>
        <w:spacing w:after="40" w:before="40"/>
      </w:pPr>
      <w:r>
        <w:rPr>
          <w:rFonts w:ascii="Arial" w:cs="Arial" w:eastAsia="Arial" w:hAnsi="Arial"/>
          <w:sz w:val="22"/>
          <w:szCs w:val="22"/>
        </w:rPr>
        <w:t xml:space="preserve">Low-touch surface identification: walls, ceilings, floors, window sills — cleaned regularly but at lower frequency than high-touch surfaces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Prepare a site-specific high-touch surface map for every infection control job before starting work. This ensures consistent coverage and provides a framework for ATP verification testing at the end of each cleaning cycle.</w:t>
      </w:r>
    </w:p>
    <w:p>
      <w:pPr>
        <w:spacing w:after="0" w:before="60"/>
      </w:pPr>
      <w:r>
        <w:t xml:space="preserve"/>
      </w:r>
    </w:p>
    <w:p>
      <w:pPr>
        <w:spacing w:after="80" w:before="200"/>
      </w:pPr>
      <w:r>
        <w:rPr>
          <w:rFonts w:ascii="Arial" w:cs="Arial" w:eastAsia="Arial" w:hAnsi="Arial"/>
          <w:b/>
          <w:bCs/>
          <w:sz w:val="23"/>
          <w:szCs w:val="23"/>
        </w:rPr>
        <w:t xml:space="preserve">Module 6: Cross Contamination</w:t>
      </w:r>
    </w:p>
    <w:p>
      <w:pPr>
        <w:pStyle w:val="ListParagraph"/>
        <w:numPr>
          <w:ilvl w:val="0"/>
          <w:numId w:val="2"/>
        </w:numPr>
        <w:spacing w:after="40" w:before="40"/>
      </w:pPr>
      <w:r>
        <w:rPr>
          <w:rFonts w:ascii="Arial" w:cs="Arial" w:eastAsia="Arial" w:hAnsi="Arial"/>
          <w:sz w:val="22"/>
          <w:szCs w:val="22"/>
        </w:rPr>
        <w:t xml:space="preserve">Cross-contamination occurs when pathogens are transferred from a contaminated surface or area to a clean one via hands, tools, cloths, or movement of workers</w:t>
      </w:r>
    </w:p>
    <w:p>
      <w:pPr>
        <w:pStyle w:val="ListParagraph"/>
        <w:numPr>
          <w:ilvl w:val="0"/>
          <w:numId w:val="2"/>
        </w:numPr>
        <w:spacing w:after="40" w:before="40"/>
      </w:pPr>
      <w:r>
        <w:rPr>
          <w:rFonts w:ascii="Arial" w:cs="Arial" w:eastAsia="Arial" w:hAnsi="Arial"/>
          <w:sz w:val="22"/>
          <w:szCs w:val="22"/>
        </w:rPr>
        <w:t xml:space="preserve">Zone system: divide the site into clean, contaminated, and transition zones — establish clear physical barriers and entry and exit protocols for each zone</w:t>
      </w:r>
    </w:p>
    <w:p>
      <w:pPr>
        <w:pStyle w:val="ListParagraph"/>
        <w:numPr>
          <w:ilvl w:val="0"/>
          <w:numId w:val="2"/>
        </w:numPr>
        <w:spacing w:after="40" w:before="40"/>
      </w:pPr>
      <w:r>
        <w:rPr>
          <w:rFonts w:ascii="Arial" w:cs="Arial" w:eastAsia="Arial" w:hAnsi="Arial"/>
          <w:sz w:val="22"/>
          <w:szCs w:val="22"/>
        </w:rPr>
        <w:t xml:space="preserve">Colour coding for equipment: use a consistent colour system for cloths, buckets, and mop heads assigned to specific zones or surface types — never move equipment from a contaminated zone to a clean zone without decontamination</w:t>
      </w:r>
    </w:p>
    <w:p>
      <w:pPr>
        <w:pStyle w:val="ListParagraph"/>
        <w:numPr>
          <w:ilvl w:val="0"/>
          <w:numId w:val="2"/>
        </w:numPr>
        <w:spacing w:after="40" w:before="40"/>
      </w:pPr>
      <w:r>
        <w:rPr>
          <w:rFonts w:ascii="Arial" w:cs="Arial" w:eastAsia="Arial" w:hAnsi="Arial"/>
          <w:sz w:val="22"/>
          <w:szCs w:val="22"/>
        </w:rPr>
        <w:t xml:space="preserve">One-way cleaning direction: always work from the cleanest areas to the most contaminated areas, and from high surfaces to low surfaces, to avoid re-depositing contamination on already-cleaned surfaces</w:t>
      </w:r>
    </w:p>
    <w:p>
      <w:pPr>
        <w:pStyle w:val="ListParagraph"/>
        <w:numPr>
          <w:ilvl w:val="0"/>
          <w:numId w:val="2"/>
        </w:numPr>
        <w:spacing w:after="40" w:before="40"/>
      </w:pPr>
      <w:r>
        <w:rPr>
          <w:rFonts w:ascii="Arial" w:cs="Arial" w:eastAsia="Arial" w:hAnsi="Arial"/>
          <w:sz w:val="22"/>
          <w:szCs w:val="22"/>
        </w:rPr>
        <w:t xml:space="preserve">Single-use approach: in high-risk or outbreak environments, use single-use cloths and mop heads for each room or zone — reusable microfibre requires validated laundering before reuse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Brief your entire team on the zone system and colour coding before work starts on any infection control job. A single worker using a contaminated cloth in a clean zone can undo an entire day of compliant cleaning work.</w:t>
      </w:r>
    </w:p>
    <w:p>
      <w:pPr>
        <w:spacing w:after="0" w:before="60"/>
      </w:pPr>
      <w:r>
        <w:t xml:space="preserve"/>
      </w:r>
    </w:p>
    <w:p>
      <w:pPr>
        <w:spacing w:after="80" w:before="200"/>
      </w:pPr>
      <w:r>
        <w:rPr>
          <w:rFonts w:ascii="Arial" w:cs="Arial" w:eastAsia="Arial" w:hAnsi="Arial"/>
          <w:b/>
          <w:bCs/>
          <w:sz w:val="23"/>
          <w:szCs w:val="23"/>
        </w:rPr>
        <w:t xml:space="preserve">Module 7: Personal Protective Equipment PPE</w:t>
      </w:r>
    </w:p>
    <w:p>
      <w:pPr>
        <w:pStyle w:val="ListParagraph"/>
        <w:numPr>
          <w:ilvl w:val="0"/>
          <w:numId w:val="2"/>
        </w:numPr>
        <w:spacing w:after="40" w:before="40"/>
      </w:pPr>
      <w:r>
        <w:rPr>
          <w:rFonts w:ascii="Arial" w:cs="Arial" w:eastAsia="Arial" w:hAnsi="Arial"/>
          <w:sz w:val="22"/>
          <w:szCs w:val="22"/>
        </w:rPr>
        <w:t xml:space="preserve">Gloves: nitrile minimum for cleaning chemical contact and biological material handling — change gloves between zones and whenever visibly contaminated</w:t>
      </w:r>
    </w:p>
    <w:p>
      <w:pPr>
        <w:pStyle w:val="ListParagraph"/>
        <w:numPr>
          <w:ilvl w:val="0"/>
          <w:numId w:val="2"/>
        </w:numPr>
        <w:spacing w:after="40" w:before="40"/>
      </w:pPr>
      <w:r>
        <w:rPr>
          <w:rFonts w:ascii="Arial" w:cs="Arial" w:eastAsia="Arial" w:hAnsi="Arial"/>
          <w:sz w:val="22"/>
          <w:szCs w:val="22"/>
        </w:rPr>
        <w:t xml:space="preserve">Aprons or coveralls: waterproof apron for splashing risk; disposable Type 5 or 6 coveralls for high-contamination environments including sewage, biohazard, and confirmed outbreak response</w:t>
      </w:r>
    </w:p>
    <w:p>
      <w:pPr>
        <w:pStyle w:val="ListParagraph"/>
        <w:numPr>
          <w:ilvl w:val="0"/>
          <w:numId w:val="2"/>
        </w:numPr>
        <w:spacing w:after="40" w:before="40"/>
      </w:pPr>
      <w:r>
        <w:rPr>
          <w:rFonts w:ascii="Arial" w:cs="Arial" w:eastAsia="Arial" w:hAnsi="Arial"/>
          <w:sz w:val="22"/>
          <w:szCs w:val="22"/>
        </w:rPr>
        <w:t xml:space="preserve">Respiratory protection: P2 minimum for environments with aerosolisation risk from high-pressure cleaning, mould, or confirmed respiratory pathogen contamination</w:t>
      </w:r>
    </w:p>
    <w:p>
      <w:pPr>
        <w:pStyle w:val="ListParagraph"/>
        <w:numPr>
          <w:ilvl w:val="0"/>
          <w:numId w:val="2"/>
        </w:numPr>
        <w:spacing w:after="40" w:before="40"/>
      </w:pPr>
      <w:r>
        <w:rPr>
          <w:rFonts w:ascii="Arial" w:cs="Arial" w:eastAsia="Arial" w:hAnsi="Arial"/>
          <w:sz w:val="22"/>
          <w:szCs w:val="22"/>
        </w:rPr>
        <w:t xml:space="preserve">Eye protection: goggles or face shield for all tasks where splash or aerosolisation may occur — including chemical mixing and high-pressure disinfection application</w:t>
      </w:r>
    </w:p>
    <w:p>
      <w:pPr>
        <w:pStyle w:val="ListParagraph"/>
        <w:numPr>
          <w:ilvl w:val="0"/>
          <w:numId w:val="2"/>
        </w:numPr>
        <w:spacing w:after="40" w:before="40"/>
      </w:pPr>
      <w:r>
        <w:rPr>
          <w:rFonts w:ascii="Arial" w:cs="Arial" w:eastAsia="Arial" w:hAnsi="Arial"/>
          <w:sz w:val="22"/>
          <w:szCs w:val="22"/>
        </w:rPr>
        <w:t xml:space="preserve">Footwear: rubber boots or waterproof overshoes in wet contaminated environments — decontaminate boot soles before leaving the contaminated zone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PPE selection must be based on the specific hazards identified for each task — a generic one-size-fits-all approach does not satisfy Model WHS Regulations r.44. Match PPE to the specific biological and chemical hazards on each job.</w:t>
      </w:r>
    </w:p>
    <w:p>
      <w:pPr>
        <w:spacing w:after="0" w:before="60"/>
      </w:pPr>
      <w:r>
        <w:t xml:space="preserve"/>
      </w:r>
    </w:p>
    <w:p>
      <w:pPr>
        <w:spacing w:after="80" w:before="200"/>
      </w:pPr>
      <w:r>
        <w:rPr>
          <w:rFonts w:ascii="Arial" w:cs="Arial" w:eastAsia="Arial" w:hAnsi="Arial"/>
          <w:b/>
          <w:bCs/>
          <w:sz w:val="23"/>
          <w:szCs w:val="23"/>
        </w:rPr>
        <w:t xml:space="preserve">Module 8: Donning and Doffing PPE</w:t>
      </w:r>
    </w:p>
    <w:p>
      <w:pPr>
        <w:spacing w:after="60" w:before="60"/>
      </w:pPr>
      <w:r>
        <w:rPr>
          <w:rFonts w:ascii="Arial" w:cs="Arial" w:eastAsia="Arial" w:hAnsi="Arial"/>
          <w:sz w:val="22"/>
          <w:szCs w:val="22"/>
        </w:rPr>
        <w:t xml:space="preserve">The donning and doffing sequence is as critical as the PPE selection itself. Incorrect removal of contaminated PPE is a primary cause of self-contamination and cross-contamination in infection control environments.</w:t>
      </w:r>
    </w:p>
    <w:p>
      <w:pPr>
        <w:pStyle w:val="ListParagraph"/>
        <w:numPr>
          <w:ilvl w:val="0"/>
          <w:numId w:val="2"/>
        </w:numPr>
        <w:spacing w:after="40" w:before="40"/>
      </w:pPr>
      <w:r>
        <w:rPr>
          <w:rFonts w:ascii="Arial" w:cs="Arial" w:eastAsia="Arial" w:hAnsi="Arial"/>
          <w:sz w:val="22"/>
          <w:szCs w:val="22"/>
        </w:rPr>
        <w:t xml:space="preserve">Donning order: boots first, coveralls, respirator with seal check, eye protection, then outer gloves over the coverall cuff</w:t>
      </w:r>
    </w:p>
    <w:p>
      <w:pPr>
        <w:pStyle w:val="ListParagraph"/>
        <w:numPr>
          <w:ilvl w:val="0"/>
          <w:numId w:val="2"/>
        </w:numPr>
        <w:spacing w:after="40" w:before="40"/>
      </w:pPr>
      <w:r>
        <w:rPr>
          <w:rFonts w:ascii="Arial" w:cs="Arial" w:eastAsia="Arial" w:hAnsi="Arial"/>
          <w:sz w:val="22"/>
          <w:szCs w:val="22"/>
        </w:rPr>
        <w:t xml:space="preserve">Buddy check before entry: a second person verifies there are no gaps at neck, wrists, or ankles before the worker enters the contaminated zone</w:t>
      </w:r>
    </w:p>
    <w:p>
      <w:pPr>
        <w:pStyle w:val="ListParagraph"/>
        <w:numPr>
          <w:ilvl w:val="0"/>
          <w:numId w:val="2"/>
        </w:numPr>
        <w:spacing w:after="40" w:before="40"/>
      </w:pPr>
      <w:r>
        <w:rPr>
          <w:rFonts w:ascii="Arial" w:cs="Arial" w:eastAsia="Arial" w:hAnsi="Arial"/>
          <w:sz w:val="22"/>
          <w:szCs w:val="22"/>
        </w:rPr>
        <w:t xml:space="preserve">Doffing order: HEPA-vacuum or wipe down while still in the contaminated zone, remove outer gloves by peeling inside-out, peel off coveralls rolling downward, clean boots, exit zone, remove eye protection, then remove respirator last</w:t>
      </w:r>
    </w:p>
    <w:p>
      <w:pPr>
        <w:pStyle w:val="ListParagraph"/>
        <w:numPr>
          <w:ilvl w:val="0"/>
          <w:numId w:val="2"/>
        </w:numPr>
        <w:spacing w:after="40" w:before="40"/>
      </w:pPr>
      <w:r>
        <w:rPr>
          <w:rFonts w:ascii="Arial" w:cs="Arial" w:eastAsia="Arial" w:hAnsi="Arial"/>
          <w:sz w:val="22"/>
          <w:szCs w:val="22"/>
        </w:rPr>
        <w:t xml:space="preserve">Hand hygiene: performed immediately after the respirator is removed — this is the final step, not an optional one</w:t>
      </w:r>
    </w:p>
    <w:p>
      <w:pPr>
        <w:pStyle w:val="ListParagraph"/>
        <w:numPr>
          <w:ilvl w:val="0"/>
          <w:numId w:val="2"/>
        </w:numPr>
        <w:spacing w:after="40" w:before="40"/>
      </w:pPr>
      <w:r>
        <w:rPr>
          <w:rFonts w:ascii="Arial" w:cs="Arial" w:eastAsia="Arial" w:hAnsi="Arial"/>
          <w:sz w:val="22"/>
          <w:szCs w:val="22"/>
        </w:rPr>
        <w:t xml:space="preserve">All used PPE is clinical or contaminated waste: bag inside the contaminated zone, seal, and dispose of per the applicable waste management requirements for the contamination type</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The respirator must always come off last. Removing it before coveralls or gloves are off means removing airway protection at the moment of highest contamination contact risk.</w:t>
      </w:r>
    </w:p>
    <w:p>
      <w:pPr>
        <w:spacing w:after="0" w:before="60"/>
      </w:pPr>
      <w:r>
        <w:t xml:space="preserve"/>
      </w:r>
    </w:p>
    <w:p>
      <w:pPr>
        <w:spacing w:after="80" w:before="200"/>
      </w:pPr>
      <w:r>
        <w:rPr>
          <w:rFonts w:ascii="Arial" w:cs="Arial" w:eastAsia="Arial" w:hAnsi="Arial"/>
          <w:b/>
          <w:bCs/>
          <w:sz w:val="23"/>
          <w:szCs w:val="23"/>
        </w:rPr>
        <w:t xml:space="preserve">Module 9: Heat Exhaustion and Heat Stroke</w:t>
      </w:r>
    </w:p>
    <w:p>
      <w:pPr>
        <w:pStyle w:val="ListParagraph"/>
        <w:numPr>
          <w:ilvl w:val="0"/>
          <w:numId w:val="2"/>
        </w:numPr>
        <w:spacing w:after="40" w:before="40"/>
      </w:pPr>
      <w:r>
        <w:rPr>
          <w:rFonts w:ascii="Arial" w:cs="Arial" w:eastAsia="Arial" w:hAnsi="Arial"/>
          <w:sz w:val="22"/>
          <w:szCs w:val="22"/>
        </w:rPr>
        <w:t xml:space="preserve">Working in full coveralls and respiratory protection significantly elevates core body temperature — even in air-conditioned environments</w:t>
      </w:r>
    </w:p>
    <w:p>
      <w:pPr>
        <w:pStyle w:val="ListParagraph"/>
        <w:numPr>
          <w:ilvl w:val="0"/>
          <w:numId w:val="2"/>
        </w:numPr>
        <w:spacing w:after="40" w:before="40"/>
      </w:pPr>
      <w:r>
        <w:rPr>
          <w:rFonts w:ascii="Arial" w:cs="Arial" w:eastAsia="Arial" w:hAnsi="Arial"/>
          <w:sz w:val="22"/>
          <w:szCs w:val="22"/>
        </w:rPr>
        <w:t xml:space="preserve">Heat exhaustion: heavy sweating, weakness, pale and clammy skin, weak pulse, nausea — person is still conscious and responsive</w:t>
      </w:r>
    </w:p>
    <w:p>
      <w:pPr>
        <w:pStyle w:val="ListParagraph"/>
        <w:numPr>
          <w:ilvl w:val="0"/>
          <w:numId w:val="2"/>
        </w:numPr>
        <w:spacing w:after="40" w:before="40"/>
      </w:pPr>
      <w:r>
        <w:rPr>
          <w:rFonts w:ascii="Arial" w:cs="Arial" w:eastAsia="Arial" w:hAnsi="Arial"/>
          <w:sz w:val="22"/>
          <w:szCs w:val="22"/>
        </w:rPr>
        <w:t xml:space="preserve">Heat stroke: core temperature above 39 degrees Celsius, hot red skin, rapid strong pulse, confusion or unconsciousness — call 000 immediately</w:t>
      </w:r>
    </w:p>
    <w:p>
      <w:pPr>
        <w:pStyle w:val="ListParagraph"/>
        <w:numPr>
          <w:ilvl w:val="0"/>
          <w:numId w:val="2"/>
        </w:numPr>
        <w:spacing w:after="40" w:before="40"/>
      </w:pPr>
      <w:r>
        <w:rPr>
          <w:rFonts w:ascii="Arial" w:cs="Arial" w:eastAsia="Arial" w:hAnsi="Arial"/>
          <w:sz w:val="22"/>
          <w:szCs w:val="22"/>
        </w:rPr>
        <w:t xml:space="preserve">Prevention: 20-minute work and 10-minute rest rotation in full PPE, 500 mL pre-hydration before donning, cool rest zone between shifts</w:t>
      </w:r>
    </w:p>
    <w:p>
      <w:pPr>
        <w:pStyle w:val="ListParagraph"/>
        <w:numPr>
          <w:ilvl w:val="0"/>
          <w:numId w:val="2"/>
        </w:numPr>
        <w:spacing w:after="40" w:before="40"/>
      </w:pPr>
      <w:r>
        <w:rPr>
          <w:rFonts w:ascii="Arial" w:cs="Arial" w:eastAsia="Arial" w:hAnsi="Arial"/>
          <w:sz w:val="22"/>
          <w:szCs w:val="22"/>
        </w:rPr>
        <w:t xml:space="preserve">In temperatures above 28 degrees Celsius: schedule high-exertion tasks for the cooler parts of the day and reduce total time in PPE per work rotation</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A heat-related illness resulting in hospitalisation is a notifiable incident under the WHS Act. Document all heat management controls in the site risk assessment and JSEA. The PCBU is responsible for managing heat risk — it cannot be delegated entirely to the worker.</w:t>
      </w:r>
    </w:p>
    <w:p>
      <w:pPr>
        <w:spacing w:after="0" w:before="60"/>
      </w:pPr>
      <w:r>
        <w:t xml:space="preserve"/>
      </w:r>
    </w:p>
    <w:p>
      <w:pPr>
        <w:spacing w:after="80" w:before="200"/>
      </w:pPr>
      <w:r>
        <w:rPr>
          <w:rFonts w:ascii="Arial" w:cs="Arial" w:eastAsia="Arial" w:hAnsi="Arial"/>
          <w:b/>
          <w:bCs/>
          <w:sz w:val="23"/>
          <w:szCs w:val="23"/>
        </w:rPr>
        <w:t xml:space="preserve">Module 10: Hazard Identification</w:t>
      </w:r>
    </w:p>
    <w:p>
      <w:pPr>
        <w:pStyle w:val="ListParagraph"/>
        <w:numPr>
          <w:ilvl w:val="0"/>
          <w:numId w:val="2"/>
        </w:numPr>
        <w:spacing w:after="40" w:before="40"/>
      </w:pPr>
      <w:r>
        <w:rPr>
          <w:rFonts w:ascii="Arial" w:cs="Arial" w:eastAsia="Arial" w:hAnsi="Arial"/>
          <w:sz w:val="22"/>
          <w:szCs w:val="22"/>
        </w:rPr>
        <w:t xml:space="preserve">Before starting any infection control or microbial remediation job, conduct a site-specific hazard identification covering: biological hazards (confirmed or suspected pathogens), chemical hazards (cleaning agents, disinfectants), physical hazards (confined spaces, height, electrical), and environmental hazards (heat, poor ventilation)</w:t>
      </w:r>
    </w:p>
    <w:p>
      <w:pPr>
        <w:pStyle w:val="ListParagraph"/>
        <w:numPr>
          <w:ilvl w:val="0"/>
          <w:numId w:val="2"/>
        </w:numPr>
        <w:spacing w:after="40" w:before="40"/>
      </w:pPr>
      <w:r>
        <w:rPr>
          <w:rFonts w:ascii="Arial" w:cs="Arial" w:eastAsia="Arial" w:hAnsi="Arial"/>
          <w:sz w:val="22"/>
          <w:szCs w:val="22"/>
        </w:rPr>
        <w:t xml:space="preserve">Use a standardised site entry checklist — verbal assessments are not sufficient for regulated or high-risk environments</w:t>
      </w:r>
    </w:p>
    <w:p>
      <w:pPr>
        <w:pStyle w:val="ListParagraph"/>
        <w:numPr>
          <w:ilvl w:val="0"/>
          <w:numId w:val="2"/>
        </w:numPr>
        <w:spacing w:after="40" w:before="40"/>
      </w:pPr>
      <w:r>
        <w:rPr>
          <w:rFonts w:ascii="Arial" w:cs="Arial" w:eastAsia="Arial" w:hAnsi="Arial"/>
          <w:sz w:val="22"/>
          <w:szCs w:val="22"/>
        </w:rPr>
        <w:t xml:space="preserve">Identify and document all individuals on site who may be at increased risk — immunocompromised persons, pregnant workers, or workers with pre-existing respiratory conditions may require modified PPE or exclusion from the highest-risk tasks</w:t>
      </w:r>
    </w:p>
    <w:p>
      <w:pPr>
        <w:pStyle w:val="ListParagraph"/>
        <w:numPr>
          <w:ilvl w:val="0"/>
          <w:numId w:val="2"/>
        </w:numPr>
        <w:spacing w:after="40" w:before="40"/>
      </w:pPr>
      <w:r>
        <w:rPr>
          <w:rFonts w:ascii="Arial" w:cs="Arial" w:eastAsia="Arial" w:hAnsi="Arial"/>
          <w:sz w:val="22"/>
          <w:szCs w:val="22"/>
        </w:rPr>
        <w:t xml:space="preserve">Review the SDS for every chemical planned for use on the job before work commences — Section 2 hazard identification and Section 8 exposure controls are the priority sections for field workers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Create a hazard register for every infection control job that lists: identified hazard, risk rating, control measures in place, and the person responsible for each control. Review this register at the daily pre-start briefing.</w:t>
      </w:r>
    </w:p>
    <w:p>
      <w:pPr>
        <w:spacing w:after="0" w:before="60"/>
      </w:pPr>
      <w:r>
        <w:t xml:space="preserve"/>
      </w:r>
    </w:p>
    <w:p>
      <w:pPr>
        <w:spacing w:after="80" w:before="200"/>
      </w:pPr>
      <w:r>
        <w:rPr>
          <w:rFonts w:ascii="Arial" w:cs="Arial" w:eastAsia="Arial" w:hAnsi="Arial"/>
          <w:b/>
          <w:bCs/>
          <w:sz w:val="23"/>
          <w:szCs w:val="23"/>
        </w:rPr>
        <w:t xml:space="preserve">Module 11: Risk Assessments</w:t>
      </w:r>
    </w:p>
    <w:p>
      <w:pPr>
        <w:pStyle w:val="ListParagraph"/>
        <w:numPr>
          <w:ilvl w:val="0"/>
          <w:numId w:val="2"/>
        </w:numPr>
        <w:spacing w:after="40" w:before="40"/>
      </w:pPr>
      <w:r>
        <w:rPr>
          <w:rFonts w:ascii="Arial" w:cs="Arial" w:eastAsia="Arial" w:hAnsi="Arial"/>
          <w:sz w:val="22"/>
          <w:szCs w:val="22"/>
        </w:rPr>
        <w:t xml:space="preserve">A risk assessment for infection control work must address: biological contamination level, airborne transmission risk, chemical hazards from disinfectants, PPE adequacy for identified hazards, and emergency response capability on site</w:t>
      </w:r>
    </w:p>
    <w:p>
      <w:pPr>
        <w:pStyle w:val="ListParagraph"/>
        <w:numPr>
          <w:ilvl w:val="0"/>
          <w:numId w:val="2"/>
        </w:numPr>
        <w:spacing w:after="40" w:before="40"/>
      </w:pPr>
      <w:r>
        <w:rPr>
          <w:rFonts w:ascii="Arial" w:cs="Arial" w:eastAsia="Arial" w:hAnsi="Arial"/>
          <w:sz w:val="22"/>
          <w:szCs w:val="22"/>
        </w:rPr>
        <w:t xml:space="preserve">Risk matrix application: score each identified hazard for likelihood and consequence, apply controls, and re-score to confirm the residual risk is acceptable before proceeding</w:t>
      </w:r>
    </w:p>
    <w:p>
      <w:pPr>
        <w:pStyle w:val="ListParagraph"/>
        <w:numPr>
          <w:ilvl w:val="0"/>
          <w:numId w:val="2"/>
        </w:numPr>
        <w:spacing w:after="40" w:before="40"/>
      </w:pPr>
      <w:r>
        <w:rPr>
          <w:rFonts w:ascii="Arial" w:cs="Arial" w:eastAsia="Arial" w:hAnsi="Arial"/>
          <w:sz w:val="22"/>
          <w:szCs w:val="22"/>
        </w:rPr>
        <w:t xml:space="preserve">For outbreak response or confirmed high-risk pathogen events: engage an independent infection control consultant to review the risk assessment and scope of work before commencing</w:t>
      </w:r>
    </w:p>
    <w:p>
      <w:pPr>
        <w:pStyle w:val="ListParagraph"/>
        <w:numPr>
          <w:ilvl w:val="0"/>
          <w:numId w:val="2"/>
        </w:numPr>
        <w:spacing w:after="40" w:before="40"/>
      </w:pPr>
      <w:r>
        <w:rPr>
          <w:rFonts w:ascii="Arial" w:cs="Arial" w:eastAsia="Arial" w:hAnsi="Arial"/>
          <w:sz w:val="22"/>
          <w:szCs w:val="22"/>
        </w:rPr>
        <w:t xml:space="preserve">Document all risk assessment decisions in writing — verbal risk assessments are not sufficient and provide no legal protection in the event of a worker or third-party illness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s.18: The PCBU must manage risks so far as is reasonably practicable. A documented risk assessment is the primary evidence that this duty has been actively discharged for each specific job.</w:t>
      </w:r>
    </w:p>
    <w:p>
      <w:pPr>
        <w:spacing w:after="0" w:before="60"/>
      </w:pPr>
      <w:r>
        <w:t xml:space="preserve"/>
      </w:r>
    </w:p>
    <w:p>
      <w:pPr>
        <w:spacing w:after="80" w:before="200"/>
      </w:pPr>
      <w:r>
        <w:rPr>
          <w:rFonts w:ascii="Arial" w:cs="Arial" w:eastAsia="Arial" w:hAnsi="Arial"/>
          <w:b/>
          <w:bCs/>
          <w:sz w:val="23"/>
          <w:szCs w:val="23"/>
        </w:rPr>
        <w:t xml:space="preserve">Module 12: Hierarchy of Controls</w:t>
      </w:r>
    </w:p>
    <w:p>
      <w:pPr>
        <w:pStyle w:val="ListParagraph"/>
        <w:numPr>
          <w:ilvl w:val="0"/>
          <w:numId w:val="2"/>
        </w:numPr>
        <w:spacing w:after="40" w:before="40"/>
      </w:pPr>
      <w:r>
        <w:rPr>
          <w:rFonts w:ascii="Arial" w:cs="Arial" w:eastAsia="Arial" w:hAnsi="Arial"/>
          <w:sz w:val="22"/>
          <w:szCs w:val="22"/>
        </w:rPr>
        <w:t xml:space="preserve">Elimination: can the source of biological contamination be removed from the environment entirely before cleaning work begins? For example, remove contaminated waste before attempting surface disinfection.</w:t>
      </w:r>
    </w:p>
    <w:p>
      <w:pPr>
        <w:pStyle w:val="ListParagraph"/>
        <w:numPr>
          <w:ilvl w:val="0"/>
          <w:numId w:val="2"/>
        </w:numPr>
        <w:spacing w:after="40" w:before="40"/>
      </w:pPr>
      <w:r>
        <w:rPr>
          <w:rFonts w:ascii="Arial" w:cs="Arial" w:eastAsia="Arial" w:hAnsi="Arial"/>
          <w:sz w:val="22"/>
          <w:szCs w:val="22"/>
        </w:rPr>
        <w:t xml:space="preserve">Substitution: can a safer cleaning method or lower-toxicity disinfectant achieve the required outcome without increasing worker exposure to chemical hazard?</w:t>
      </w:r>
    </w:p>
    <w:p>
      <w:pPr>
        <w:pStyle w:val="ListParagraph"/>
        <w:numPr>
          <w:ilvl w:val="0"/>
          <w:numId w:val="2"/>
        </w:numPr>
        <w:spacing w:after="40" w:before="40"/>
      </w:pPr>
      <w:r>
        <w:rPr>
          <w:rFonts w:ascii="Arial" w:cs="Arial" w:eastAsia="Arial" w:hAnsi="Arial"/>
          <w:sz w:val="22"/>
          <w:szCs w:val="22"/>
        </w:rPr>
        <w:t xml:space="preserve">Engineering controls: negative pressure containment to prevent spread of contaminated aerosols, HEPA filtration on air scrubbers, physical barriers between contaminated and clean zones</w:t>
      </w:r>
    </w:p>
    <w:p>
      <w:pPr>
        <w:pStyle w:val="ListParagraph"/>
        <w:numPr>
          <w:ilvl w:val="0"/>
          <w:numId w:val="2"/>
        </w:numPr>
        <w:spacing w:after="40" w:before="40"/>
      </w:pPr>
      <w:r>
        <w:rPr>
          <w:rFonts w:ascii="Arial" w:cs="Arial" w:eastAsia="Arial" w:hAnsi="Arial"/>
          <w:sz w:val="22"/>
          <w:szCs w:val="22"/>
        </w:rPr>
        <w:t xml:space="preserve">Administrative controls: cleaning protocols, zone systems, shift scheduling to reduce cumulative exposure, worker rotation to manage heat and fatigue</w:t>
      </w:r>
    </w:p>
    <w:p>
      <w:pPr>
        <w:pStyle w:val="ListParagraph"/>
        <w:numPr>
          <w:ilvl w:val="0"/>
          <w:numId w:val="2"/>
        </w:numPr>
        <w:spacing w:after="40" w:before="40"/>
      </w:pPr>
      <w:r>
        <w:rPr>
          <w:rFonts w:ascii="Arial" w:cs="Arial" w:eastAsia="Arial" w:hAnsi="Arial"/>
          <w:sz w:val="22"/>
          <w:szCs w:val="22"/>
        </w:rPr>
        <w:t xml:space="preserve">PPE: specified for each task based on the residual risk after all higher-order controls are applied — never the starting point for managing biological hazard</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When reviewing an infection control job plan, physically challenge every PPE-only control: can this risk be reduced first by engineering or administrative means? If not, why not? Document the reasoning — this is due diligence evidence.</w:t>
      </w:r>
    </w:p>
    <w:p>
      <w:pPr>
        <w:spacing w:after="0" w:before="60"/>
      </w:pPr>
      <w:r>
        <w:t xml:space="preserve"/>
      </w:r>
    </w:p>
    <w:p>
      <w:pPr>
        <w:spacing w:after="80" w:before="200"/>
      </w:pPr>
      <w:r>
        <w:rPr>
          <w:rFonts w:ascii="Arial" w:cs="Arial" w:eastAsia="Arial" w:hAnsi="Arial"/>
          <w:b/>
          <w:bCs/>
          <w:sz w:val="23"/>
          <w:szCs w:val="23"/>
        </w:rPr>
        <w:t xml:space="preserve">Module 13: Documentation and Reporting</w:t>
      </w:r>
    </w:p>
    <w:p>
      <w:pPr>
        <w:pStyle w:val="ListParagraph"/>
        <w:numPr>
          <w:ilvl w:val="0"/>
          <w:numId w:val="2"/>
        </w:numPr>
        <w:spacing w:after="40" w:before="40"/>
      </w:pPr>
      <w:r>
        <w:rPr>
          <w:rFonts w:ascii="Arial" w:cs="Arial" w:eastAsia="Arial" w:hAnsi="Arial"/>
          <w:sz w:val="22"/>
          <w:szCs w:val="22"/>
        </w:rPr>
        <w:t xml:space="preserve">Infection control documentation must capture: scope of work, contamination categories identified, cleaning and disinfection methods used, chemicals applied with dilutions and dwell times, PPE worn by each worker, ATP or verification testing results, and clearance status</w:t>
      </w:r>
    </w:p>
    <w:p>
      <w:pPr>
        <w:pStyle w:val="ListParagraph"/>
        <w:numPr>
          <w:ilvl w:val="0"/>
          <w:numId w:val="2"/>
        </w:numPr>
        <w:spacing w:after="40" w:before="40"/>
      </w:pPr>
      <w:r>
        <w:rPr>
          <w:rFonts w:ascii="Arial" w:cs="Arial" w:eastAsia="Arial" w:hAnsi="Arial"/>
          <w:sz w:val="22"/>
          <w:szCs w:val="22"/>
        </w:rPr>
        <w:t xml:space="preserve">Incident documentation: any exposure event involving biological material must be recorded as a WHS incident and reported per your state's mandatory reporting timeframes</w:t>
      </w:r>
    </w:p>
    <w:p>
      <w:pPr>
        <w:pStyle w:val="ListParagraph"/>
        <w:numPr>
          <w:ilvl w:val="0"/>
          <w:numId w:val="2"/>
        </w:numPr>
        <w:spacing w:after="40" w:before="40"/>
      </w:pPr>
      <w:r>
        <w:rPr>
          <w:rFonts w:ascii="Arial" w:cs="Arial" w:eastAsia="Arial" w:hAnsi="Arial"/>
          <w:sz w:val="22"/>
          <w:szCs w:val="22"/>
        </w:rPr>
        <w:t xml:space="preserve">Chain of custody for samples: if swab or air samples are collected for laboratory analysis, maintain a documented chain of custody from collection to laboratory receipt</w:t>
      </w:r>
    </w:p>
    <w:p>
      <w:pPr>
        <w:pStyle w:val="ListParagraph"/>
        <w:numPr>
          <w:ilvl w:val="0"/>
          <w:numId w:val="2"/>
        </w:numPr>
        <w:spacing w:after="40" w:before="40"/>
      </w:pPr>
      <w:r>
        <w:rPr>
          <w:rFonts w:ascii="Arial" w:cs="Arial" w:eastAsia="Arial" w:hAnsi="Arial"/>
          <w:sz w:val="22"/>
          <w:szCs w:val="22"/>
        </w:rPr>
        <w:t xml:space="preserve">Client-facing report: provide a written cleaning and disinfection certificate after every infection control job — this protects both the client and your business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Never rely on verbal instructions or verbal sign-off for infection control work. Issue a written job summary to the client on the day the work is completed. Retain your copy for a minimum of seven years.</w:t>
      </w:r>
    </w:p>
    <w:p>
      <w:pPr>
        <w:spacing w:after="0" w:before="60"/>
      </w:pPr>
      <w:r>
        <w:t xml:space="preserve"/>
      </w:r>
    </w:p>
    <w:p>
      <w:pPr>
        <w:spacing w:after="80" w:before="200"/>
      </w:pPr>
      <w:r>
        <w:rPr>
          <w:rFonts w:ascii="Arial" w:cs="Arial" w:eastAsia="Arial" w:hAnsi="Arial"/>
          <w:b/>
          <w:bCs/>
          <w:sz w:val="23"/>
          <w:szCs w:val="23"/>
        </w:rPr>
        <w:t xml:space="preserve">Module 14: Standard Operating Procedures</w:t>
      </w:r>
    </w:p>
    <w:p>
      <w:pPr>
        <w:pStyle w:val="ListParagraph"/>
        <w:numPr>
          <w:ilvl w:val="0"/>
          <w:numId w:val="2"/>
        </w:numPr>
        <w:spacing w:after="40" w:before="40"/>
      </w:pPr>
      <w:r>
        <w:rPr>
          <w:rFonts w:ascii="Arial" w:cs="Arial" w:eastAsia="Arial" w:hAnsi="Arial"/>
          <w:sz w:val="22"/>
          <w:szCs w:val="22"/>
        </w:rPr>
        <w:t xml:space="preserve">Every infection control task must be governed by a documented SOP specifying: the exact cleaning and disinfection method, required chemical dilutions and dwell times, PPE for each task step, zone entry and exit procedures, verification testing requirements, and waste disposal method</w:t>
      </w:r>
    </w:p>
    <w:p>
      <w:pPr>
        <w:pStyle w:val="ListParagraph"/>
        <w:numPr>
          <w:ilvl w:val="0"/>
          <w:numId w:val="2"/>
        </w:numPr>
        <w:spacing w:after="40" w:before="40"/>
      </w:pPr>
      <w:r>
        <w:rPr>
          <w:rFonts w:ascii="Arial" w:cs="Arial" w:eastAsia="Arial" w:hAnsi="Arial"/>
          <w:sz w:val="22"/>
          <w:szCs w:val="22"/>
        </w:rPr>
        <w:t xml:space="preserve">SOPs must be accessible to workers during the job — not only at the office or on a shared drive</w:t>
      </w:r>
    </w:p>
    <w:p>
      <w:pPr>
        <w:pStyle w:val="ListParagraph"/>
        <w:numPr>
          <w:ilvl w:val="0"/>
          <w:numId w:val="2"/>
        </w:numPr>
        <w:spacing w:after="40" w:before="40"/>
      </w:pPr>
      <w:r>
        <w:rPr>
          <w:rFonts w:ascii="Arial" w:cs="Arial" w:eastAsia="Arial" w:hAnsi="Arial"/>
          <w:sz w:val="22"/>
          <w:szCs w:val="22"/>
        </w:rPr>
        <w:t xml:space="preserve">Review and update SOPs whenever: a new pathogen type is encountered, a new chemical is introduced, an incident occurs during a task governed by the SOP, or annually at minimum</w:t>
      </w:r>
    </w:p>
    <w:p>
      <w:pPr>
        <w:pStyle w:val="ListParagraph"/>
        <w:numPr>
          <w:ilvl w:val="0"/>
          <w:numId w:val="2"/>
        </w:numPr>
        <w:spacing w:after="40" w:before="40"/>
      </w:pPr>
      <w:r>
        <w:rPr>
          <w:rFonts w:ascii="Arial" w:cs="Arial" w:eastAsia="Arial" w:hAnsi="Arial"/>
          <w:sz w:val="22"/>
          <w:szCs w:val="22"/>
        </w:rPr>
        <w:t xml:space="preserve">Worker sign-off: all workers must sign to confirm they have read and understood the relevant SOPs before starting the job</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An infection control business that cannot produce a current, site-specific SOP during a SafeWork or regulatory inspection faces significant liability exposure. SOPs must exist, be current, and be demonstrably used.</w:t>
      </w:r>
    </w:p>
    <w:p>
      <w:pPr>
        <w:spacing w:after="0" w:before="60"/>
      </w:pPr>
      <w:r>
        <w:t xml:space="preserve"/>
      </w:r>
    </w:p>
    <w:p>
      <w:pPr>
        <w:spacing w:after="80" w:before="200"/>
      </w:pPr>
      <w:r>
        <w:rPr>
          <w:rFonts w:ascii="Arial" w:cs="Arial" w:eastAsia="Arial" w:hAnsi="Arial"/>
          <w:b/>
          <w:bCs/>
          <w:sz w:val="23"/>
          <w:szCs w:val="23"/>
        </w:rPr>
        <w:t xml:space="preserve">Module 15: Safety Data Sheets</w:t>
      </w:r>
    </w:p>
    <w:p>
      <w:pPr>
        <w:pStyle w:val="ListParagraph"/>
        <w:numPr>
          <w:ilvl w:val="0"/>
          <w:numId w:val="2"/>
        </w:numPr>
        <w:spacing w:after="40" w:before="40"/>
      </w:pPr>
      <w:r>
        <w:rPr>
          <w:rFonts w:ascii="Arial" w:cs="Arial" w:eastAsia="Arial" w:hAnsi="Arial"/>
          <w:sz w:val="22"/>
          <w:szCs w:val="22"/>
        </w:rPr>
        <w:t xml:space="preserve">An SDS must be on site for every hazardous chemical used — not at the office or in a binder in the van</w:t>
      </w:r>
    </w:p>
    <w:p>
      <w:pPr>
        <w:pStyle w:val="ListParagraph"/>
        <w:numPr>
          <w:ilvl w:val="0"/>
          <w:numId w:val="2"/>
        </w:numPr>
        <w:spacing w:after="40" w:before="40"/>
      </w:pPr>
      <w:r>
        <w:rPr>
          <w:rFonts w:ascii="Arial" w:cs="Arial" w:eastAsia="Arial" w:hAnsi="Arial"/>
          <w:sz w:val="22"/>
          <w:szCs w:val="22"/>
        </w:rPr>
        <w:t xml:space="preserve">Check Section 2 (hazard identification) and Section 8 (exposure controls and PPE) before using any chemical for the first time and when switching to a new product</w:t>
      </w:r>
    </w:p>
    <w:p>
      <w:pPr>
        <w:pStyle w:val="ListParagraph"/>
        <w:numPr>
          <w:ilvl w:val="0"/>
          <w:numId w:val="2"/>
        </w:numPr>
        <w:spacing w:after="40" w:before="40"/>
      </w:pPr>
      <w:r>
        <w:rPr>
          <w:rFonts w:ascii="Arial" w:cs="Arial" w:eastAsia="Arial" w:hAnsi="Arial"/>
          <w:sz w:val="22"/>
          <w:szCs w:val="22"/>
        </w:rPr>
        <w:t xml:space="preserve">Section 4 (first aid) must be reviewed by all workers using the product — not just the team leader</w:t>
      </w:r>
    </w:p>
    <w:p>
      <w:pPr>
        <w:pStyle w:val="ListParagraph"/>
        <w:numPr>
          <w:ilvl w:val="0"/>
          <w:numId w:val="2"/>
        </w:numPr>
        <w:spacing w:after="40" w:before="40"/>
      </w:pPr>
      <w:r>
        <w:rPr>
          <w:rFonts w:ascii="Arial" w:cs="Arial" w:eastAsia="Arial" w:hAnsi="Arial"/>
          <w:sz w:val="22"/>
          <w:szCs w:val="22"/>
        </w:rPr>
        <w:t xml:space="preserve">Section 13 (disposal) determines the correct waste classification and disposal method for used or leftover product</w:t>
      </w:r>
    </w:p>
    <w:p>
      <w:pPr>
        <w:pStyle w:val="ListParagraph"/>
        <w:numPr>
          <w:ilvl w:val="0"/>
          <w:numId w:val="2"/>
        </w:numPr>
        <w:spacing w:after="40" w:before="40"/>
      </w:pPr>
      <w:r>
        <w:rPr>
          <w:rFonts w:ascii="Arial" w:cs="Arial" w:eastAsia="Arial" w:hAnsi="Arial"/>
          <w:sz w:val="22"/>
          <w:szCs w:val="22"/>
        </w:rPr>
        <w:t xml:space="preserve">SDS currency: the document must be within five years of its issue date — older SDS may not reflect current regulatory WES values or updated formulation hazard data</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r.337: The PCBU must ensure an SDS is provided to any person likely to be affected by a hazardous chemical in the workplace. Providing the SDS only to the team leader and not to all workers is insufficient.</w:t>
      </w:r>
    </w:p>
    <w:p>
      <w:pPr>
        <w:spacing w:after="0" w:before="60"/>
      </w:pPr>
      <w:r>
        <w:t xml:space="preserve"/>
      </w:r>
    </w:p>
    <w:p>
      <w:pPr>
        <w:spacing w:after="80" w:before="200"/>
      </w:pPr>
      <w:r>
        <w:rPr>
          <w:rFonts w:ascii="Arial" w:cs="Arial" w:eastAsia="Arial" w:hAnsi="Arial"/>
          <w:b/>
          <w:bCs/>
          <w:sz w:val="23"/>
          <w:szCs w:val="23"/>
        </w:rPr>
        <w:t xml:space="preserve">Module 16: Labelling</w:t>
      </w:r>
    </w:p>
    <w:p>
      <w:pPr>
        <w:pStyle w:val="ListParagraph"/>
        <w:numPr>
          <w:ilvl w:val="0"/>
          <w:numId w:val="2"/>
        </w:numPr>
        <w:spacing w:after="40" w:before="40"/>
      </w:pPr>
      <w:r>
        <w:rPr>
          <w:rFonts w:ascii="Arial" w:cs="Arial" w:eastAsia="Arial" w:hAnsi="Arial"/>
          <w:sz w:val="22"/>
          <w:szCs w:val="22"/>
        </w:rPr>
        <w:t xml:space="preserve">All chemical containers must be labelled — both the original container and any decanted or diluted product in a secondary container</w:t>
      </w:r>
    </w:p>
    <w:p>
      <w:pPr>
        <w:pStyle w:val="ListParagraph"/>
        <w:numPr>
          <w:ilvl w:val="0"/>
          <w:numId w:val="2"/>
        </w:numPr>
        <w:spacing w:after="40" w:before="40"/>
      </w:pPr>
      <w:r>
        <w:rPr>
          <w:rFonts w:ascii="Arial" w:cs="Arial" w:eastAsia="Arial" w:hAnsi="Arial"/>
          <w:sz w:val="22"/>
          <w:szCs w:val="22"/>
        </w:rPr>
        <w:t xml:space="preserve">Secondary container minimum label requirements: product name, concentration or dilution ratio, GHS hazard pictograms relevant to the diluted product, and the date of preparation</w:t>
      </w:r>
    </w:p>
    <w:p>
      <w:pPr>
        <w:pStyle w:val="ListParagraph"/>
        <w:numPr>
          <w:ilvl w:val="0"/>
          <w:numId w:val="2"/>
        </w:numPr>
        <w:spacing w:after="40" w:before="40"/>
      </w:pPr>
      <w:r>
        <w:rPr>
          <w:rFonts w:ascii="Arial" w:cs="Arial" w:eastAsia="Arial" w:hAnsi="Arial"/>
          <w:sz w:val="22"/>
          <w:szCs w:val="22"/>
        </w:rPr>
        <w:t xml:space="preserve">Never transfer chemicals into unlabelled containers — this is a breach of the Model WHS Regulations and creates a serious risk of incorrect product use or accidental exposure</w:t>
      </w:r>
    </w:p>
    <w:p>
      <w:pPr>
        <w:pStyle w:val="ListParagraph"/>
        <w:numPr>
          <w:ilvl w:val="0"/>
          <w:numId w:val="2"/>
        </w:numPr>
        <w:spacing w:after="40" w:before="40"/>
      </w:pPr>
      <w:r>
        <w:rPr>
          <w:rFonts w:ascii="Arial" w:cs="Arial" w:eastAsia="Arial" w:hAnsi="Arial"/>
          <w:sz w:val="22"/>
          <w:szCs w:val="22"/>
        </w:rPr>
        <w:t xml:space="preserve">Faded, damaged, or missing labels: the container must be removed from use immediately and not used until correctly relabelled</w:t>
      </w:r>
    </w:p>
    <w:p>
      <w:pPr>
        <w:pStyle w:val="ListParagraph"/>
        <w:numPr>
          <w:ilvl w:val="0"/>
          <w:numId w:val="2"/>
        </w:numPr>
        <w:spacing w:after="40" w:before="40"/>
      </w:pPr>
      <w:r>
        <w:rPr>
          <w:rFonts w:ascii="Arial" w:cs="Arial" w:eastAsia="Arial" w:hAnsi="Arial"/>
          <w:sz w:val="22"/>
          <w:szCs w:val="22"/>
        </w:rPr>
        <w:t xml:space="preserve">Chemical compatibility: never store incompatible chemicals in adjacent unlabelled containers — sodium hypochlorite stored near acidic cleaners creates a chlorine gas risk</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r.330: Hazardous chemicals must be labelled in accordance with GHS requirements. This applies to all containers in a workplace including secondary and working containers prepared on site.</w:t>
      </w:r>
    </w:p>
    <w:p>
      <w:pPr>
        <w:spacing w:after="0" w:before="60"/>
      </w:pPr>
      <w:r>
        <w:t xml:space="preserve"/>
      </w:r>
    </w:p>
    <w:p>
      <w:pPr>
        <w:spacing w:after="80" w:before="200"/>
      </w:pPr>
      <w:r>
        <w:rPr>
          <w:rFonts w:ascii="Arial" w:cs="Arial" w:eastAsia="Arial" w:hAnsi="Arial"/>
          <w:b/>
          <w:bCs/>
          <w:sz w:val="23"/>
          <w:szCs w:val="23"/>
        </w:rPr>
        <w:t xml:space="preserve">Module 17: Handling and Storage</w:t>
      </w:r>
    </w:p>
    <w:p>
      <w:pPr>
        <w:pStyle w:val="ListParagraph"/>
        <w:numPr>
          <w:ilvl w:val="0"/>
          <w:numId w:val="2"/>
        </w:numPr>
        <w:spacing w:after="40" w:before="40"/>
      </w:pPr>
      <w:r>
        <w:rPr>
          <w:rFonts w:ascii="Arial" w:cs="Arial" w:eastAsia="Arial" w:hAnsi="Arial"/>
          <w:sz w:val="22"/>
          <w:szCs w:val="22"/>
        </w:rPr>
        <w:t xml:space="preserve">Storage requirements: per Section 7 of the relevant SDS — check temperature range, ventilation requirements, and incompatible storage neighbours before placing chemicals in your vehicle or site storage</w:t>
      </w:r>
    </w:p>
    <w:p>
      <w:pPr>
        <w:pStyle w:val="ListParagraph"/>
        <w:numPr>
          <w:ilvl w:val="0"/>
          <w:numId w:val="2"/>
        </w:numPr>
        <w:spacing w:after="40" w:before="40"/>
      </w:pPr>
      <w:r>
        <w:rPr>
          <w:rFonts w:ascii="Arial" w:cs="Arial" w:eastAsia="Arial" w:hAnsi="Arial"/>
          <w:sz w:val="22"/>
          <w:szCs w:val="22"/>
        </w:rPr>
        <w:t xml:space="preserve">Segregation: oxidisers, acids, and alkalis must be physically separated — never store in the same compartment without approved secondary containment</w:t>
      </w:r>
    </w:p>
    <w:p>
      <w:pPr>
        <w:pStyle w:val="ListParagraph"/>
        <w:numPr>
          <w:ilvl w:val="0"/>
          <w:numId w:val="2"/>
        </w:numPr>
        <w:spacing w:after="40" w:before="40"/>
      </w:pPr>
      <w:r>
        <w:rPr>
          <w:rFonts w:ascii="Arial" w:cs="Arial" w:eastAsia="Arial" w:hAnsi="Arial"/>
          <w:sz w:val="22"/>
          <w:szCs w:val="22"/>
        </w:rPr>
        <w:t xml:space="preserve">Vehicle storage: chemicals transported in work vehicles must comply with the Australian Dangerous Goods Code — use appropriate approved containers and ensure adequate ventilation in the cargo area</w:t>
      </w:r>
    </w:p>
    <w:p>
      <w:pPr>
        <w:pStyle w:val="ListParagraph"/>
        <w:numPr>
          <w:ilvl w:val="0"/>
          <w:numId w:val="2"/>
        </w:numPr>
        <w:spacing w:after="40" w:before="40"/>
      </w:pPr>
      <w:r>
        <w:rPr>
          <w:rFonts w:ascii="Arial" w:cs="Arial" w:eastAsia="Arial" w:hAnsi="Arial"/>
          <w:sz w:val="22"/>
          <w:szCs w:val="22"/>
        </w:rPr>
        <w:t xml:space="preserve">Spill containment: maintain a basic spill kit in all vehicles carrying chemicals — absorbent, chemical-resistant gloves, eye protection, and a sealable waste bag</w:t>
      </w:r>
    </w:p>
    <w:p>
      <w:pPr>
        <w:pStyle w:val="ListParagraph"/>
        <w:numPr>
          <w:ilvl w:val="0"/>
          <w:numId w:val="2"/>
        </w:numPr>
        <w:spacing w:after="40" w:before="40"/>
      </w:pPr>
      <w:r>
        <w:rPr>
          <w:rFonts w:ascii="Arial" w:cs="Arial" w:eastAsia="Arial" w:hAnsi="Arial"/>
          <w:sz w:val="22"/>
          <w:szCs w:val="22"/>
        </w:rPr>
        <w:t xml:space="preserve">First in first out (FIFO): rotate chemical stock so older product is used first — expired or degraded disinfectants may not achieve the label's claimed efficacy</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Before restocking chemical supplies, check every container for label condition, seal integrity, and use-by date. Dispose of expired or unlabelled product correctly — do not dilute and use to avoid waste. An ineffective disinfectant used on a contaminated surface is a direct patient or client safety risk.</w:t>
      </w:r>
    </w:p>
    <w:p>
      <w:pPr>
        <w:spacing w:after="0" w:before="60"/>
      </w:pPr>
      <w:r>
        <w:t xml:space="preserve"/>
      </w:r>
    </w:p>
    <w:p>
      <w:pPr>
        <w:spacing w:after="80" w:before="200"/>
      </w:pPr>
      <w:r>
        <w:rPr>
          <w:rFonts w:ascii="Arial" w:cs="Arial" w:eastAsia="Arial" w:hAnsi="Arial"/>
          <w:b/>
          <w:bCs/>
          <w:sz w:val="23"/>
          <w:szCs w:val="23"/>
        </w:rPr>
        <w:t xml:space="preserve">Module 18: Cleaning Procedures</w:t>
      </w:r>
    </w:p>
    <w:p>
      <w:pPr>
        <w:pStyle w:val="ListParagraph"/>
        <w:numPr>
          <w:ilvl w:val="0"/>
          <w:numId w:val="2"/>
        </w:numPr>
        <w:spacing w:after="40" w:before="40"/>
      </w:pPr>
      <w:r>
        <w:rPr>
          <w:rFonts w:ascii="Arial" w:cs="Arial" w:eastAsia="Arial" w:hAnsi="Arial"/>
          <w:sz w:val="22"/>
          <w:szCs w:val="22"/>
        </w:rPr>
        <w:t xml:space="preserve">Pre-clean inspection: identify all contaminated surfaces and waste before starting — plan the cleaning sequence from clean to dirty and from high to low surfaces</w:t>
      </w:r>
    </w:p>
    <w:p>
      <w:pPr>
        <w:pStyle w:val="ListParagraph"/>
        <w:numPr>
          <w:ilvl w:val="0"/>
          <w:numId w:val="2"/>
        </w:numPr>
        <w:spacing w:after="40" w:before="40"/>
      </w:pPr>
      <w:r>
        <w:rPr>
          <w:rFonts w:ascii="Arial" w:cs="Arial" w:eastAsia="Arial" w:hAnsi="Arial"/>
          <w:sz w:val="22"/>
          <w:szCs w:val="22"/>
        </w:rPr>
        <w:t xml:space="preserve">Dry removal first: where safe to do so, remove loose contamination by HEPA vacuum before applying any wet cleaning agent — wet application to dry contamination can aerosolise it</w:t>
      </w:r>
    </w:p>
    <w:p>
      <w:pPr>
        <w:pStyle w:val="ListParagraph"/>
        <w:numPr>
          <w:ilvl w:val="0"/>
          <w:numId w:val="2"/>
        </w:numPr>
        <w:spacing w:after="40" w:before="40"/>
      </w:pPr>
      <w:r>
        <w:rPr>
          <w:rFonts w:ascii="Arial" w:cs="Arial" w:eastAsia="Arial" w:hAnsi="Arial"/>
          <w:sz w:val="22"/>
          <w:szCs w:val="22"/>
        </w:rPr>
        <w:t xml:space="preserve">Chemical application: apply the cleaning agent or disinfectant at the correct dilution for the surface type and contamination level — check the SDS and product label for the restoration or disinfection application rate</w:t>
      </w:r>
    </w:p>
    <w:p>
      <w:pPr>
        <w:pStyle w:val="ListParagraph"/>
        <w:numPr>
          <w:ilvl w:val="0"/>
          <w:numId w:val="2"/>
        </w:numPr>
        <w:spacing w:after="40" w:before="40"/>
      </w:pPr>
      <w:r>
        <w:rPr>
          <w:rFonts w:ascii="Arial" w:cs="Arial" w:eastAsia="Arial" w:hAnsi="Arial"/>
          <w:sz w:val="22"/>
          <w:szCs w:val="22"/>
        </w:rPr>
        <w:t xml:space="preserve">Mechanical action: agitation with a brush or microfibre cloth is required to break biofilm and embedded contamination — product alone is not sufficient on heavily soiled surfaces</w:t>
      </w:r>
    </w:p>
    <w:p>
      <w:pPr>
        <w:pStyle w:val="ListParagraph"/>
        <w:numPr>
          <w:ilvl w:val="0"/>
          <w:numId w:val="2"/>
        </w:numPr>
        <w:spacing w:after="40" w:before="40"/>
      </w:pPr>
      <w:r>
        <w:rPr>
          <w:rFonts w:ascii="Arial" w:cs="Arial" w:eastAsia="Arial" w:hAnsi="Arial"/>
          <w:sz w:val="22"/>
          <w:szCs w:val="22"/>
        </w:rPr>
        <w:t xml:space="preserve">Rinse and inspect: rinse surfaces where required by the product protocol, then inspect visually before applying disinfectant</w:t>
      </w:r>
    </w:p>
    <w:p>
      <w:pPr>
        <w:pStyle w:val="ListParagraph"/>
        <w:numPr>
          <w:ilvl w:val="0"/>
          <w:numId w:val="2"/>
        </w:numPr>
        <w:spacing w:after="40" w:before="40"/>
      </w:pPr>
      <w:r>
        <w:rPr>
          <w:rFonts w:ascii="Arial" w:cs="Arial" w:eastAsia="Arial" w:hAnsi="Arial"/>
          <w:sz w:val="22"/>
          <w:szCs w:val="22"/>
        </w:rPr>
        <w:t xml:space="preserve">Verification: conduct ATP testing on representative surfaces before declaring the area clean — do not close out the job without documented verification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Time every disinfection dwell time from the moment the surface is visibly wet. If the surface dries before the minimum dwell time has elapsed, reapply product and restart the dwell time count. Dry application does not equal effective disinfection.</w:t>
      </w:r>
    </w:p>
    <w:p>
      <w:pPr>
        <w:spacing w:after="0" w:before="60"/>
      </w:pPr>
      <w:r>
        <w:t xml:space="preserve"/>
      </w:r>
    </w:p>
    <w:p>
      <w:pPr>
        <w:spacing w:after="80" w:before="200"/>
      </w:pPr>
      <w:r>
        <w:rPr>
          <w:rFonts w:ascii="Arial" w:cs="Arial" w:eastAsia="Arial" w:hAnsi="Arial"/>
          <w:b/>
          <w:bCs/>
          <w:sz w:val="23"/>
          <w:szCs w:val="23"/>
        </w:rPr>
        <w:t xml:space="preserve">Module 19: Job Safety and Environmental Analysis</w:t>
      </w:r>
    </w:p>
    <w:p>
      <w:pPr>
        <w:pStyle w:val="ListParagraph"/>
        <w:numPr>
          <w:ilvl w:val="0"/>
          <w:numId w:val="2"/>
        </w:numPr>
        <w:spacing w:after="40" w:before="40"/>
      </w:pPr>
      <w:r>
        <w:rPr>
          <w:rFonts w:ascii="Arial" w:cs="Arial" w:eastAsia="Arial" w:hAnsi="Arial"/>
          <w:sz w:val="22"/>
          <w:szCs w:val="22"/>
        </w:rPr>
        <w:t xml:space="preserve">Complete a JSEA before each distinct cleaning or disinfection task on every infection control job — not just once at project commencement</w:t>
      </w:r>
    </w:p>
    <w:p>
      <w:pPr>
        <w:pStyle w:val="ListParagraph"/>
        <w:numPr>
          <w:ilvl w:val="0"/>
          <w:numId w:val="2"/>
        </w:numPr>
        <w:spacing w:after="40" w:before="40"/>
      </w:pPr>
      <w:r>
        <w:rPr>
          <w:rFonts w:ascii="Arial" w:cs="Arial" w:eastAsia="Arial" w:hAnsi="Arial"/>
          <w:sz w:val="22"/>
          <w:szCs w:val="22"/>
        </w:rPr>
        <w:t xml:space="preserve">For microbial and infection control work the JSEA must specifically address: biological hazard category, aerosol generation risk from cleaning methods, chemical hazard from disinfectants, and cross-contamination prevention controls for each task step</w:t>
      </w:r>
    </w:p>
    <w:p>
      <w:pPr>
        <w:pStyle w:val="ListParagraph"/>
        <w:numPr>
          <w:ilvl w:val="0"/>
          <w:numId w:val="2"/>
        </w:numPr>
        <w:spacing w:after="40" w:before="40"/>
      </w:pPr>
      <w:r>
        <w:rPr>
          <w:rFonts w:ascii="Arial" w:cs="Arial" w:eastAsia="Arial" w:hAnsi="Arial"/>
          <w:sz w:val="22"/>
          <w:szCs w:val="22"/>
        </w:rPr>
        <w:t xml:space="preserve">Environmental component: address drain disposal of waste water, waste classification and disposal for PPE and contaminated materials, and the impact of chemical use on adjacent natural areas or water systems</w:t>
      </w:r>
    </w:p>
    <w:p>
      <w:pPr>
        <w:pStyle w:val="ListParagraph"/>
        <w:numPr>
          <w:ilvl w:val="0"/>
          <w:numId w:val="2"/>
        </w:numPr>
        <w:spacing w:after="40" w:before="40"/>
      </w:pPr>
      <w:r>
        <w:rPr>
          <w:rFonts w:ascii="Arial" w:cs="Arial" w:eastAsia="Arial" w:hAnsi="Arial"/>
          <w:sz w:val="22"/>
          <w:szCs w:val="22"/>
        </w:rPr>
        <w:t xml:space="preserve">Team sign-on: all workers performing the task must sign the JSEA before beginning — electronic signature tools on a tablet are acceptable if the record is immediately saved and accessible</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If the job scope or site conditions change during the day — for example, if additional contaminated areas are discovered — stop work, update the JSEA to reflect the new scope, and re-brief the team before continuing.</w:t>
      </w:r>
    </w:p>
    <w:p>
      <w:pPr>
        <w:spacing w:after="0" w:before="60"/>
      </w:pPr>
      <w:r>
        <w:t xml:space="preserve"/>
      </w:r>
    </w:p>
    <w:p>
      <w:pPr>
        <w:spacing w:after="80" w:before="200"/>
      </w:pPr>
      <w:r>
        <w:rPr>
          <w:rFonts w:ascii="Arial" w:cs="Arial" w:eastAsia="Arial" w:hAnsi="Arial"/>
          <w:b/>
          <w:bCs/>
          <w:sz w:val="23"/>
          <w:szCs w:val="23"/>
        </w:rPr>
        <w:t xml:space="preserve">Module 20: Safe Work Method Statements</w:t>
      </w:r>
    </w:p>
    <w:p>
      <w:pPr>
        <w:pStyle w:val="ListParagraph"/>
        <w:numPr>
          <w:ilvl w:val="0"/>
          <w:numId w:val="2"/>
        </w:numPr>
        <w:spacing w:after="40" w:before="40"/>
      </w:pPr>
      <w:r>
        <w:rPr>
          <w:rFonts w:ascii="Arial" w:cs="Arial" w:eastAsia="Arial" w:hAnsi="Arial"/>
          <w:sz w:val="22"/>
          <w:szCs w:val="22"/>
        </w:rPr>
        <w:t xml:space="preserve">A SWMS is required for any infection control work that qualifies as high-risk construction work under Model WHS Regulations Schedule 18 — including work in confined spaces such as subfloors and roof voids, demolition of contaminated materials, and work in areas with suspected or confirmed contaminated atmosphere</w:t>
      </w:r>
    </w:p>
    <w:p>
      <w:pPr>
        <w:pStyle w:val="ListParagraph"/>
        <w:numPr>
          <w:ilvl w:val="0"/>
          <w:numId w:val="2"/>
        </w:numPr>
        <w:spacing w:after="40" w:before="40"/>
      </w:pPr>
      <w:r>
        <w:rPr>
          <w:rFonts w:ascii="Arial" w:cs="Arial" w:eastAsia="Arial" w:hAnsi="Arial"/>
          <w:sz w:val="22"/>
          <w:szCs w:val="22"/>
        </w:rPr>
        <w:t xml:space="preserve">Infection control specific additions to a SWMS: pathogen type and transmission route, zone system and movement controls, decontamination procedures for tools and equipment, clinical waste disposal method, and post-job verification protocol</w:t>
      </w:r>
    </w:p>
    <w:p>
      <w:pPr>
        <w:pStyle w:val="ListParagraph"/>
        <w:numPr>
          <w:ilvl w:val="0"/>
          <w:numId w:val="2"/>
        </w:numPr>
        <w:spacing w:after="40" w:before="40"/>
      </w:pPr>
      <w:r>
        <w:rPr>
          <w:rFonts w:ascii="Arial" w:cs="Arial" w:eastAsia="Arial" w:hAnsi="Arial"/>
          <w:sz w:val="22"/>
          <w:szCs w:val="22"/>
        </w:rPr>
        <w:t xml:space="preserve">Review triggers for the SWMS: discovery of additional contamination, change in identified pathogen, change in team composition, any PPE failure or exposure incident during the work</w:t>
      </w:r>
    </w:p>
    <w:p>
      <w:pPr>
        <w:pStyle w:val="ListParagraph"/>
        <w:numPr>
          <w:ilvl w:val="0"/>
          <w:numId w:val="2"/>
        </w:numPr>
        <w:spacing w:after="40" w:before="40"/>
      </w:pPr>
      <w:r>
        <w:rPr>
          <w:rFonts w:ascii="Arial" w:cs="Arial" w:eastAsia="Arial" w:hAnsi="Arial"/>
          <w:sz w:val="22"/>
          <w:szCs w:val="22"/>
        </w:rPr>
        <w:t xml:space="preserve">Subcontractor SWMS: if infection control work is part of a larger remediation project with a principal contractor, the SWMS must be provided to and accepted by the principal contractor before work commences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r.299: A copy of every SWMS must be kept and made available to any person involved in the relevant work. Infection control companies must be able to produce the SWMS on demand during any regulatory inspection.</w:t>
      </w:r>
    </w:p>
    <w:p>
      <w:r>
        <w:br w:type="page"/>
      </w:r>
    </w:p>
    <w:p>
      <w:pPr>
        <w:pStyle w:val="Heading1"/>
        <w:spacing w:after="120" w:before="400"/>
      </w:pPr>
      <w:r>
        <w:rPr>
          <w:rFonts w:ascii="Arial" w:cs="Arial" w:eastAsia="Arial" w:hAnsi="Arial"/>
          <w:b/>
          <w:bCs/>
          <w:sz w:val="28"/>
          <w:szCs w:val="28"/>
        </w:rPr>
        <w:t xml:space="preserve">Course 71: Introduction to Applied Microbial Remediation</w:t>
      </w:r>
    </w:p>
    <w:p>
      <w:pPr>
        <w:spacing w:after="60" w:before="60"/>
      </w:pPr>
      <w:r>
        <w:rPr>
          <w:rFonts w:ascii="Arial" w:cs="Arial" w:eastAsia="Arial" w:hAnsi="Arial"/>
          <w:sz w:val="22"/>
          <w:szCs w:val="22"/>
        </w:rPr>
        <w:t xml:space="preserve">Price: AUD $29  |  Status: Published  |  Modules: 5</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Applied microbial remediation is the systematic process of identifying, containing, removing, and verifying the elimination of microbial contamination in built environments. This course provides restoration professionals with the practical framework to assess microbial amplification events, plan and execute compliant remediation, verify outcomes with measurable evidence, and meet the contractor standards required by insurers and regulatory bodies in Australia.</w:t>
      </w:r>
    </w:p>
    <w:p>
      <w:pPr>
        <w:spacing w:after="0" w:before="60"/>
      </w:pPr>
      <w:r>
        <w:t xml:space="preserve"/>
      </w:r>
    </w:p>
    <w:p>
      <w:pPr>
        <w:spacing w:after="80" w:before="200"/>
      </w:pPr>
      <w:r>
        <w:rPr>
          <w:rFonts w:ascii="Arial" w:cs="Arial" w:eastAsia="Arial" w:hAnsi="Arial"/>
          <w:b/>
          <w:bCs/>
          <w:sz w:val="23"/>
          <w:szCs w:val="23"/>
        </w:rPr>
        <w:t xml:space="preserve">Module 1: Microbial Amplification</w:t>
      </w:r>
    </w:p>
    <w:p>
      <w:pPr>
        <w:spacing w:after="60" w:before="60"/>
      </w:pPr>
      <w:r>
        <w:rPr>
          <w:rFonts w:ascii="Arial" w:cs="Arial" w:eastAsia="Arial" w:hAnsi="Arial"/>
          <w:sz w:val="22"/>
          <w:szCs w:val="22"/>
        </w:rPr>
        <w:t xml:space="preserve">Microbial amplification is the uncontrolled growth of bacteria, mould, or other microorganisms in a building environment due to the presence of moisture, nutrients, and a susceptible substrate. Understanding the conditions that drive amplification is the starting point for all remediation planning.</w:t>
      </w:r>
    </w:p>
    <w:p>
      <w:pPr>
        <w:pStyle w:val="ListParagraph"/>
        <w:numPr>
          <w:ilvl w:val="0"/>
          <w:numId w:val="2"/>
        </w:numPr>
        <w:spacing w:after="40" w:before="40"/>
      </w:pPr>
      <w:r>
        <w:rPr>
          <w:rFonts w:ascii="Arial" w:cs="Arial" w:eastAsia="Arial" w:hAnsi="Arial"/>
          <w:sz w:val="22"/>
          <w:szCs w:val="22"/>
        </w:rPr>
        <w:t xml:space="preserve">Primary driver: moisture — mould growth begins within 24 to 72 hours on organic substrates at relative humidity above 70 percent</w:t>
      </w:r>
    </w:p>
    <w:p>
      <w:pPr>
        <w:pStyle w:val="ListParagraph"/>
        <w:numPr>
          <w:ilvl w:val="0"/>
          <w:numId w:val="2"/>
        </w:numPr>
        <w:spacing w:after="40" w:before="40"/>
      </w:pPr>
      <w:r>
        <w:rPr>
          <w:rFonts w:ascii="Arial" w:cs="Arial" w:eastAsia="Arial" w:hAnsi="Arial"/>
          <w:sz w:val="22"/>
          <w:szCs w:val="22"/>
        </w:rPr>
        <w:t xml:space="preserve">Secondary drivers: temperature (most common restoration moulds grow between 5 and 38 degrees Celsius), organic substrate (drywall paper, timber, carpet, dust), and oxygen</w:t>
      </w:r>
    </w:p>
    <w:p>
      <w:pPr>
        <w:pStyle w:val="ListParagraph"/>
        <w:numPr>
          <w:ilvl w:val="0"/>
          <w:numId w:val="2"/>
        </w:numPr>
        <w:spacing w:after="40" w:before="40"/>
      </w:pPr>
      <w:r>
        <w:rPr>
          <w:rFonts w:ascii="Arial" w:cs="Arial" w:eastAsia="Arial" w:hAnsi="Arial"/>
          <w:sz w:val="22"/>
          <w:szCs w:val="22"/>
        </w:rPr>
        <w:t xml:space="preserve">Common amplification locations: wall cavities behind wet drywall, subfloor spaces, roof voids, and HVAC ducts with poor drainage</w:t>
      </w:r>
    </w:p>
    <w:p>
      <w:pPr>
        <w:pStyle w:val="ListParagraph"/>
        <w:numPr>
          <w:ilvl w:val="0"/>
          <w:numId w:val="2"/>
        </w:numPr>
        <w:spacing w:after="40" w:before="40"/>
      </w:pPr>
      <w:r>
        <w:rPr>
          <w:rFonts w:ascii="Arial" w:cs="Arial" w:eastAsia="Arial" w:hAnsi="Arial"/>
          <w:sz w:val="22"/>
          <w:szCs w:val="22"/>
        </w:rPr>
        <w:t xml:space="preserve">Indicators of active amplification: visible surface mould, musty MVOC odour, elevated airborne spore counts relative to outdoor baseline, and elevated moisture readings in structural materials</w:t>
      </w:r>
    </w:p>
    <w:p>
      <w:pPr>
        <w:pStyle w:val="ListParagraph"/>
        <w:numPr>
          <w:ilvl w:val="0"/>
          <w:numId w:val="2"/>
        </w:numPr>
        <w:spacing w:after="40" w:before="40"/>
      </w:pPr>
      <w:r>
        <w:rPr>
          <w:rFonts w:ascii="Arial" w:cs="Arial" w:eastAsia="Arial" w:hAnsi="Arial"/>
          <w:sz w:val="22"/>
          <w:szCs w:val="22"/>
        </w:rPr>
        <w:t xml:space="preserve">Hidden amplification: elevated spore counts without visible growth indicate mould behind linings — investigate with borescope or targeted demolition rather than applying surface treatment only</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IICRC S520: Standard and Reference Guide for Professional Mould Remediation — the primary reference for all mould-related microbial remediation in Australian restoration practice.</w:t>
      </w:r>
    </w:p>
    <w:p>
      <w:pPr>
        <w:spacing w:after="0" w:before="60"/>
      </w:pPr>
      <w:r>
        <w:t xml:space="preserve"/>
      </w:r>
    </w:p>
    <w:p>
      <w:pPr>
        <w:spacing w:after="80" w:before="200"/>
      </w:pPr>
      <w:r>
        <w:rPr>
          <w:rFonts w:ascii="Arial" w:cs="Arial" w:eastAsia="Arial" w:hAnsi="Arial"/>
          <w:b/>
          <w:bCs/>
          <w:sz w:val="23"/>
          <w:szCs w:val="23"/>
        </w:rPr>
        <w:t xml:space="preserve">Module 2: Remediation Planning</w:t>
      </w:r>
    </w:p>
    <w:p>
      <w:pPr>
        <w:spacing w:after="60" w:before="60"/>
      </w:pPr>
      <w:r>
        <w:rPr>
          <w:rFonts w:ascii="Arial" w:cs="Arial" w:eastAsia="Arial" w:hAnsi="Arial"/>
          <w:sz w:val="22"/>
          <w:szCs w:val="22"/>
        </w:rPr>
        <w:t xml:space="preserve">A written remediation plan must be prepared before any work commences on a microbial amplification event. Proceeding without a plan is a compliance failure and a liability risk.</w:t>
      </w:r>
    </w:p>
    <w:p>
      <w:pPr>
        <w:pStyle w:val="ListParagraph"/>
        <w:numPr>
          <w:ilvl w:val="0"/>
          <w:numId w:val="2"/>
        </w:numPr>
        <w:spacing w:after="40" w:before="40"/>
      </w:pPr>
      <w:r>
        <w:rPr>
          <w:rFonts w:ascii="Arial" w:cs="Arial" w:eastAsia="Arial" w:hAnsi="Arial"/>
          <w:sz w:val="22"/>
          <w:szCs w:val="22"/>
        </w:rPr>
        <w:t xml:space="preserve">Scope definition: identify all affected materials and zones based on moisture mapping, visual inspection, and air sampling results — document in a floor plan sketch with moisture readings</w:t>
      </w:r>
    </w:p>
    <w:p>
      <w:pPr>
        <w:pStyle w:val="ListParagraph"/>
        <w:numPr>
          <w:ilvl w:val="0"/>
          <w:numId w:val="2"/>
        </w:numPr>
        <w:spacing w:after="40" w:before="40"/>
      </w:pPr>
      <w:r>
        <w:rPr>
          <w:rFonts w:ascii="Arial" w:cs="Arial" w:eastAsia="Arial" w:hAnsi="Arial"/>
          <w:sz w:val="22"/>
          <w:szCs w:val="22"/>
        </w:rPr>
        <w:t xml:space="preserve">Contamination classification: apply IICRC S520 contamination condition ratings — Condition 1 (normal), Condition 2 (elevated spores), Condition 3 (actual mould growth present)</w:t>
      </w:r>
    </w:p>
    <w:p>
      <w:pPr>
        <w:pStyle w:val="ListParagraph"/>
        <w:numPr>
          <w:ilvl w:val="0"/>
          <w:numId w:val="2"/>
        </w:numPr>
        <w:spacing w:after="40" w:before="40"/>
      </w:pPr>
      <w:r>
        <w:rPr>
          <w:rFonts w:ascii="Arial" w:cs="Arial" w:eastAsia="Arial" w:hAnsi="Arial"/>
          <w:sz w:val="22"/>
          <w:szCs w:val="22"/>
        </w:rPr>
        <w:t xml:space="preserve">Containment design: specify containment type (limited, full, or critical), negative pressure requirement (minimum -5 Pa differential), and exhaust configuration (outside or through HEPA stack)</w:t>
      </w:r>
    </w:p>
    <w:p>
      <w:pPr>
        <w:pStyle w:val="ListParagraph"/>
        <w:numPr>
          <w:ilvl w:val="0"/>
          <w:numId w:val="2"/>
        </w:numPr>
        <w:spacing w:after="40" w:before="40"/>
      </w:pPr>
      <w:r>
        <w:rPr>
          <w:rFonts w:ascii="Arial" w:cs="Arial" w:eastAsia="Arial" w:hAnsi="Arial"/>
          <w:sz w:val="22"/>
          <w:szCs w:val="22"/>
        </w:rPr>
        <w:t xml:space="preserve">Remediation method for each material type: HEPA vacuum and wipe for hard non-porous surfaces, demolition and disposal for contaminated porous materials that cannot be dried within 48 hours</w:t>
      </w:r>
    </w:p>
    <w:p>
      <w:pPr>
        <w:pStyle w:val="ListParagraph"/>
        <w:numPr>
          <w:ilvl w:val="0"/>
          <w:numId w:val="2"/>
        </w:numPr>
        <w:spacing w:after="40" w:before="40"/>
      </w:pPr>
      <w:r>
        <w:rPr>
          <w:rFonts w:ascii="Arial" w:cs="Arial" w:eastAsia="Arial" w:hAnsi="Arial"/>
          <w:sz w:val="22"/>
          <w:szCs w:val="22"/>
        </w:rPr>
        <w:t xml:space="preserve">Clearance criteria: define the measurable criteria that will be used to determine successful remediation — typically post-remediation spore counts at or below the concurrent outdoor baseline for the same species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The remediation plan must be documented before starting work, not reconstructed after the fact. An undocumented verbal plan provides no protection in an insurance dispute, client complaint, or regulatory investigation.</w:t>
      </w:r>
    </w:p>
    <w:p>
      <w:pPr>
        <w:spacing w:after="0" w:before="60"/>
      </w:pPr>
      <w:r>
        <w:t xml:space="preserve"/>
      </w:r>
    </w:p>
    <w:p>
      <w:pPr>
        <w:spacing w:after="80" w:before="200"/>
      </w:pPr>
      <w:r>
        <w:rPr>
          <w:rFonts w:ascii="Arial" w:cs="Arial" w:eastAsia="Arial" w:hAnsi="Arial"/>
          <w:b/>
          <w:bCs/>
          <w:sz w:val="23"/>
          <w:szCs w:val="23"/>
        </w:rPr>
        <w:t xml:space="preserve">Module 3: Execution</w:t>
      </w:r>
    </w:p>
    <w:p>
      <w:pPr>
        <w:spacing w:after="60" w:before="60"/>
      </w:pPr>
      <w:r>
        <w:rPr>
          <w:rFonts w:ascii="Arial" w:cs="Arial" w:eastAsia="Arial" w:hAnsi="Arial"/>
          <w:sz w:val="22"/>
          <w:szCs w:val="22"/>
        </w:rPr>
        <w:t xml:space="preserve">Remediation execution must follow the approved plan. Any deviation — additional scope discovered, change in contamination classification, or equipment failure — requires a plan update before continuing.</w:t>
      </w:r>
    </w:p>
    <w:p>
      <w:pPr>
        <w:pStyle w:val="ListParagraph"/>
        <w:numPr>
          <w:ilvl w:val="0"/>
          <w:numId w:val="2"/>
        </w:numPr>
        <w:spacing w:after="40" w:before="40"/>
      </w:pPr>
      <w:r>
        <w:rPr>
          <w:rFonts w:ascii="Arial" w:cs="Arial" w:eastAsia="Arial" w:hAnsi="Arial"/>
          <w:sz w:val="22"/>
          <w:szCs w:val="22"/>
        </w:rPr>
        <w:t xml:space="preserve">Containment establishment: install poly sheeting, seal all penetrations, establish negative pressure, and verify with a manometer before any demolition or disturbance of contaminated material</w:t>
      </w:r>
    </w:p>
    <w:p>
      <w:pPr>
        <w:pStyle w:val="ListParagraph"/>
        <w:numPr>
          <w:ilvl w:val="0"/>
          <w:numId w:val="2"/>
        </w:numPr>
        <w:spacing w:after="40" w:before="40"/>
      </w:pPr>
      <w:r>
        <w:rPr>
          <w:rFonts w:ascii="Arial" w:cs="Arial" w:eastAsia="Arial" w:hAnsi="Arial"/>
          <w:sz w:val="22"/>
          <w:szCs w:val="22"/>
        </w:rPr>
        <w:t xml:space="preserve">HEPA air scrubbing: minimum 4 air changes per hour within the containment zone throughout all active remediation work</w:t>
      </w:r>
    </w:p>
    <w:p>
      <w:pPr>
        <w:pStyle w:val="ListParagraph"/>
        <w:numPr>
          <w:ilvl w:val="0"/>
          <w:numId w:val="2"/>
        </w:numPr>
        <w:spacing w:after="40" w:before="40"/>
      </w:pPr>
      <w:r>
        <w:rPr>
          <w:rFonts w:ascii="Arial" w:cs="Arial" w:eastAsia="Arial" w:hAnsi="Arial"/>
          <w:sz w:val="22"/>
          <w:szCs w:val="22"/>
        </w:rPr>
        <w:t xml:space="preserve">Controlled demolition: remove contaminated porous materials in a controlled manner, double-bag in 200-micron poly, seal and label as contaminated waste before removing from containment</w:t>
      </w:r>
    </w:p>
    <w:p>
      <w:pPr>
        <w:pStyle w:val="ListParagraph"/>
        <w:numPr>
          <w:ilvl w:val="0"/>
          <w:numId w:val="2"/>
        </w:numPr>
        <w:spacing w:after="40" w:before="40"/>
      </w:pPr>
      <w:r>
        <w:rPr>
          <w:rFonts w:ascii="Arial" w:cs="Arial" w:eastAsia="Arial" w:hAnsi="Arial"/>
          <w:sz w:val="22"/>
          <w:szCs w:val="22"/>
        </w:rPr>
        <w:t xml:space="preserve">Surface treatment: after physical removal, treat remaining structural surfaces with a HEPA vacuum followed by damp wipe with an appropriate antimicrobial agent at the correct dilution and dwell time</w:t>
      </w:r>
    </w:p>
    <w:p>
      <w:pPr>
        <w:pStyle w:val="ListParagraph"/>
        <w:numPr>
          <w:ilvl w:val="0"/>
          <w:numId w:val="2"/>
        </w:numPr>
        <w:spacing w:after="40" w:before="40"/>
      </w:pPr>
      <w:r>
        <w:rPr>
          <w:rFonts w:ascii="Arial" w:cs="Arial" w:eastAsia="Arial" w:hAnsi="Arial"/>
          <w:sz w:val="22"/>
          <w:szCs w:val="22"/>
        </w:rPr>
        <w:t xml:space="preserve">Decontamination room: maintain a decontamination chamber at the exit from containment — HEPA vacuum, PPE removal, and hand hygiene before any worker exits the contamination zone</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Never apply encapsulant as the primary remediation treatment for visible mould growth. Encapsulants do not remove the mould colony — they cover it. IICRC S520 is explicit: source removal is required before any encapsulant application.</w:t>
      </w:r>
    </w:p>
    <w:p>
      <w:pPr>
        <w:spacing w:after="0" w:before="60"/>
      </w:pPr>
      <w:r>
        <w:t xml:space="preserve"/>
      </w:r>
    </w:p>
    <w:p>
      <w:pPr>
        <w:spacing w:after="80" w:before="200"/>
      </w:pPr>
      <w:r>
        <w:rPr>
          <w:rFonts w:ascii="Arial" w:cs="Arial" w:eastAsia="Arial" w:hAnsi="Arial"/>
          <w:b/>
          <w:bCs/>
          <w:sz w:val="23"/>
          <w:szCs w:val="23"/>
        </w:rPr>
        <w:t xml:space="preserve">Module 4: Verification</w:t>
      </w:r>
    </w:p>
    <w:p>
      <w:pPr>
        <w:spacing w:after="60" w:before="60"/>
      </w:pPr>
      <w:r>
        <w:rPr>
          <w:rFonts w:ascii="Arial" w:cs="Arial" w:eastAsia="Arial" w:hAnsi="Arial"/>
          <w:sz w:val="22"/>
          <w:szCs w:val="22"/>
        </w:rPr>
        <w:t xml:space="preserve">Verification is the measurable confirmation that remediation has achieved its intended outcome. Without documented verification, there is no defensible evidence that the building is safe to reoccupy.</w:t>
      </w:r>
    </w:p>
    <w:p>
      <w:pPr>
        <w:pStyle w:val="ListParagraph"/>
        <w:numPr>
          <w:ilvl w:val="0"/>
          <w:numId w:val="2"/>
        </w:numPr>
        <w:spacing w:after="40" w:before="40"/>
      </w:pPr>
      <w:r>
        <w:rPr>
          <w:rFonts w:ascii="Arial" w:cs="Arial" w:eastAsia="Arial" w:hAnsi="Arial"/>
          <w:sz w:val="22"/>
          <w:szCs w:val="22"/>
        </w:rPr>
        <w:t xml:space="preserve">Visual clearance: no visible mould, no moisture staining, and all previously affected materials either removed or confirmed dry to normal reference moisture content for the material type</w:t>
      </w:r>
    </w:p>
    <w:p>
      <w:pPr>
        <w:pStyle w:val="ListParagraph"/>
        <w:numPr>
          <w:ilvl w:val="0"/>
          <w:numId w:val="2"/>
        </w:numPr>
        <w:spacing w:after="40" w:before="40"/>
      </w:pPr>
      <w:r>
        <w:rPr>
          <w:rFonts w:ascii="Arial" w:cs="Arial" w:eastAsia="Arial" w:hAnsi="Arial"/>
          <w:sz w:val="22"/>
          <w:szCs w:val="22"/>
        </w:rPr>
        <w:t xml:space="preserve">Moisture verification: all previously elevated moisture readings must be at or within normal reference range — confirmed with both pin and pinless meters and documented with photographs</w:t>
      </w:r>
    </w:p>
    <w:p>
      <w:pPr>
        <w:pStyle w:val="ListParagraph"/>
        <w:numPr>
          <w:ilvl w:val="0"/>
          <w:numId w:val="2"/>
        </w:numPr>
        <w:spacing w:after="40" w:before="40"/>
      </w:pPr>
      <w:r>
        <w:rPr>
          <w:rFonts w:ascii="Arial" w:cs="Arial" w:eastAsia="Arial" w:hAnsi="Arial"/>
          <w:sz w:val="22"/>
          <w:szCs w:val="22"/>
        </w:rPr>
        <w:t xml:space="preserve">Air sampling: post-remediation spore trap samples collected inside and outside the remediated zone, plus an outdoor baseline — results analysed by a NATA-accredited laboratory</w:t>
      </w:r>
    </w:p>
    <w:p>
      <w:pPr>
        <w:pStyle w:val="ListParagraph"/>
        <w:numPr>
          <w:ilvl w:val="0"/>
          <w:numId w:val="2"/>
        </w:numPr>
        <w:spacing w:after="40" w:before="40"/>
      </w:pPr>
      <w:r>
        <w:rPr>
          <w:rFonts w:ascii="Arial" w:cs="Arial" w:eastAsia="Arial" w:hAnsi="Arial"/>
          <w:sz w:val="22"/>
          <w:szCs w:val="22"/>
        </w:rPr>
        <w:t xml:space="preserve">Clearance standard: indoor post-remediation spore counts must be at or below the concurrent outdoor baseline for the same genera — confirmed by the independent laboratory analysis</w:t>
      </w:r>
    </w:p>
    <w:p>
      <w:pPr>
        <w:pStyle w:val="ListParagraph"/>
        <w:numPr>
          <w:ilvl w:val="0"/>
          <w:numId w:val="2"/>
        </w:numPr>
        <w:spacing w:after="40" w:before="40"/>
      </w:pPr>
      <w:r>
        <w:rPr>
          <w:rFonts w:ascii="Arial" w:cs="Arial" w:eastAsia="Arial" w:hAnsi="Arial"/>
          <w:sz w:val="22"/>
          <w:szCs w:val="22"/>
        </w:rPr>
        <w:t xml:space="preserve">Independent clearance: for IICRC S520 compliant projects, clearance inspection and air sampling must be conducted by a qualified person who did not perform the remediation work</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IICRC S520 Section 14: Clearance criteria and the requirement for independent clearance inspection. Restoration companies that conduct their own clearance on their own remediation work are not meeting the standard and expose themselves to significant liability.</w:t>
      </w:r>
    </w:p>
    <w:p>
      <w:pPr>
        <w:spacing w:after="0" w:before="60"/>
      </w:pPr>
      <w:r>
        <w:t xml:space="preserve"/>
      </w:r>
    </w:p>
    <w:p>
      <w:pPr>
        <w:spacing w:after="80" w:before="200"/>
      </w:pPr>
      <w:r>
        <w:rPr>
          <w:rFonts w:ascii="Arial" w:cs="Arial" w:eastAsia="Arial" w:hAnsi="Arial"/>
          <w:b/>
          <w:bCs/>
          <w:sz w:val="23"/>
          <w:szCs w:val="23"/>
        </w:rPr>
        <w:t xml:space="preserve">Module 5: Contractor Standards</w:t>
      </w:r>
    </w:p>
    <w:p>
      <w:pPr>
        <w:spacing w:after="60" w:before="60"/>
      </w:pPr>
      <w:r>
        <w:rPr>
          <w:rFonts w:ascii="Arial" w:cs="Arial" w:eastAsia="Arial" w:hAnsi="Arial"/>
          <w:sz w:val="22"/>
          <w:szCs w:val="22"/>
        </w:rPr>
        <w:t xml:space="preserve">Operating as a professional microbial remediation contractor in Australia requires meeting specific standards that go beyond technical competence.</w:t>
      </w:r>
    </w:p>
    <w:p>
      <w:pPr>
        <w:pStyle w:val="ListParagraph"/>
        <w:numPr>
          <w:ilvl w:val="0"/>
          <w:numId w:val="2"/>
        </w:numPr>
        <w:spacing w:after="40" w:before="40"/>
      </w:pPr>
      <w:r>
        <w:rPr>
          <w:rFonts w:ascii="Arial" w:cs="Arial" w:eastAsia="Arial" w:hAnsi="Arial"/>
          <w:sz w:val="22"/>
          <w:szCs w:val="22"/>
        </w:rPr>
        <w:t xml:space="preserve">Qualifications: IICRC Applied Microbial Remediation Technician (AMRT) certification is the recognised credential for practitioners working on S520-governed projects</w:t>
      </w:r>
    </w:p>
    <w:p>
      <w:pPr>
        <w:pStyle w:val="ListParagraph"/>
        <w:numPr>
          <w:ilvl w:val="0"/>
          <w:numId w:val="2"/>
        </w:numPr>
        <w:spacing w:after="40" w:before="40"/>
      </w:pPr>
      <w:r>
        <w:rPr>
          <w:rFonts w:ascii="Arial" w:cs="Arial" w:eastAsia="Arial" w:hAnsi="Arial"/>
          <w:sz w:val="22"/>
          <w:szCs w:val="22"/>
        </w:rPr>
        <w:t xml:space="preserve">Insurance: public liability insurance must specifically cover microbial remediation work — many general cleaning policies exclude this. Confirm coverage in writing with your insurer before accepting microbial remediation jobs</w:t>
      </w:r>
    </w:p>
    <w:p>
      <w:pPr>
        <w:pStyle w:val="ListParagraph"/>
        <w:numPr>
          <w:ilvl w:val="0"/>
          <w:numId w:val="2"/>
        </w:numPr>
        <w:spacing w:after="40" w:before="40"/>
      </w:pPr>
      <w:r>
        <w:rPr>
          <w:rFonts w:ascii="Arial" w:cs="Arial" w:eastAsia="Arial" w:hAnsi="Arial"/>
          <w:sz w:val="22"/>
          <w:szCs w:val="22"/>
        </w:rPr>
        <w:t xml:space="preserve">Documentation standards: every microbial remediation project must generate: pre-remediation assessment report, written remediation plan, daily field notes including monitoring logs, laboratory results, and a final clearance report</w:t>
      </w:r>
    </w:p>
    <w:p>
      <w:pPr>
        <w:pStyle w:val="ListParagraph"/>
        <w:numPr>
          <w:ilvl w:val="0"/>
          <w:numId w:val="2"/>
        </w:numPr>
        <w:spacing w:after="40" w:before="40"/>
      </w:pPr>
      <w:r>
        <w:rPr>
          <w:rFonts w:ascii="Arial" w:cs="Arial" w:eastAsia="Arial" w:hAnsi="Arial"/>
          <w:sz w:val="22"/>
          <w:szCs w:val="22"/>
        </w:rPr>
        <w:t xml:space="preserve">Subcontractor management: if engaging subbies for any part of microbial remediation work, confirm their qualifications, verify their insurance, and obtain their SWMS before they commence work on your site</w:t>
      </w:r>
    </w:p>
    <w:p>
      <w:pPr>
        <w:pStyle w:val="ListParagraph"/>
        <w:numPr>
          <w:ilvl w:val="0"/>
          <w:numId w:val="2"/>
        </w:numPr>
        <w:spacing w:after="40" w:before="40"/>
      </w:pPr>
      <w:r>
        <w:rPr>
          <w:rFonts w:ascii="Arial" w:cs="Arial" w:eastAsia="Arial" w:hAnsi="Arial"/>
          <w:sz w:val="22"/>
          <w:szCs w:val="22"/>
        </w:rPr>
        <w:t xml:space="preserve">Ongoing professional development: mould science and regulatory requirements evolve — IICRC continuing education requirements must be met to maintain certification currency</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Before accepting any microbial remediation contract, confirm: your team holds current AMRT or equivalent certification, your public liability policy covers the work, and you can produce a compliant remediation plan and clearance report. If any of these cannot be confirmed, do not accept the contract.</w:t>
      </w:r>
    </w:p>
    <w:p>
      <w:r>
        <w:br w:type="page"/>
      </w:r>
    </w:p>
    <w:p>
      <w:pPr>
        <w:pStyle w:val="Heading1"/>
        <w:spacing w:after="120" w:before="400"/>
      </w:pPr>
      <w:r>
        <w:rPr>
          <w:rFonts w:ascii="Arial" w:cs="Arial" w:eastAsia="Arial" w:hAnsi="Arial"/>
          <w:b/>
          <w:bCs/>
          <w:sz w:val="28"/>
          <w:szCs w:val="28"/>
        </w:rPr>
        <w:t xml:space="preserve">Course 75: Infectious Control for the Business Owner</w:t>
      </w:r>
    </w:p>
    <w:p>
      <w:pPr>
        <w:spacing w:after="60" w:before="60"/>
      </w:pPr>
      <w:r>
        <w:rPr>
          <w:rFonts w:ascii="Arial" w:cs="Arial" w:eastAsia="Arial" w:hAnsi="Arial"/>
          <w:sz w:val="22"/>
          <w:szCs w:val="22"/>
        </w:rPr>
        <w:t xml:space="preserve">Price: AUD $275  |  Status: Published  |  Modules: 20</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This comprehensive course is designed for business owners and managers in the cleaning and restoration industry who are responsible for building, operating, and defending an infection control service offering. It covers the science of infection control, the business and legal obligations, pre-job preparation, WHS documentation, chemical management, ATP hygiene verification, and the operational frameworks needed to deliver compliant, profitable, and defensible infection control services in Australian commercial and residential markets.</w:t>
      </w:r>
    </w:p>
    <w:p>
      <w:pPr>
        <w:spacing w:after="0" w:before="60"/>
      </w:pPr>
      <w:r>
        <w:t xml:space="preserve"/>
      </w:r>
    </w:p>
    <w:p>
      <w:pPr>
        <w:spacing w:after="80" w:before="200"/>
      </w:pPr>
      <w:r>
        <w:rPr>
          <w:rFonts w:ascii="Arial" w:cs="Arial" w:eastAsia="Arial" w:hAnsi="Arial"/>
          <w:b/>
          <w:bCs/>
          <w:sz w:val="23"/>
          <w:szCs w:val="23"/>
        </w:rPr>
        <w:t xml:space="preserve">Module 1: Virus Facts</w:t>
      </w:r>
    </w:p>
    <w:p>
      <w:pPr>
        <w:pStyle w:val="ListParagraph"/>
        <w:numPr>
          <w:ilvl w:val="0"/>
          <w:numId w:val="2"/>
        </w:numPr>
        <w:spacing w:after="40" w:before="40"/>
      </w:pPr>
      <w:r>
        <w:rPr>
          <w:rFonts w:ascii="Arial" w:cs="Arial" w:eastAsia="Arial" w:hAnsi="Arial"/>
          <w:sz w:val="22"/>
          <w:szCs w:val="22"/>
        </w:rPr>
        <w:t xml:space="preserve">Viruses require a living host cell to replicate — they cannot multiply independently on surfaces, but they can survive and remain infectious for extended periods</w:t>
      </w:r>
    </w:p>
    <w:p>
      <w:pPr>
        <w:pStyle w:val="ListParagraph"/>
        <w:numPr>
          <w:ilvl w:val="0"/>
          <w:numId w:val="2"/>
        </w:numPr>
        <w:spacing w:after="40" w:before="40"/>
      </w:pPr>
      <w:r>
        <w:rPr>
          <w:rFonts w:ascii="Arial" w:cs="Arial" w:eastAsia="Arial" w:hAnsi="Arial"/>
          <w:sz w:val="22"/>
          <w:szCs w:val="22"/>
        </w:rPr>
        <w:t xml:space="preserve">Enveloped viruses (influenza, coronaviruses): lipid membrane makes them susceptible to alcohol, quaternary ammonium compounds, and sodium hypochlorite at relatively low concentrations</w:t>
      </w:r>
    </w:p>
    <w:p>
      <w:pPr>
        <w:pStyle w:val="ListParagraph"/>
        <w:numPr>
          <w:ilvl w:val="0"/>
          <w:numId w:val="2"/>
        </w:numPr>
        <w:spacing w:after="40" w:before="40"/>
      </w:pPr>
      <w:r>
        <w:rPr>
          <w:rFonts w:ascii="Arial" w:cs="Arial" w:eastAsia="Arial" w:hAnsi="Arial"/>
          <w:sz w:val="22"/>
          <w:szCs w:val="22"/>
        </w:rPr>
        <w:t xml:space="preserve">Non-enveloped viruses (norovirus, adenovirus): no lipid membrane — require higher-concentration or specific-action disinfectants for effective inactivation</w:t>
      </w:r>
    </w:p>
    <w:p>
      <w:pPr>
        <w:pStyle w:val="ListParagraph"/>
        <w:numPr>
          <w:ilvl w:val="0"/>
          <w:numId w:val="2"/>
        </w:numPr>
        <w:spacing w:after="40" w:before="40"/>
      </w:pPr>
      <w:r>
        <w:rPr>
          <w:rFonts w:ascii="Arial" w:cs="Arial" w:eastAsia="Arial" w:hAnsi="Arial"/>
          <w:sz w:val="22"/>
          <w:szCs w:val="22"/>
        </w:rPr>
        <w:t xml:space="preserve">Aerosol vs. droplet transmission: aerosols (particles under 5 microns) remain airborne and travel further than droplets — significant for infection control work following respiratory illness events</w:t>
      </w:r>
    </w:p>
    <w:p>
      <w:pPr>
        <w:pStyle w:val="ListParagraph"/>
        <w:numPr>
          <w:ilvl w:val="0"/>
          <w:numId w:val="2"/>
        </w:numPr>
        <w:spacing w:after="40" w:before="40"/>
      </w:pPr>
      <w:r>
        <w:rPr>
          <w:rFonts w:ascii="Arial" w:cs="Arial" w:eastAsia="Arial" w:hAnsi="Arial"/>
          <w:sz w:val="22"/>
          <w:szCs w:val="22"/>
        </w:rPr>
        <w:t xml:space="preserve">Surface survival times vary significantly by virus type, surface material, humidity, and temperature — always use current evidence-based references, not generalised rules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When a client contacts you about a suspected or confirmed viral contamination event, ask for the specific pathogen if known. The disinfectant protocol, PPE level, and verification method you select must be matched to that specific pathogen — not a generic response.</w:t>
      </w:r>
    </w:p>
    <w:p>
      <w:pPr>
        <w:spacing w:after="0" w:before="60"/>
      </w:pPr>
      <w:r>
        <w:t xml:space="preserve"/>
      </w:r>
    </w:p>
    <w:p>
      <w:pPr>
        <w:spacing w:after="80" w:before="200"/>
      </w:pPr>
      <w:r>
        <w:rPr>
          <w:rFonts w:ascii="Arial" w:cs="Arial" w:eastAsia="Arial" w:hAnsi="Arial"/>
          <w:b/>
          <w:bCs/>
          <w:sz w:val="23"/>
          <w:szCs w:val="23"/>
        </w:rPr>
        <w:t xml:space="preserve">Module 2: Bacteria and Modes of Transmission</w:t>
      </w:r>
    </w:p>
    <w:p>
      <w:pPr>
        <w:pStyle w:val="ListParagraph"/>
        <w:numPr>
          <w:ilvl w:val="0"/>
          <w:numId w:val="2"/>
        </w:numPr>
        <w:spacing w:after="40" w:before="40"/>
      </w:pPr>
      <w:r>
        <w:rPr>
          <w:rFonts w:ascii="Arial" w:cs="Arial" w:eastAsia="Arial" w:hAnsi="Arial"/>
          <w:sz w:val="22"/>
          <w:szCs w:val="22"/>
        </w:rPr>
        <w:t xml:space="preserve">Bacteria are living single-celled organisms capable of reproducing on surfaces under appropriate conditions of moisture, temperature, and available nutrients</w:t>
      </w:r>
    </w:p>
    <w:p>
      <w:pPr>
        <w:pStyle w:val="ListParagraph"/>
        <w:numPr>
          <w:ilvl w:val="0"/>
          <w:numId w:val="2"/>
        </w:numPr>
        <w:spacing w:after="40" w:before="40"/>
      </w:pPr>
      <w:r>
        <w:rPr>
          <w:rFonts w:ascii="Arial" w:cs="Arial" w:eastAsia="Arial" w:hAnsi="Arial"/>
          <w:sz w:val="22"/>
          <w:szCs w:val="22"/>
        </w:rPr>
        <w:t xml:space="preserve">Gram-positive bacteria (MRSA, Staphylococcus): generally susceptible to quaternary ammonium compounds and sodium hypochlorite at standard dilutions</w:t>
      </w:r>
    </w:p>
    <w:p>
      <w:pPr>
        <w:pStyle w:val="ListParagraph"/>
        <w:numPr>
          <w:ilvl w:val="0"/>
          <w:numId w:val="2"/>
        </w:numPr>
        <w:spacing w:after="40" w:before="40"/>
      </w:pPr>
      <w:r>
        <w:rPr>
          <w:rFonts w:ascii="Arial" w:cs="Arial" w:eastAsia="Arial" w:hAnsi="Arial"/>
          <w:sz w:val="22"/>
          <w:szCs w:val="22"/>
        </w:rPr>
        <w:t xml:space="preserve">Gram-negative bacteria (E. coli, Pseudomonas, Legionella): require specific disinfectant classes — some species show resistance to quaternary ammonium compounds</w:t>
      </w:r>
    </w:p>
    <w:p>
      <w:pPr>
        <w:pStyle w:val="ListParagraph"/>
        <w:numPr>
          <w:ilvl w:val="0"/>
          <w:numId w:val="2"/>
        </w:numPr>
        <w:spacing w:after="40" w:before="40"/>
      </w:pPr>
      <w:r>
        <w:rPr>
          <w:rFonts w:ascii="Arial" w:cs="Arial" w:eastAsia="Arial" w:hAnsi="Arial"/>
          <w:sz w:val="22"/>
          <w:szCs w:val="22"/>
        </w:rPr>
        <w:t xml:space="preserve">Spore-forming bacteria (C. difficile, B. anthracis): resistant to most standard disinfectants — sporicidal agents (sodium hypochlorite minimum 1000 ppm, hydrogen peroxide 3 percent or above) are required for effective decontamination</w:t>
      </w:r>
    </w:p>
    <w:p>
      <w:pPr>
        <w:pStyle w:val="ListParagraph"/>
        <w:numPr>
          <w:ilvl w:val="0"/>
          <w:numId w:val="2"/>
        </w:numPr>
        <w:spacing w:after="40" w:before="40"/>
      </w:pPr>
      <w:r>
        <w:rPr>
          <w:rFonts w:ascii="Arial" w:cs="Arial" w:eastAsia="Arial" w:hAnsi="Arial"/>
          <w:sz w:val="22"/>
          <w:szCs w:val="22"/>
        </w:rPr>
        <w:t xml:space="preserve">Biofilm: the most challenging form of bacterial contamination in cleaning and restoration contexts — requires physical disruption before disinfection. Chemical application to intact biofilm achieves minimal kill.</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For C. difficile decontamination: TGA-listed sporicidal disinfectant at the specified concentration with a minimum 10-minute dwell time on a pre-cleaned surface. Confirm the specific product's TGA listing covers C. difficile before use.</w:t>
      </w:r>
    </w:p>
    <w:p>
      <w:pPr>
        <w:spacing w:after="0" w:before="60"/>
      </w:pPr>
      <w:r>
        <w:t xml:space="preserve"/>
      </w:r>
    </w:p>
    <w:p>
      <w:pPr>
        <w:spacing w:after="80" w:before="200"/>
      </w:pPr>
      <w:r>
        <w:rPr>
          <w:rFonts w:ascii="Arial" w:cs="Arial" w:eastAsia="Arial" w:hAnsi="Arial"/>
          <w:b/>
          <w:bCs/>
          <w:sz w:val="23"/>
          <w:szCs w:val="23"/>
        </w:rPr>
        <w:t xml:space="preserve">Module 3: Cleaning and Disinfecting for Health</w:t>
      </w:r>
    </w:p>
    <w:p>
      <w:pPr>
        <w:pStyle w:val="ListParagraph"/>
        <w:numPr>
          <w:ilvl w:val="0"/>
          <w:numId w:val="2"/>
        </w:numPr>
        <w:spacing w:after="40" w:before="40"/>
      </w:pPr>
      <w:r>
        <w:rPr>
          <w:rFonts w:ascii="Arial" w:cs="Arial" w:eastAsia="Arial" w:hAnsi="Arial"/>
          <w:sz w:val="22"/>
          <w:szCs w:val="22"/>
        </w:rPr>
        <w:t xml:space="preserve">The two-stage process is non-negotiable: physically clean the surface first to remove organic matter and debris, then apply the disinfectant — organic matter neutralises most disinfectants before they can act on pathogens</w:t>
      </w:r>
    </w:p>
    <w:p>
      <w:pPr>
        <w:pStyle w:val="ListParagraph"/>
        <w:numPr>
          <w:ilvl w:val="0"/>
          <w:numId w:val="2"/>
        </w:numPr>
        <w:spacing w:after="40" w:before="40"/>
      </w:pPr>
      <w:r>
        <w:rPr>
          <w:rFonts w:ascii="Arial" w:cs="Arial" w:eastAsia="Arial" w:hAnsi="Arial"/>
          <w:sz w:val="22"/>
          <w:szCs w:val="22"/>
        </w:rPr>
        <w:t xml:space="preserve">Cleaning agent selection: match the agent to the soil type — enzymatic cleaners for protein-based contamination (blood, tissue), surfactant-based cleaners for general organic debris, acidic cleaners for mineral scale and hard water deposits</w:t>
      </w:r>
    </w:p>
    <w:p>
      <w:pPr>
        <w:pStyle w:val="ListParagraph"/>
        <w:numPr>
          <w:ilvl w:val="0"/>
          <w:numId w:val="2"/>
        </w:numPr>
        <w:spacing w:after="40" w:before="40"/>
      </w:pPr>
      <w:r>
        <w:rPr>
          <w:rFonts w:ascii="Arial" w:cs="Arial" w:eastAsia="Arial" w:hAnsi="Arial"/>
          <w:sz w:val="22"/>
          <w:szCs w:val="22"/>
        </w:rPr>
        <w:t xml:space="preserve">Disinfectant selection: match to the target pathogen and surface material — sodium hypochlorite at 1000 ppm for broad-spectrum bacteria and enveloped viruses; TGA-listed products with specific claims for high-risk pathogens</w:t>
      </w:r>
    </w:p>
    <w:p>
      <w:pPr>
        <w:pStyle w:val="ListParagraph"/>
        <w:numPr>
          <w:ilvl w:val="0"/>
          <w:numId w:val="2"/>
        </w:numPr>
        <w:spacing w:after="40" w:before="40"/>
      </w:pPr>
      <w:r>
        <w:rPr>
          <w:rFonts w:ascii="Arial" w:cs="Arial" w:eastAsia="Arial" w:hAnsi="Arial"/>
          <w:sz w:val="22"/>
          <w:szCs w:val="22"/>
        </w:rPr>
        <w:t xml:space="preserve">Application method: spray and wipe for routine high-touch surfaces; flood application for large areas or porous substrates; fogging or ULV for environments where surface access is limited</w:t>
      </w:r>
    </w:p>
    <w:p>
      <w:pPr>
        <w:pStyle w:val="ListParagraph"/>
        <w:numPr>
          <w:ilvl w:val="0"/>
          <w:numId w:val="2"/>
        </w:numPr>
        <w:spacing w:after="40" w:before="40"/>
      </w:pPr>
      <w:r>
        <w:rPr>
          <w:rFonts w:ascii="Arial" w:cs="Arial" w:eastAsia="Arial" w:hAnsi="Arial"/>
          <w:sz w:val="22"/>
          <w:szCs w:val="22"/>
        </w:rPr>
        <w:t xml:space="preserve">Verification: ATP testing on high-touch surfaces after every disinfection cycle — provide the client with documented results as part of the service deliverable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All disinfectants used in infection control services in Australia must be registered with the Therapeutic Goods Administration (TGA). Using an unregistered disinfectant and claiming it eliminates pathogens is a breach of therapeutic goods legislation.</w:t>
      </w:r>
    </w:p>
    <w:p>
      <w:pPr>
        <w:spacing w:after="0" w:before="60"/>
      </w:pPr>
      <w:r>
        <w:t xml:space="preserve"/>
      </w:r>
    </w:p>
    <w:p>
      <w:pPr>
        <w:spacing w:after="80" w:before="200"/>
      </w:pPr>
      <w:r>
        <w:rPr>
          <w:rFonts w:ascii="Arial" w:cs="Arial" w:eastAsia="Arial" w:hAnsi="Arial"/>
          <w:b/>
          <w:bCs/>
          <w:sz w:val="23"/>
          <w:szCs w:val="23"/>
        </w:rPr>
        <w:t xml:space="preserve">Module 4: Hygiene Practices</w:t>
      </w:r>
    </w:p>
    <w:p>
      <w:pPr>
        <w:pStyle w:val="ListParagraph"/>
        <w:numPr>
          <w:ilvl w:val="0"/>
          <w:numId w:val="2"/>
        </w:numPr>
        <w:spacing w:after="40" w:before="40"/>
      </w:pPr>
      <w:r>
        <w:rPr>
          <w:rFonts w:ascii="Arial" w:cs="Arial" w:eastAsia="Arial" w:hAnsi="Arial"/>
          <w:sz w:val="22"/>
          <w:szCs w:val="22"/>
        </w:rPr>
        <w:t xml:space="preserve">Personal hygiene of workers is an infection control measure in itself — workers who carry pathogens from one site to another undermine the service they are delivering</w:t>
      </w:r>
    </w:p>
    <w:p>
      <w:pPr>
        <w:pStyle w:val="ListParagraph"/>
        <w:numPr>
          <w:ilvl w:val="0"/>
          <w:numId w:val="2"/>
        </w:numPr>
        <w:spacing w:after="40" w:before="40"/>
      </w:pPr>
      <w:r>
        <w:rPr>
          <w:rFonts w:ascii="Arial" w:cs="Arial" w:eastAsia="Arial" w:hAnsi="Arial"/>
          <w:sz w:val="22"/>
          <w:szCs w:val="22"/>
        </w:rPr>
        <w:t xml:space="preserve">Nail hygiene: short, unvarnished nails — long or gel nails harbour pathogens that survive hand washing and ABHR</w:t>
      </w:r>
    </w:p>
    <w:p>
      <w:pPr>
        <w:pStyle w:val="ListParagraph"/>
        <w:numPr>
          <w:ilvl w:val="0"/>
          <w:numId w:val="2"/>
        </w:numPr>
        <w:spacing w:after="40" w:before="40"/>
      </w:pPr>
      <w:r>
        <w:rPr>
          <w:rFonts w:ascii="Arial" w:cs="Arial" w:eastAsia="Arial" w:hAnsi="Arial"/>
          <w:sz w:val="22"/>
          <w:szCs w:val="22"/>
        </w:rPr>
        <w:t xml:space="preserve">Jewellery: rings, bracelets, and watches must be removed before entering a contaminated zone — they impede effective hand hygiene and can harbour and transport pathogens between sites</w:t>
      </w:r>
    </w:p>
    <w:p>
      <w:pPr>
        <w:pStyle w:val="ListParagraph"/>
        <w:numPr>
          <w:ilvl w:val="0"/>
          <w:numId w:val="2"/>
        </w:numPr>
        <w:spacing w:after="40" w:before="40"/>
      </w:pPr>
      <w:r>
        <w:rPr>
          <w:rFonts w:ascii="Arial" w:cs="Arial" w:eastAsia="Arial" w:hAnsi="Arial"/>
          <w:sz w:val="22"/>
          <w:szCs w:val="22"/>
        </w:rPr>
        <w:t xml:space="preserve">Respiratory hygiene: any worker with active respiratory symptoms must not enter immunocompromised or high-risk environments — implement a clear staff illness and exclusion policy</w:t>
      </w:r>
    </w:p>
    <w:p>
      <w:pPr>
        <w:pStyle w:val="ListParagraph"/>
        <w:numPr>
          <w:ilvl w:val="0"/>
          <w:numId w:val="2"/>
        </w:numPr>
        <w:spacing w:after="40" w:before="40"/>
      </w:pPr>
      <w:r>
        <w:rPr>
          <w:rFonts w:ascii="Arial" w:cs="Arial" w:eastAsia="Arial" w:hAnsi="Arial"/>
          <w:sz w:val="22"/>
          <w:szCs w:val="22"/>
        </w:rPr>
        <w:t xml:space="preserve">Uniform management: soiled uniforms from infection control jobs must be changed before workers travel to the next site or enter a clean environment — implement a uniform change and bagging protocol for all infection control staff</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Include personal hygiene requirements in your staff induction and review them at every infection control site briefing. A worker who does not understand why these requirements apply is a worker who will not consistently follow them.</w:t>
      </w:r>
    </w:p>
    <w:p>
      <w:pPr>
        <w:spacing w:after="0" w:before="60"/>
      </w:pPr>
      <w:r>
        <w:t xml:space="preserve"/>
      </w:r>
    </w:p>
    <w:p>
      <w:pPr>
        <w:spacing w:after="80" w:before="200"/>
      </w:pPr>
      <w:r>
        <w:rPr>
          <w:rFonts w:ascii="Arial" w:cs="Arial" w:eastAsia="Arial" w:hAnsi="Arial"/>
          <w:b/>
          <w:bCs/>
          <w:sz w:val="23"/>
          <w:szCs w:val="23"/>
        </w:rPr>
        <w:t xml:space="preserve">Module 5: Understanding Risks</w:t>
      </w:r>
    </w:p>
    <w:p>
      <w:pPr>
        <w:pStyle w:val="ListParagraph"/>
        <w:numPr>
          <w:ilvl w:val="0"/>
          <w:numId w:val="2"/>
        </w:numPr>
        <w:spacing w:after="40" w:before="40"/>
      </w:pPr>
      <w:r>
        <w:rPr>
          <w:rFonts w:ascii="Arial" w:cs="Arial" w:eastAsia="Arial" w:hAnsi="Arial"/>
          <w:sz w:val="22"/>
          <w:szCs w:val="22"/>
        </w:rPr>
        <w:t xml:space="preserve">Risk assessment for infection control business owners must consider: worker health and safety risks, third-party risks (clients, building occupants, neighbouring businesses), environmental risks (chemical disposal, surface runoff), and business risks (insurance, liability, regulatory compliance)</w:t>
      </w:r>
    </w:p>
    <w:p>
      <w:pPr>
        <w:pStyle w:val="ListParagraph"/>
        <w:numPr>
          <w:ilvl w:val="0"/>
          <w:numId w:val="2"/>
        </w:numPr>
        <w:spacing w:after="40" w:before="40"/>
      </w:pPr>
      <w:r>
        <w:rPr>
          <w:rFonts w:ascii="Arial" w:cs="Arial" w:eastAsia="Arial" w:hAnsi="Arial"/>
          <w:sz w:val="22"/>
          <w:szCs w:val="22"/>
        </w:rPr>
        <w:t xml:space="preserve">Vulnerable population risk: infection control work in aged care, healthcare, childcare, and disability support settings carries a heightened duty of care — a failure that harms a vulnerable person carries significantly higher regulatory and legal consequences than the same failure in a standard commercial setting</w:t>
      </w:r>
    </w:p>
    <w:p>
      <w:pPr>
        <w:pStyle w:val="ListParagraph"/>
        <w:numPr>
          <w:ilvl w:val="0"/>
          <w:numId w:val="2"/>
        </w:numPr>
        <w:spacing w:after="40" w:before="40"/>
      </w:pPr>
      <w:r>
        <w:rPr>
          <w:rFonts w:ascii="Arial" w:cs="Arial" w:eastAsia="Arial" w:hAnsi="Arial"/>
          <w:sz w:val="22"/>
          <w:szCs w:val="22"/>
        </w:rPr>
        <w:t xml:space="preserve">Outbreak response risk: responding to an active outbreak event requires a higher level of preparedness, PPE, and protocol than routine infection control cleaning — confirm your team's capability and equipment before accepting outbreak response contracts</w:t>
      </w:r>
    </w:p>
    <w:p>
      <w:pPr>
        <w:pStyle w:val="ListParagraph"/>
        <w:numPr>
          <w:ilvl w:val="0"/>
          <w:numId w:val="2"/>
        </w:numPr>
        <w:spacing w:after="40" w:before="40"/>
      </w:pPr>
      <w:r>
        <w:rPr>
          <w:rFonts w:ascii="Arial" w:cs="Arial" w:eastAsia="Arial" w:hAnsi="Arial"/>
          <w:sz w:val="22"/>
          <w:szCs w:val="22"/>
        </w:rPr>
        <w:t xml:space="preserve">Reputational risk: a documented infection control failure is far more damaging to a cleaning business than declining a job that exceeds your current capability — know your limits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Business owners are personally liable as officers under the WHS Act if they fail to exercise due diligence over their company's WHS systems. This includes ensuring that infection control teams are adequately trained, equipped, and supervised.</w:t>
      </w:r>
    </w:p>
    <w:p>
      <w:pPr>
        <w:spacing w:after="0" w:before="60"/>
      </w:pPr>
      <w:r>
        <w:t xml:space="preserve"/>
      </w:r>
    </w:p>
    <w:p>
      <w:pPr>
        <w:spacing w:after="80" w:before="200"/>
      </w:pPr>
      <w:r>
        <w:rPr>
          <w:rFonts w:ascii="Arial" w:cs="Arial" w:eastAsia="Arial" w:hAnsi="Arial"/>
          <w:b/>
          <w:bCs/>
          <w:sz w:val="23"/>
          <w:szCs w:val="23"/>
        </w:rPr>
        <w:t xml:space="preserve">Module 6: Cleaning Types and Touch Points</w:t>
      </w:r>
    </w:p>
    <w:p>
      <w:pPr>
        <w:pStyle w:val="ListParagraph"/>
        <w:numPr>
          <w:ilvl w:val="0"/>
          <w:numId w:val="2"/>
        </w:numPr>
        <w:spacing w:after="40" w:before="40"/>
      </w:pPr>
      <w:r>
        <w:rPr>
          <w:rFonts w:ascii="Arial" w:cs="Arial" w:eastAsia="Arial" w:hAnsi="Arial"/>
          <w:sz w:val="22"/>
          <w:szCs w:val="22"/>
        </w:rPr>
        <w:t xml:space="preserve">Routine cleaning: daily maintenance of all surfaces — the baseline that prevents amplification of routine environmental contamination</w:t>
      </w:r>
    </w:p>
    <w:p>
      <w:pPr>
        <w:pStyle w:val="ListParagraph"/>
        <w:numPr>
          <w:ilvl w:val="0"/>
          <w:numId w:val="2"/>
        </w:numPr>
        <w:spacing w:after="40" w:before="40"/>
      </w:pPr>
      <w:r>
        <w:rPr>
          <w:rFonts w:ascii="Arial" w:cs="Arial" w:eastAsia="Arial" w:hAnsi="Arial"/>
          <w:sz w:val="22"/>
          <w:szCs w:val="22"/>
        </w:rPr>
        <w:t xml:space="preserve">Enhanced cleaning: increased frequency on high-touch surfaces during an identified risk period — for example, during influenza season in an aged care facility or during a school gastroenteritis outbreak</w:t>
      </w:r>
    </w:p>
    <w:p>
      <w:pPr>
        <w:pStyle w:val="ListParagraph"/>
        <w:numPr>
          <w:ilvl w:val="0"/>
          <w:numId w:val="2"/>
        </w:numPr>
        <w:spacing w:after="40" w:before="40"/>
      </w:pPr>
      <w:r>
        <w:rPr>
          <w:rFonts w:ascii="Arial" w:cs="Arial" w:eastAsia="Arial" w:hAnsi="Arial"/>
          <w:sz w:val="22"/>
          <w:szCs w:val="22"/>
        </w:rPr>
        <w:t xml:space="preserve">Terminal disinfection: complete decontamination of a defined space after a confirmed infection event — requires a documented protocol, specific PPE, and post-clean verification testing</w:t>
      </w:r>
    </w:p>
    <w:p>
      <w:pPr>
        <w:pStyle w:val="ListParagraph"/>
        <w:numPr>
          <w:ilvl w:val="0"/>
          <w:numId w:val="2"/>
        </w:numPr>
        <w:spacing w:after="40" w:before="40"/>
      </w:pPr>
      <w:r>
        <w:rPr>
          <w:rFonts w:ascii="Arial" w:cs="Arial" w:eastAsia="Arial" w:hAnsi="Arial"/>
          <w:sz w:val="22"/>
          <w:szCs w:val="22"/>
        </w:rPr>
        <w:t xml:space="preserve">High-touch surface mapping: for every infection control contract, prepare a site-specific map identifying all high-touch surfaces and their cleaning frequency — this document forms the basis of the service verification record</w:t>
      </w:r>
    </w:p>
    <w:p>
      <w:pPr>
        <w:pStyle w:val="ListParagraph"/>
        <w:numPr>
          <w:ilvl w:val="0"/>
          <w:numId w:val="2"/>
        </w:numPr>
        <w:spacing w:after="40" w:before="40"/>
      </w:pPr>
      <w:r>
        <w:rPr>
          <w:rFonts w:ascii="Arial" w:cs="Arial" w:eastAsia="Arial" w:hAnsi="Arial"/>
          <w:sz w:val="22"/>
          <w:szCs w:val="22"/>
        </w:rPr>
        <w:t xml:space="preserve">As-built surface inventory: identify surface materials across the site — some disinfectants are incompatible with certain surfaces (bleach on stainless steel, alcohol on acrylic) — this must be resolved in the protocol before cleaning commences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Provide every client with a written cleaning schedule that specifies: surfaces cleaned, method used, chemical used with dilution, and frequency. This document is both a service delivery record and your primary defence against any client claim that cleaning was not performed as agreed.</w:t>
      </w:r>
    </w:p>
    <w:p>
      <w:pPr>
        <w:spacing w:after="0" w:before="60"/>
      </w:pPr>
      <w:r>
        <w:t xml:space="preserve"/>
      </w:r>
    </w:p>
    <w:p>
      <w:pPr>
        <w:spacing w:after="80" w:before="200"/>
      </w:pPr>
      <w:r>
        <w:rPr>
          <w:rFonts w:ascii="Arial" w:cs="Arial" w:eastAsia="Arial" w:hAnsi="Arial"/>
          <w:b/>
          <w:bCs/>
          <w:sz w:val="23"/>
          <w:szCs w:val="23"/>
        </w:rPr>
        <w:t xml:space="preserve">Module 7: Cross Contamination</w:t>
      </w:r>
    </w:p>
    <w:p>
      <w:pPr>
        <w:pStyle w:val="ListParagraph"/>
        <w:numPr>
          <w:ilvl w:val="0"/>
          <w:numId w:val="2"/>
        </w:numPr>
        <w:spacing w:after="40" w:before="40"/>
      </w:pPr>
      <w:r>
        <w:rPr>
          <w:rFonts w:ascii="Arial" w:cs="Arial" w:eastAsia="Arial" w:hAnsi="Arial"/>
          <w:sz w:val="22"/>
          <w:szCs w:val="22"/>
        </w:rPr>
        <w:t xml:space="preserve">Cross-contamination in an infection control context means transferring a pathogen from a contaminated area or surface to a clean one — directly negating the purpose of the service</w:t>
      </w:r>
    </w:p>
    <w:p>
      <w:pPr>
        <w:pStyle w:val="ListParagraph"/>
        <w:numPr>
          <w:ilvl w:val="0"/>
          <w:numId w:val="2"/>
        </w:numPr>
        <w:spacing w:after="40" w:before="40"/>
      </w:pPr>
      <w:r>
        <w:rPr>
          <w:rFonts w:ascii="Arial" w:cs="Arial" w:eastAsia="Arial" w:hAnsi="Arial"/>
          <w:sz w:val="22"/>
          <w:szCs w:val="22"/>
        </w:rPr>
        <w:t xml:space="preserve">Primary prevention: strict zone system with physical barriers, one-way cleaning direction, and colour-coded equipment for each zone</w:t>
      </w:r>
    </w:p>
    <w:p>
      <w:pPr>
        <w:pStyle w:val="ListParagraph"/>
        <w:numPr>
          <w:ilvl w:val="0"/>
          <w:numId w:val="2"/>
        </w:numPr>
        <w:spacing w:after="40" w:before="40"/>
      </w:pPr>
      <w:r>
        <w:rPr>
          <w:rFonts w:ascii="Arial" w:cs="Arial" w:eastAsia="Arial" w:hAnsi="Arial"/>
          <w:sz w:val="22"/>
          <w:szCs w:val="22"/>
        </w:rPr>
        <w:t xml:space="preserve">Equipment decontamination between zones: all reusable tools must be cleaned and disinfected at the zone exit point before being carried into a clean zone — never carry tools across zones without decontamination</w:t>
      </w:r>
    </w:p>
    <w:p>
      <w:pPr>
        <w:pStyle w:val="ListParagraph"/>
        <w:numPr>
          <w:ilvl w:val="0"/>
          <w:numId w:val="2"/>
        </w:numPr>
        <w:spacing w:after="40" w:before="40"/>
      </w:pPr>
      <w:r>
        <w:rPr>
          <w:rFonts w:ascii="Arial" w:cs="Arial" w:eastAsia="Arial" w:hAnsi="Arial"/>
          <w:sz w:val="22"/>
          <w:szCs w:val="22"/>
        </w:rPr>
        <w:t xml:space="preserve">Laundry protocol for reusable microfibre: thermal disinfection at 60 degrees Celsius minimum for 10 minutes in a commercial washing machine, or chemical disinfection in an appropriate product before storage and reuse</w:t>
      </w:r>
    </w:p>
    <w:p>
      <w:pPr>
        <w:pStyle w:val="ListParagraph"/>
        <w:numPr>
          <w:ilvl w:val="0"/>
          <w:numId w:val="2"/>
        </w:numPr>
        <w:spacing w:after="40" w:before="40"/>
      </w:pPr>
      <w:r>
        <w:rPr>
          <w:rFonts w:ascii="Arial" w:cs="Arial" w:eastAsia="Arial" w:hAnsi="Arial"/>
          <w:sz w:val="22"/>
          <w:szCs w:val="22"/>
        </w:rPr>
        <w:t xml:space="preserve">Vehicle as a contamination vector: infection control workers' vehicles can carry pathogens between sites if contaminated PPE, tools, or boots are not properly contained before loading</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Implement a vehicle decontamination protocol: all used PPE goes into sealed bags before loading, no contaminated tools travel unbagged, and the cargo area is wiped down with an appropriate disinfectant at the end of each infection control shift.</w:t>
      </w:r>
    </w:p>
    <w:p>
      <w:pPr>
        <w:spacing w:after="0" w:before="60"/>
      </w:pPr>
      <w:r>
        <w:t xml:space="preserve"/>
      </w:r>
    </w:p>
    <w:p>
      <w:pPr>
        <w:spacing w:after="80" w:before="200"/>
      </w:pPr>
      <w:r>
        <w:rPr>
          <w:rFonts w:ascii="Arial" w:cs="Arial" w:eastAsia="Arial" w:hAnsi="Arial"/>
          <w:b/>
          <w:bCs/>
          <w:sz w:val="23"/>
          <w:szCs w:val="23"/>
        </w:rPr>
        <w:t xml:space="preserve">Module 8: Insurance and Liability</w:t>
      </w:r>
    </w:p>
    <w:p>
      <w:pPr>
        <w:pStyle w:val="ListParagraph"/>
        <w:numPr>
          <w:ilvl w:val="0"/>
          <w:numId w:val="2"/>
        </w:numPr>
        <w:spacing w:after="40" w:before="40"/>
      </w:pPr>
      <w:r>
        <w:rPr>
          <w:rFonts w:ascii="Arial" w:cs="Arial" w:eastAsia="Arial" w:hAnsi="Arial"/>
          <w:sz w:val="22"/>
          <w:szCs w:val="22"/>
        </w:rPr>
        <w:t xml:space="preserve">General public liability insurance: most standard policies have sub-limits or exclusions for infection control work, mould remediation, and biohazard response — read your policy and confirm coverage in writing before accepting these contracts</w:t>
      </w:r>
    </w:p>
    <w:p>
      <w:pPr>
        <w:pStyle w:val="ListParagraph"/>
        <w:numPr>
          <w:ilvl w:val="0"/>
          <w:numId w:val="2"/>
        </w:numPr>
        <w:spacing w:after="40" w:before="40"/>
      </w:pPr>
      <w:r>
        <w:rPr>
          <w:rFonts w:ascii="Arial" w:cs="Arial" w:eastAsia="Arial" w:hAnsi="Arial"/>
          <w:sz w:val="22"/>
          <w:szCs w:val="22"/>
        </w:rPr>
        <w:t xml:space="preserve">Professional indemnity: covers claims arising from advice or professional services you provide — essential if you are producing written protocols, verification reports, or clearance certificates that clients rely upon</w:t>
      </w:r>
    </w:p>
    <w:p>
      <w:pPr>
        <w:pStyle w:val="ListParagraph"/>
        <w:numPr>
          <w:ilvl w:val="0"/>
          <w:numId w:val="2"/>
        </w:numPr>
        <w:spacing w:after="40" w:before="40"/>
      </w:pPr>
      <w:r>
        <w:rPr>
          <w:rFonts w:ascii="Arial" w:cs="Arial" w:eastAsia="Arial" w:hAnsi="Arial"/>
          <w:sz w:val="22"/>
          <w:szCs w:val="22"/>
        </w:rPr>
        <w:t xml:space="preserve">Workers compensation: your staff must be covered for the actual work they are performing — workers compensation policies that describe the business as general cleaning may not cover biohazard response</w:t>
      </w:r>
    </w:p>
    <w:p>
      <w:pPr>
        <w:pStyle w:val="ListParagraph"/>
        <w:numPr>
          <w:ilvl w:val="0"/>
          <w:numId w:val="2"/>
        </w:numPr>
        <w:spacing w:after="40" w:before="40"/>
      </w:pPr>
      <w:r>
        <w:rPr>
          <w:rFonts w:ascii="Arial" w:cs="Arial" w:eastAsia="Arial" w:hAnsi="Arial"/>
          <w:sz w:val="22"/>
          <w:szCs w:val="22"/>
        </w:rPr>
        <w:t xml:space="preserve">Contract terms: your client agreement must specify: the scope of work, what verification testing is included, what constitutes successful completion, limitation of liability for pre-existing conditions, and your obligations if a subsequent infection event occurs</w:t>
      </w:r>
    </w:p>
    <w:p>
      <w:pPr>
        <w:pStyle w:val="ListParagraph"/>
        <w:numPr>
          <w:ilvl w:val="0"/>
          <w:numId w:val="2"/>
        </w:numPr>
        <w:spacing w:after="40" w:before="40"/>
      </w:pPr>
      <w:r>
        <w:rPr>
          <w:rFonts w:ascii="Arial" w:cs="Arial" w:eastAsia="Arial" w:hAnsi="Arial"/>
          <w:sz w:val="22"/>
          <w:szCs w:val="22"/>
        </w:rPr>
        <w:t xml:space="preserve">Paper trail protection: documented risk assessments, SOPs, JSEAs, SWMSs, cleaning records, and ATP results are your primary defence against a liability claim — without them, any claim that cleaning was inadequate is difficult to refute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Seek legal advice when drafting your infection control service agreement. A standard cleaning terms and conditions document is not adequate for infection control services — the duty of care, verification obligations, and liability exposure are significantly different.</w:t>
      </w:r>
    </w:p>
    <w:p>
      <w:pPr>
        <w:spacing w:after="0" w:before="60"/>
      </w:pPr>
      <w:r>
        <w:t xml:space="preserve"/>
      </w:r>
    </w:p>
    <w:p>
      <w:pPr>
        <w:spacing w:after="80" w:before="200"/>
      </w:pPr>
      <w:r>
        <w:rPr>
          <w:rFonts w:ascii="Arial" w:cs="Arial" w:eastAsia="Arial" w:hAnsi="Arial"/>
          <w:b/>
          <w:bCs/>
          <w:sz w:val="23"/>
          <w:szCs w:val="23"/>
        </w:rPr>
        <w:t xml:space="preserve">Module 9: Before the Job</w:t>
      </w:r>
    </w:p>
    <w:p>
      <w:pPr>
        <w:pStyle w:val="ListParagraph"/>
        <w:numPr>
          <w:ilvl w:val="0"/>
          <w:numId w:val="2"/>
        </w:numPr>
        <w:spacing w:after="40" w:before="40"/>
      </w:pPr>
      <w:r>
        <w:rPr>
          <w:rFonts w:ascii="Arial" w:cs="Arial" w:eastAsia="Arial" w:hAnsi="Arial"/>
          <w:sz w:val="22"/>
          <w:szCs w:val="22"/>
        </w:rPr>
        <w:t xml:space="preserve">Pre-job client briefing: confirm the contamination event details, the specific pathogen if known, the building occupancy status during and after the work, any building system restrictions, and the client's expected timeline</w:t>
      </w:r>
    </w:p>
    <w:p>
      <w:pPr>
        <w:pStyle w:val="ListParagraph"/>
        <w:numPr>
          <w:ilvl w:val="0"/>
          <w:numId w:val="2"/>
        </w:numPr>
        <w:spacing w:after="40" w:before="40"/>
      </w:pPr>
      <w:r>
        <w:rPr>
          <w:rFonts w:ascii="Arial" w:cs="Arial" w:eastAsia="Arial" w:hAnsi="Arial"/>
          <w:sz w:val="22"/>
          <w:szCs w:val="22"/>
        </w:rPr>
        <w:t xml:space="preserve">Site pre-inspection: conduct a physical pre-inspection where safe to do so — identify access routes, confirm the scope of contaminated areas, identify any surfaces or materials that require special handling, and note any hazards</w:t>
      </w:r>
    </w:p>
    <w:p>
      <w:pPr>
        <w:pStyle w:val="ListParagraph"/>
        <w:numPr>
          <w:ilvl w:val="0"/>
          <w:numId w:val="2"/>
        </w:numPr>
        <w:spacing w:after="40" w:before="40"/>
      </w:pPr>
      <w:r>
        <w:rPr>
          <w:rFonts w:ascii="Arial" w:cs="Arial" w:eastAsia="Arial" w:hAnsi="Arial"/>
          <w:sz w:val="22"/>
          <w:szCs w:val="22"/>
        </w:rPr>
        <w:t xml:space="preserve">Equipment and chemical preparation: confirm all required equipment is on the vehicle and in working order, all chemicals are in-date and correctly labelled, PPE is in the correct sizes for all team members, and ATP swab supply is adequate for the job</w:t>
      </w:r>
    </w:p>
    <w:p>
      <w:pPr>
        <w:pStyle w:val="ListParagraph"/>
        <w:numPr>
          <w:ilvl w:val="0"/>
          <w:numId w:val="2"/>
        </w:numPr>
        <w:spacing w:after="40" w:before="40"/>
      </w:pPr>
      <w:r>
        <w:rPr>
          <w:rFonts w:ascii="Arial" w:cs="Arial" w:eastAsia="Arial" w:hAnsi="Arial"/>
          <w:sz w:val="22"/>
          <w:szCs w:val="22"/>
        </w:rPr>
        <w:t xml:space="preserve">JSEA and SWMS preparation: complete these documents based on the pre-inspection findings — do not use a generic template without adapting it to the specific site and contamination event</w:t>
      </w:r>
    </w:p>
    <w:p>
      <w:pPr>
        <w:pStyle w:val="ListParagraph"/>
        <w:numPr>
          <w:ilvl w:val="0"/>
          <w:numId w:val="2"/>
        </w:numPr>
        <w:spacing w:after="40" w:before="40"/>
      </w:pPr>
      <w:r>
        <w:rPr>
          <w:rFonts w:ascii="Arial" w:cs="Arial" w:eastAsia="Arial" w:hAnsi="Arial"/>
          <w:sz w:val="22"/>
          <w:szCs w:val="22"/>
        </w:rPr>
        <w:t xml:space="preserve">Client communication: confirm the expected completion time, the verification process, and the format of the completion report before starting work — surprises at the end of a job create disputes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A 15-minute pre-job team briefing before suiting up is the single most effective investment of time on any infection control job. Everyone on the team must know: what they are cleaning, what they are cleaning it with, what PPE they are wearing, what zone they are working in, and what to do if something goes wrong.</w:t>
      </w:r>
    </w:p>
    <w:p>
      <w:pPr>
        <w:spacing w:after="0" w:before="60"/>
      </w:pPr>
      <w:r>
        <w:t xml:space="preserve"/>
      </w:r>
    </w:p>
    <w:p>
      <w:pPr>
        <w:spacing w:after="80" w:before="200"/>
      </w:pPr>
      <w:r>
        <w:rPr>
          <w:rFonts w:ascii="Arial" w:cs="Arial" w:eastAsia="Arial" w:hAnsi="Arial"/>
          <w:b/>
          <w:bCs/>
          <w:sz w:val="23"/>
          <w:szCs w:val="23"/>
        </w:rPr>
        <w:t xml:space="preserve">Module 10: Hazard Identification</w:t>
      </w:r>
    </w:p>
    <w:p>
      <w:pPr>
        <w:pStyle w:val="ListParagraph"/>
        <w:numPr>
          <w:ilvl w:val="0"/>
          <w:numId w:val="2"/>
        </w:numPr>
        <w:spacing w:after="40" w:before="40"/>
      </w:pPr>
      <w:r>
        <w:rPr>
          <w:rFonts w:ascii="Arial" w:cs="Arial" w:eastAsia="Arial" w:hAnsi="Arial"/>
          <w:sz w:val="22"/>
          <w:szCs w:val="22"/>
        </w:rPr>
        <w:t xml:space="preserve">Biological hazards: specific pathogen type and transmission route, contamination extent and concentration, presence of visible contamination versus suspected contamination</w:t>
      </w:r>
    </w:p>
    <w:p>
      <w:pPr>
        <w:pStyle w:val="ListParagraph"/>
        <w:numPr>
          <w:ilvl w:val="0"/>
          <w:numId w:val="2"/>
        </w:numPr>
        <w:spacing w:after="40" w:before="40"/>
      </w:pPr>
      <w:r>
        <w:rPr>
          <w:rFonts w:ascii="Arial" w:cs="Arial" w:eastAsia="Arial" w:hAnsi="Arial"/>
          <w:sz w:val="22"/>
          <w:szCs w:val="22"/>
        </w:rPr>
        <w:t xml:space="preserve">Chemical hazards: all cleaning agents and disinfectants planned for use on the job — SDS reviewed for each before work commences</w:t>
      </w:r>
    </w:p>
    <w:p>
      <w:pPr>
        <w:pStyle w:val="ListParagraph"/>
        <w:numPr>
          <w:ilvl w:val="0"/>
          <w:numId w:val="2"/>
        </w:numPr>
        <w:spacing w:after="40" w:before="40"/>
      </w:pPr>
      <w:r>
        <w:rPr>
          <w:rFonts w:ascii="Arial" w:cs="Arial" w:eastAsia="Arial" w:hAnsi="Arial"/>
          <w:sz w:val="22"/>
          <w:szCs w:val="22"/>
        </w:rPr>
        <w:t xml:space="preserve">Physical hazards: confined spaces, height, electrical services near wet areas, heavy or awkward materials to be moved or disposed of</w:t>
      </w:r>
    </w:p>
    <w:p>
      <w:pPr>
        <w:pStyle w:val="ListParagraph"/>
        <w:numPr>
          <w:ilvl w:val="0"/>
          <w:numId w:val="2"/>
        </w:numPr>
        <w:spacing w:after="40" w:before="40"/>
      </w:pPr>
      <w:r>
        <w:rPr>
          <w:rFonts w:ascii="Arial" w:cs="Arial" w:eastAsia="Arial" w:hAnsi="Arial"/>
          <w:sz w:val="22"/>
          <w:szCs w:val="22"/>
        </w:rPr>
        <w:t xml:space="preserve">Environmental hazards: temperature and humidity inside the building, ventilation adequacy, proximity to drains or waterways that may be affected by chemical runoff</w:t>
      </w:r>
    </w:p>
    <w:p>
      <w:pPr>
        <w:pStyle w:val="ListParagraph"/>
        <w:numPr>
          <w:ilvl w:val="0"/>
          <w:numId w:val="2"/>
        </w:numPr>
        <w:spacing w:after="40" w:before="40"/>
      </w:pPr>
      <w:r>
        <w:rPr>
          <w:rFonts w:ascii="Arial" w:cs="Arial" w:eastAsia="Arial" w:hAnsi="Arial"/>
          <w:sz w:val="22"/>
          <w:szCs w:val="22"/>
        </w:rPr>
        <w:t xml:space="preserve">Vulnerable person hazard: are there immunocompromised, elderly, or very young persons who may be affected by the work or who will re-enter the space soon after completion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Never assume a site matches the client's description over the phone. The hazard identification must be based on physical inspection — a site that was described as a routine clean for a suspected COVID exposure may arrive as a Category 3 biohazard scene.</w:t>
      </w:r>
    </w:p>
    <w:p>
      <w:pPr>
        <w:spacing w:after="0" w:before="60"/>
      </w:pPr>
      <w:r>
        <w:t xml:space="preserve"/>
      </w:r>
    </w:p>
    <w:p>
      <w:pPr>
        <w:spacing w:after="80" w:before="200"/>
      </w:pPr>
      <w:r>
        <w:rPr>
          <w:rFonts w:ascii="Arial" w:cs="Arial" w:eastAsia="Arial" w:hAnsi="Arial"/>
          <w:b/>
          <w:bCs/>
          <w:sz w:val="23"/>
          <w:szCs w:val="23"/>
        </w:rPr>
        <w:t xml:space="preserve">Module 11: Risk Assessments</w:t>
      </w:r>
    </w:p>
    <w:p>
      <w:pPr>
        <w:pStyle w:val="ListParagraph"/>
        <w:numPr>
          <w:ilvl w:val="0"/>
          <w:numId w:val="2"/>
        </w:numPr>
        <w:spacing w:after="40" w:before="40"/>
      </w:pPr>
      <w:r>
        <w:rPr>
          <w:rFonts w:ascii="Arial" w:cs="Arial" w:eastAsia="Arial" w:hAnsi="Arial"/>
          <w:sz w:val="22"/>
          <w:szCs w:val="22"/>
        </w:rPr>
        <w:t xml:space="preserve">Risk assessment for infection control must be specific to the identified pathogen, contamination category, work method, and site conditions — a generic assessment is not sufficient</w:t>
      </w:r>
    </w:p>
    <w:p>
      <w:pPr>
        <w:pStyle w:val="ListParagraph"/>
        <w:numPr>
          <w:ilvl w:val="0"/>
          <w:numId w:val="2"/>
        </w:numPr>
        <w:spacing w:after="40" w:before="40"/>
      </w:pPr>
      <w:r>
        <w:rPr>
          <w:rFonts w:ascii="Arial" w:cs="Arial" w:eastAsia="Arial" w:hAnsi="Arial"/>
          <w:sz w:val="22"/>
          <w:szCs w:val="22"/>
        </w:rPr>
        <w:t xml:space="preserve">Document the pre-control risk rating and the post-control risk rating for each identified hazard — this demonstrates that your controls are actually reducing the risk to an acceptable level</w:t>
      </w:r>
    </w:p>
    <w:p>
      <w:pPr>
        <w:pStyle w:val="ListParagraph"/>
        <w:numPr>
          <w:ilvl w:val="0"/>
          <w:numId w:val="2"/>
        </w:numPr>
        <w:spacing w:after="40" w:before="40"/>
      </w:pPr>
      <w:r>
        <w:rPr>
          <w:rFonts w:ascii="Arial" w:cs="Arial" w:eastAsia="Arial" w:hAnsi="Arial"/>
          <w:sz w:val="22"/>
          <w:szCs w:val="22"/>
        </w:rPr>
        <w:t xml:space="preserve">For high-risk pathogen events including C. difficile, MRSA, or confirmed outbreak response: obtain independent review of the risk assessment from a qualified infection control professional before commencing</w:t>
      </w:r>
    </w:p>
    <w:p>
      <w:pPr>
        <w:pStyle w:val="ListParagraph"/>
        <w:numPr>
          <w:ilvl w:val="0"/>
          <w:numId w:val="2"/>
        </w:numPr>
        <w:spacing w:after="40" w:before="40"/>
      </w:pPr>
      <w:r>
        <w:rPr>
          <w:rFonts w:ascii="Arial" w:cs="Arial" w:eastAsia="Arial" w:hAnsi="Arial"/>
          <w:sz w:val="22"/>
          <w:szCs w:val="22"/>
        </w:rPr>
        <w:t xml:space="preserve">Review the risk assessment whenever site conditions change, additional contaminated areas are discovered, or any PPE failure or exposure incident occurs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Act s.18: The PCBU must manage risks so far as is reasonably practicable. A documented and site-specific risk assessment is the primary evidence that this duty has been actively met for each infection control engagement.</w:t>
      </w:r>
    </w:p>
    <w:p>
      <w:pPr>
        <w:spacing w:after="0" w:before="60"/>
      </w:pPr>
      <w:r>
        <w:t xml:space="preserve"/>
      </w:r>
    </w:p>
    <w:p>
      <w:pPr>
        <w:spacing w:after="80" w:before="200"/>
      </w:pPr>
      <w:r>
        <w:rPr>
          <w:rFonts w:ascii="Arial" w:cs="Arial" w:eastAsia="Arial" w:hAnsi="Arial"/>
          <w:b/>
          <w:bCs/>
          <w:sz w:val="23"/>
          <w:szCs w:val="23"/>
        </w:rPr>
        <w:t xml:space="preserve">Module 12: Hierarchy of Controls</w:t>
      </w:r>
    </w:p>
    <w:p>
      <w:pPr>
        <w:pStyle w:val="ListParagraph"/>
        <w:numPr>
          <w:ilvl w:val="0"/>
          <w:numId w:val="2"/>
        </w:numPr>
        <w:spacing w:after="40" w:before="40"/>
      </w:pPr>
      <w:r>
        <w:rPr>
          <w:rFonts w:ascii="Arial" w:cs="Arial" w:eastAsia="Arial" w:hAnsi="Arial"/>
          <w:sz w:val="22"/>
          <w:szCs w:val="22"/>
        </w:rPr>
        <w:t xml:space="preserve">Elimination: for infection control business owners, this means removing the contaminated source material before cleaning where possible — for example, disposing of contaminated soft furnishings, waste, or porous materials that cannot be effectively disinfected rather than attempting to clean them in situ</w:t>
      </w:r>
    </w:p>
    <w:p>
      <w:pPr>
        <w:pStyle w:val="ListParagraph"/>
        <w:numPr>
          <w:ilvl w:val="0"/>
          <w:numId w:val="2"/>
        </w:numPr>
        <w:spacing w:after="40" w:before="40"/>
      </w:pPr>
      <w:r>
        <w:rPr>
          <w:rFonts w:ascii="Arial" w:cs="Arial" w:eastAsia="Arial" w:hAnsi="Arial"/>
          <w:sz w:val="22"/>
          <w:szCs w:val="22"/>
        </w:rPr>
        <w:t xml:space="preserve">Substitution: selecting the most effective and least hazardous disinfectant that achieves the required pathogen kill — avoid defaulting to the most aggressive chemical available when a safer alternative will achieve the same outcome</w:t>
      </w:r>
    </w:p>
    <w:p>
      <w:pPr>
        <w:pStyle w:val="ListParagraph"/>
        <w:numPr>
          <w:ilvl w:val="0"/>
          <w:numId w:val="2"/>
        </w:numPr>
        <w:spacing w:after="40" w:before="40"/>
      </w:pPr>
      <w:r>
        <w:rPr>
          <w:rFonts w:ascii="Arial" w:cs="Arial" w:eastAsia="Arial" w:hAnsi="Arial"/>
          <w:sz w:val="22"/>
          <w:szCs w:val="22"/>
        </w:rPr>
        <w:t xml:space="preserve">Engineering controls: negative pressure rooms or containment during terminal disinfection of high-risk areas, HEPA filtration during work that generates aerosols, physical barriers between zones</w:t>
      </w:r>
    </w:p>
    <w:p>
      <w:pPr>
        <w:pStyle w:val="ListParagraph"/>
        <w:numPr>
          <w:ilvl w:val="0"/>
          <w:numId w:val="2"/>
        </w:numPr>
        <w:spacing w:after="40" w:before="40"/>
      </w:pPr>
      <w:r>
        <w:rPr>
          <w:rFonts w:ascii="Arial" w:cs="Arial" w:eastAsia="Arial" w:hAnsi="Arial"/>
          <w:sz w:val="22"/>
          <w:szCs w:val="22"/>
        </w:rPr>
        <w:t xml:space="preserve">Administrative controls: cleaning protocols, zone systems, worker rotation schedules, shift durations in full PPE, pre-and post-job briefings, incident reporting procedures</w:t>
      </w:r>
    </w:p>
    <w:p>
      <w:pPr>
        <w:pStyle w:val="ListParagraph"/>
        <w:numPr>
          <w:ilvl w:val="0"/>
          <w:numId w:val="2"/>
        </w:numPr>
        <w:spacing w:after="40" w:before="40"/>
      </w:pPr>
      <w:r>
        <w:rPr>
          <w:rFonts w:ascii="Arial" w:cs="Arial" w:eastAsia="Arial" w:hAnsi="Arial"/>
          <w:sz w:val="22"/>
          <w:szCs w:val="22"/>
        </w:rPr>
        <w:t xml:space="preserve">PPE: specified for each task based on the residual risk after all higher-order controls are applied — the PPE selected must be adequate for the specific biological and chemical hazards on each job</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When scoping an infection control job, work through the Hierarchy of Controls in order before specifying PPE. Business owners who specify PPE first and work backwards often under-specify engineering controls, which creates unnecessary risk to workers and increases long-term costs.</w:t>
      </w:r>
    </w:p>
    <w:p>
      <w:pPr>
        <w:spacing w:after="0" w:before="60"/>
      </w:pPr>
      <w:r>
        <w:t xml:space="preserve"/>
      </w:r>
    </w:p>
    <w:p>
      <w:pPr>
        <w:spacing w:after="80" w:before="200"/>
      </w:pPr>
      <w:r>
        <w:rPr>
          <w:rFonts w:ascii="Arial" w:cs="Arial" w:eastAsia="Arial" w:hAnsi="Arial"/>
          <w:b/>
          <w:bCs/>
          <w:sz w:val="23"/>
          <w:szCs w:val="23"/>
        </w:rPr>
        <w:t xml:space="preserve">Module 13: Safety Data Sheets</w:t>
      </w:r>
    </w:p>
    <w:p>
      <w:pPr>
        <w:pStyle w:val="ListParagraph"/>
        <w:numPr>
          <w:ilvl w:val="0"/>
          <w:numId w:val="2"/>
        </w:numPr>
        <w:spacing w:after="40" w:before="40"/>
      </w:pPr>
      <w:r>
        <w:rPr>
          <w:rFonts w:ascii="Arial" w:cs="Arial" w:eastAsia="Arial" w:hAnsi="Arial"/>
          <w:sz w:val="22"/>
          <w:szCs w:val="22"/>
        </w:rPr>
        <w:t xml:space="preserve">Every chemical used on an infection control job must have a current SDS accessible on site — not in the office</w:t>
      </w:r>
    </w:p>
    <w:p>
      <w:pPr>
        <w:pStyle w:val="ListParagraph"/>
        <w:numPr>
          <w:ilvl w:val="0"/>
          <w:numId w:val="2"/>
        </w:numPr>
        <w:spacing w:after="40" w:before="40"/>
      </w:pPr>
      <w:r>
        <w:rPr>
          <w:rFonts w:ascii="Arial" w:cs="Arial" w:eastAsia="Arial" w:hAnsi="Arial"/>
          <w:sz w:val="22"/>
          <w:szCs w:val="22"/>
        </w:rPr>
        <w:t xml:space="preserve">Section 2 (hazard identification): review before introducing any new chemical to your service portfolio — understand the health hazards before your team is exposed</w:t>
      </w:r>
    </w:p>
    <w:p>
      <w:pPr>
        <w:pStyle w:val="ListParagraph"/>
        <w:numPr>
          <w:ilvl w:val="0"/>
          <w:numId w:val="2"/>
        </w:numPr>
        <w:spacing w:after="40" w:before="40"/>
      </w:pPr>
      <w:r>
        <w:rPr>
          <w:rFonts w:ascii="Arial" w:cs="Arial" w:eastAsia="Arial" w:hAnsi="Arial"/>
          <w:sz w:val="22"/>
          <w:szCs w:val="22"/>
        </w:rPr>
        <w:t xml:space="preserve">Section 8 (exposure controls and PPE): defines the minimum PPE required by the manufacturer for safe use — this is the baseline, not the ceiling, for your PPE specification</w:t>
      </w:r>
    </w:p>
    <w:p>
      <w:pPr>
        <w:pStyle w:val="ListParagraph"/>
        <w:numPr>
          <w:ilvl w:val="0"/>
          <w:numId w:val="2"/>
        </w:numPr>
        <w:spacing w:after="40" w:before="40"/>
      </w:pPr>
      <w:r>
        <w:rPr>
          <w:rFonts w:ascii="Arial" w:cs="Arial" w:eastAsia="Arial" w:hAnsi="Arial"/>
          <w:sz w:val="22"/>
          <w:szCs w:val="22"/>
        </w:rPr>
        <w:t xml:space="preserve">Section 13 (disposal): infection control chemicals — particularly sodium hypochlorite and hydrogen peroxide — have specific disposal requirements that vary by concentration and volume</w:t>
      </w:r>
    </w:p>
    <w:p>
      <w:pPr>
        <w:pStyle w:val="ListParagraph"/>
        <w:numPr>
          <w:ilvl w:val="0"/>
          <w:numId w:val="2"/>
        </w:numPr>
        <w:spacing w:after="40" w:before="40"/>
      </w:pPr>
      <w:r>
        <w:rPr>
          <w:rFonts w:ascii="Arial" w:cs="Arial" w:eastAsia="Arial" w:hAnsi="Arial"/>
          <w:sz w:val="22"/>
          <w:szCs w:val="22"/>
        </w:rPr>
        <w:t xml:space="preserve">Maintain an SDS register for every product in your chemical inventory — review currency annually and update when suppliers issue revised SDS documents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r.337: The PCBU must ensure an SDS is provided to every worker likely to be affected by a hazardous chemical. Providing the SDS to the team leader only, or keeping it only in the office, does not satisfy this requirement.</w:t>
      </w:r>
    </w:p>
    <w:p>
      <w:pPr>
        <w:spacing w:after="0" w:before="60"/>
      </w:pPr>
      <w:r>
        <w:t xml:space="preserve"/>
      </w:r>
    </w:p>
    <w:p>
      <w:pPr>
        <w:spacing w:after="80" w:before="200"/>
      </w:pPr>
      <w:r>
        <w:rPr>
          <w:rFonts w:ascii="Arial" w:cs="Arial" w:eastAsia="Arial" w:hAnsi="Arial"/>
          <w:b/>
          <w:bCs/>
          <w:sz w:val="23"/>
          <w:szCs w:val="23"/>
        </w:rPr>
        <w:t xml:space="preserve">Module 14: Labelling</w:t>
      </w:r>
    </w:p>
    <w:p>
      <w:pPr>
        <w:pStyle w:val="ListParagraph"/>
        <w:numPr>
          <w:ilvl w:val="0"/>
          <w:numId w:val="2"/>
        </w:numPr>
        <w:spacing w:after="40" w:before="40"/>
      </w:pPr>
      <w:r>
        <w:rPr>
          <w:rFonts w:ascii="Arial" w:cs="Arial" w:eastAsia="Arial" w:hAnsi="Arial"/>
          <w:sz w:val="22"/>
          <w:szCs w:val="22"/>
        </w:rPr>
        <w:t xml:space="preserve">Original containers: all hazardous chemical containers must retain their original GHS-compliant label at all times — do not remove or cover original labels</w:t>
      </w:r>
    </w:p>
    <w:p>
      <w:pPr>
        <w:pStyle w:val="ListParagraph"/>
        <w:numPr>
          <w:ilvl w:val="0"/>
          <w:numId w:val="2"/>
        </w:numPr>
        <w:spacing w:after="40" w:before="40"/>
      </w:pPr>
      <w:r>
        <w:rPr>
          <w:rFonts w:ascii="Arial" w:cs="Arial" w:eastAsia="Arial" w:hAnsi="Arial"/>
          <w:sz w:val="22"/>
          <w:szCs w:val="22"/>
        </w:rPr>
        <w:t xml:space="preserve">Secondary containers: all working containers prepared on site must be labelled with: product name, concentration or dilution ratio, relevant GHS hazard pictograms, and date of preparation</w:t>
      </w:r>
    </w:p>
    <w:p>
      <w:pPr>
        <w:pStyle w:val="ListParagraph"/>
        <w:numPr>
          <w:ilvl w:val="0"/>
          <w:numId w:val="2"/>
        </w:numPr>
        <w:spacing w:after="40" w:before="40"/>
      </w:pPr>
      <w:r>
        <w:rPr>
          <w:rFonts w:ascii="Arial" w:cs="Arial" w:eastAsia="Arial" w:hAnsi="Arial"/>
          <w:sz w:val="22"/>
          <w:szCs w:val="22"/>
        </w:rPr>
        <w:t xml:space="preserve">Spray bottles: each spray bottle must be labelled with the product name and concentration before filling — unlabelled spray bottles in an infection control kit are a WHS and quality assurance failure</w:t>
      </w:r>
    </w:p>
    <w:p>
      <w:pPr>
        <w:pStyle w:val="ListParagraph"/>
        <w:numPr>
          <w:ilvl w:val="0"/>
          <w:numId w:val="2"/>
        </w:numPr>
        <w:spacing w:after="40" w:before="40"/>
      </w:pPr>
      <w:r>
        <w:rPr>
          <w:rFonts w:ascii="Arial" w:cs="Arial" w:eastAsia="Arial" w:hAnsi="Arial"/>
          <w:sz w:val="22"/>
          <w:szCs w:val="22"/>
        </w:rPr>
        <w:t xml:space="preserve">Batch record: for large-scale infection control jobs using mixed chemical solutions, maintain a batch preparation record showing: product used, dilution, volume prepared, date, and preparer name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r.330: All containers of hazardous chemicals in the workplace must be labelled. This applies regardless of container size or duration of intended use. A spray bottle used for 30 minutes still requires a label.</w:t>
      </w:r>
    </w:p>
    <w:p>
      <w:pPr>
        <w:spacing w:after="0" w:before="60"/>
      </w:pPr>
      <w:r>
        <w:t xml:space="preserve"/>
      </w:r>
    </w:p>
    <w:p>
      <w:pPr>
        <w:spacing w:after="80" w:before="200"/>
      </w:pPr>
      <w:r>
        <w:rPr>
          <w:rFonts w:ascii="Arial" w:cs="Arial" w:eastAsia="Arial" w:hAnsi="Arial"/>
          <w:b/>
          <w:bCs/>
          <w:sz w:val="23"/>
          <w:szCs w:val="23"/>
        </w:rPr>
        <w:t xml:space="preserve">Module 15: Standard Operating Procedures</w:t>
      </w:r>
    </w:p>
    <w:p>
      <w:pPr>
        <w:pStyle w:val="ListParagraph"/>
        <w:numPr>
          <w:ilvl w:val="0"/>
          <w:numId w:val="2"/>
        </w:numPr>
        <w:spacing w:after="40" w:before="40"/>
      </w:pPr>
      <w:r>
        <w:rPr>
          <w:rFonts w:ascii="Arial" w:cs="Arial" w:eastAsia="Arial" w:hAnsi="Arial"/>
          <w:sz w:val="22"/>
          <w:szCs w:val="22"/>
        </w:rPr>
        <w:t xml:space="preserve">Infection control SOPs must cover: site-specific hazard categories, cleaning sequence and zone system, chemical selection and dilution ratios, dwell times per surface type, PPE requirements per task, waste disposal method, verification testing protocol, and incident response procedure</w:t>
      </w:r>
    </w:p>
    <w:p>
      <w:pPr>
        <w:pStyle w:val="ListParagraph"/>
        <w:numPr>
          <w:ilvl w:val="0"/>
          <w:numId w:val="2"/>
        </w:numPr>
        <w:spacing w:after="40" w:before="40"/>
      </w:pPr>
      <w:r>
        <w:rPr>
          <w:rFonts w:ascii="Arial" w:cs="Arial" w:eastAsia="Arial" w:hAnsi="Arial"/>
          <w:sz w:val="22"/>
          <w:szCs w:val="22"/>
        </w:rPr>
        <w:t xml:space="preserve">Version control: every SOP must have a version number and review date — workers must always use the current version</w:t>
      </w:r>
    </w:p>
    <w:p>
      <w:pPr>
        <w:pStyle w:val="ListParagraph"/>
        <w:numPr>
          <w:ilvl w:val="0"/>
          <w:numId w:val="2"/>
        </w:numPr>
        <w:spacing w:after="40" w:before="40"/>
      </w:pPr>
      <w:r>
        <w:rPr>
          <w:rFonts w:ascii="Arial" w:cs="Arial" w:eastAsia="Arial" w:hAnsi="Arial"/>
          <w:sz w:val="22"/>
          <w:szCs w:val="22"/>
        </w:rPr>
        <w:t xml:space="preserve">Worker sign-off: all workers must confirm they have read and understood the relevant SOPs before starting each infection control job — this is not a one-time induction — it must happen before each job</w:t>
      </w:r>
    </w:p>
    <w:p>
      <w:pPr>
        <w:pStyle w:val="ListParagraph"/>
        <w:numPr>
          <w:ilvl w:val="0"/>
          <w:numId w:val="2"/>
        </w:numPr>
        <w:spacing w:after="40" w:before="40"/>
      </w:pPr>
      <w:r>
        <w:rPr>
          <w:rFonts w:ascii="Arial" w:cs="Arial" w:eastAsia="Arial" w:hAnsi="Arial"/>
          <w:sz w:val="22"/>
          <w:szCs w:val="22"/>
        </w:rPr>
        <w:t xml:space="preserve">Post-incident review: every infection control incident, near-miss, or client complaint must trigger an SOP review to determine whether the procedure needs updating</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Store your SOPs in a format that workers can access on their mobile devices during the job — a procedure that requires a worker to stop work and go to the van to find a binder will not be followed consistently.</w:t>
      </w:r>
    </w:p>
    <w:p>
      <w:pPr>
        <w:spacing w:after="0" w:before="60"/>
      </w:pPr>
      <w:r>
        <w:t xml:space="preserve"/>
      </w:r>
    </w:p>
    <w:p>
      <w:pPr>
        <w:spacing w:after="80" w:before="200"/>
      </w:pPr>
      <w:r>
        <w:rPr>
          <w:rFonts w:ascii="Arial" w:cs="Arial" w:eastAsia="Arial" w:hAnsi="Arial"/>
          <w:b/>
          <w:bCs/>
          <w:sz w:val="23"/>
          <w:szCs w:val="23"/>
        </w:rPr>
        <w:t xml:space="preserve">Module 16: Job Safety and Environmental Analysis (JSEA)</w:t>
      </w:r>
    </w:p>
    <w:p>
      <w:pPr>
        <w:pStyle w:val="ListParagraph"/>
        <w:numPr>
          <w:ilvl w:val="0"/>
          <w:numId w:val="2"/>
        </w:numPr>
        <w:spacing w:after="40" w:before="40"/>
      </w:pPr>
      <w:r>
        <w:rPr>
          <w:rFonts w:ascii="Arial" w:cs="Arial" w:eastAsia="Arial" w:hAnsi="Arial"/>
          <w:sz w:val="22"/>
          <w:szCs w:val="22"/>
        </w:rPr>
        <w:t xml:space="preserve">Complete a JSEA before every infection control job — task by task, not just once for the entire project</w:t>
      </w:r>
    </w:p>
    <w:p>
      <w:pPr>
        <w:pStyle w:val="ListParagraph"/>
        <w:numPr>
          <w:ilvl w:val="0"/>
          <w:numId w:val="2"/>
        </w:numPr>
        <w:spacing w:after="40" w:before="40"/>
      </w:pPr>
      <w:r>
        <w:rPr>
          <w:rFonts w:ascii="Arial" w:cs="Arial" w:eastAsia="Arial" w:hAnsi="Arial"/>
          <w:sz w:val="22"/>
          <w:szCs w:val="22"/>
        </w:rPr>
        <w:t xml:space="preserve">Infection control JSEA must include: pathogen type and transmission route, aerosol generation risk from the planned cleaning method, chemical hazards from the disinfectant suite, PPE requirements per task, zone entry and exit procedure, and environmental disposal method for waste water and PPE</w:t>
      </w:r>
    </w:p>
    <w:p>
      <w:pPr>
        <w:pStyle w:val="ListParagraph"/>
        <w:numPr>
          <w:ilvl w:val="0"/>
          <w:numId w:val="2"/>
        </w:numPr>
        <w:spacing w:after="40" w:before="40"/>
      </w:pPr>
      <w:r>
        <w:rPr>
          <w:rFonts w:ascii="Arial" w:cs="Arial" w:eastAsia="Arial" w:hAnsi="Arial"/>
          <w:sz w:val="22"/>
          <w:szCs w:val="22"/>
        </w:rPr>
        <w:t xml:space="preserve">Team consultation in JSEA preparation: all workers performing the task must contribute to and sign the JSEA before starting — this is both a legal requirement and a practical quality step</w:t>
      </w:r>
    </w:p>
    <w:p>
      <w:pPr>
        <w:pStyle w:val="ListParagraph"/>
        <w:numPr>
          <w:ilvl w:val="0"/>
          <w:numId w:val="2"/>
        </w:numPr>
        <w:spacing w:after="40" w:before="40"/>
      </w:pPr>
      <w:r>
        <w:rPr>
          <w:rFonts w:ascii="Arial" w:cs="Arial" w:eastAsia="Arial" w:hAnsi="Arial"/>
          <w:sz w:val="22"/>
          <w:szCs w:val="22"/>
        </w:rPr>
        <w:t xml:space="preserve">JSEA update triggers: discovery of additional contaminated areas, change in identified pathogen, change in cleaning method, any PPE failure or exposure incident, or significant change in environmental conditions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Pre-printed JSEA templates specific to your most common infection control job types will save time in the field and improve consistency. Adapt the template to site-specific conditions before the team signs on — never use a generic, unmodified template.</w:t>
      </w:r>
    </w:p>
    <w:p>
      <w:pPr>
        <w:spacing w:after="0" w:before="60"/>
      </w:pPr>
      <w:r>
        <w:t xml:space="preserve"/>
      </w:r>
    </w:p>
    <w:p>
      <w:pPr>
        <w:spacing w:after="80" w:before="200"/>
      </w:pPr>
      <w:r>
        <w:rPr>
          <w:rFonts w:ascii="Arial" w:cs="Arial" w:eastAsia="Arial" w:hAnsi="Arial"/>
          <w:b/>
          <w:bCs/>
          <w:sz w:val="23"/>
          <w:szCs w:val="23"/>
        </w:rPr>
        <w:t xml:space="preserve">Module 17: Safe Work Method Statements (SWMS)</w:t>
      </w:r>
    </w:p>
    <w:p>
      <w:pPr>
        <w:pStyle w:val="ListParagraph"/>
        <w:numPr>
          <w:ilvl w:val="0"/>
          <w:numId w:val="2"/>
        </w:numPr>
        <w:spacing w:after="40" w:before="40"/>
      </w:pPr>
      <w:r>
        <w:rPr>
          <w:rFonts w:ascii="Arial" w:cs="Arial" w:eastAsia="Arial" w:hAnsi="Arial"/>
          <w:sz w:val="22"/>
          <w:szCs w:val="22"/>
        </w:rPr>
        <w:t xml:space="preserve">A SWMS is required for infection control work that involves high-risk construction work as defined by Model WHS Regulations Schedule 18 — including confined space entry, demolition of contaminated materials, and work near energised electrical services</w:t>
      </w:r>
    </w:p>
    <w:p>
      <w:pPr>
        <w:pStyle w:val="ListParagraph"/>
        <w:numPr>
          <w:ilvl w:val="0"/>
          <w:numId w:val="2"/>
        </w:numPr>
        <w:spacing w:after="40" w:before="40"/>
      </w:pPr>
      <w:r>
        <w:rPr>
          <w:rFonts w:ascii="Arial" w:cs="Arial" w:eastAsia="Arial" w:hAnsi="Arial"/>
          <w:sz w:val="22"/>
          <w:szCs w:val="22"/>
        </w:rPr>
        <w:t xml:space="preserve">For business owners: review your standard infection control jobs against Schedule 18 and determine which job types require a SWMS as a standing requirement — do not make this determination on the fly at each job</w:t>
      </w:r>
    </w:p>
    <w:p>
      <w:pPr>
        <w:pStyle w:val="ListParagraph"/>
        <w:numPr>
          <w:ilvl w:val="0"/>
          <w:numId w:val="2"/>
        </w:numPr>
        <w:spacing w:after="40" w:before="40"/>
      </w:pPr>
      <w:r>
        <w:rPr>
          <w:rFonts w:ascii="Arial" w:cs="Arial" w:eastAsia="Arial" w:hAnsi="Arial"/>
          <w:sz w:val="22"/>
          <w:szCs w:val="22"/>
        </w:rPr>
        <w:t xml:space="preserve">Content specific to infection control: the SWMS must include containment procedures, decontamination chamber setup, waste removal and disposal method, clearance verification protocol, and re-entry conditions</w:t>
      </w:r>
    </w:p>
    <w:p>
      <w:pPr>
        <w:pStyle w:val="ListParagraph"/>
        <w:numPr>
          <w:ilvl w:val="0"/>
          <w:numId w:val="2"/>
        </w:numPr>
        <w:spacing w:after="40" w:before="40"/>
      </w:pPr>
      <w:r>
        <w:rPr>
          <w:rFonts w:ascii="Arial" w:cs="Arial" w:eastAsia="Arial" w:hAnsi="Arial"/>
          <w:sz w:val="22"/>
          <w:szCs w:val="22"/>
        </w:rPr>
        <w:t xml:space="preserve">Client-site requirements: some principal contractors and building managers require a SWMS to be submitted and approved before any infection control work begins — confirm this requirement during the pre-job briefing</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r.291: The SWMS must be prepared before high-risk construction work commences. A retroactively prepared SWMS provides no legal protection and, if discovered, constitutes evidence of a compliance failure.</w:t>
      </w:r>
    </w:p>
    <w:p>
      <w:pPr>
        <w:spacing w:after="0" w:before="60"/>
      </w:pPr>
      <w:r>
        <w:t xml:space="preserve"/>
      </w:r>
    </w:p>
    <w:p>
      <w:pPr>
        <w:spacing w:after="80" w:before="200"/>
      </w:pPr>
      <w:r>
        <w:rPr>
          <w:rFonts w:ascii="Arial" w:cs="Arial" w:eastAsia="Arial" w:hAnsi="Arial"/>
          <w:b/>
          <w:bCs/>
          <w:sz w:val="23"/>
          <w:szCs w:val="23"/>
        </w:rPr>
        <w:t xml:space="preserve">Module 18: ATP Terminology</w:t>
      </w:r>
    </w:p>
    <w:p>
      <w:pPr>
        <w:pStyle w:val="ListParagraph"/>
        <w:numPr>
          <w:ilvl w:val="0"/>
          <w:numId w:val="2"/>
        </w:numPr>
        <w:spacing w:after="40" w:before="40"/>
      </w:pPr>
      <w:r>
        <w:rPr>
          <w:rFonts w:ascii="Arial" w:cs="Arial" w:eastAsia="Arial" w:hAnsi="Arial"/>
          <w:sz w:val="22"/>
          <w:szCs w:val="22"/>
        </w:rPr>
        <w:t xml:space="preserve">ATP (adenosine triphosphate): energy molecule present in all living cells — its presence on a surface after cleaning indicates incomplete removal of biological material</w:t>
      </w:r>
    </w:p>
    <w:p>
      <w:pPr>
        <w:pStyle w:val="ListParagraph"/>
        <w:numPr>
          <w:ilvl w:val="0"/>
          <w:numId w:val="2"/>
        </w:numPr>
        <w:spacing w:after="40" w:before="40"/>
      </w:pPr>
      <w:r>
        <w:rPr>
          <w:rFonts w:ascii="Arial" w:cs="Arial" w:eastAsia="Arial" w:hAnsi="Arial"/>
          <w:sz w:val="22"/>
          <w:szCs w:val="22"/>
        </w:rPr>
        <w:t xml:space="preserve">RLU (Relative Light Units): the measurement unit produced by an ATP meter — quantifies the bioluminescent reaction between ATP and the luciferin-luciferase reagent</w:t>
      </w:r>
    </w:p>
    <w:p>
      <w:pPr>
        <w:pStyle w:val="ListParagraph"/>
        <w:numPr>
          <w:ilvl w:val="0"/>
          <w:numId w:val="2"/>
        </w:numPr>
        <w:spacing w:after="40" w:before="40"/>
      </w:pPr>
      <w:r>
        <w:rPr>
          <w:rFonts w:ascii="Arial" w:cs="Arial" w:eastAsia="Arial" w:hAnsi="Arial"/>
          <w:sz w:val="22"/>
          <w:szCs w:val="22"/>
        </w:rPr>
        <w:t xml:space="preserve">Pass threshold: the maximum acceptable RLU for a given surface type and risk category — must be defined in your ATP protocol before testing commences, not determined post-hoc</w:t>
      </w:r>
    </w:p>
    <w:p>
      <w:pPr>
        <w:pStyle w:val="ListParagraph"/>
        <w:numPr>
          <w:ilvl w:val="0"/>
          <w:numId w:val="2"/>
        </w:numPr>
        <w:spacing w:after="40" w:before="40"/>
      </w:pPr>
      <w:r>
        <w:rPr>
          <w:rFonts w:ascii="Arial" w:cs="Arial" w:eastAsia="Arial" w:hAnsi="Arial"/>
          <w:sz w:val="22"/>
          <w:szCs w:val="22"/>
        </w:rPr>
        <w:t xml:space="preserve">Fail response: documented in the ATP protocol — specifies the required reclean method and re-test procedure when a surface fails to meet the pass threshold</w:t>
      </w:r>
    </w:p>
    <w:p>
      <w:pPr>
        <w:pStyle w:val="ListParagraph"/>
        <w:numPr>
          <w:ilvl w:val="0"/>
          <w:numId w:val="2"/>
        </w:numPr>
        <w:spacing w:after="40" w:before="40"/>
      </w:pPr>
      <w:r>
        <w:rPr>
          <w:rFonts w:ascii="Arial" w:cs="Arial" w:eastAsia="Arial" w:hAnsi="Arial"/>
          <w:sz w:val="22"/>
          <w:szCs w:val="22"/>
        </w:rPr>
        <w:t xml:space="preserve">ATP meter calibration: must be verified per manufacturer schedule — out-of-calibration meters produce data that cannot be used for professional verification or client reporting</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As a business owner, select a single ATP meter platform and stick with it across your fleet. Using multiple different ATP meter brands with different RLU scales makes trending data and threshold-setting impossible — you cannot compare results meaningfully across different platforms.</w:t>
      </w:r>
    </w:p>
    <w:p>
      <w:pPr>
        <w:spacing w:after="0" w:before="60"/>
      </w:pPr>
      <w:r>
        <w:t xml:space="preserve"/>
      </w:r>
    </w:p>
    <w:p>
      <w:pPr>
        <w:spacing w:after="80" w:before="200"/>
      </w:pPr>
      <w:r>
        <w:rPr>
          <w:rFonts w:ascii="Arial" w:cs="Arial" w:eastAsia="Arial" w:hAnsi="Arial"/>
          <w:b/>
          <w:bCs/>
          <w:sz w:val="23"/>
          <w:szCs w:val="23"/>
        </w:rPr>
        <w:t xml:space="preserve">Module 19: Hygiene Monitoring</w:t>
      </w:r>
    </w:p>
    <w:p>
      <w:pPr>
        <w:spacing w:after="60" w:before="60"/>
      </w:pPr>
      <w:r>
        <w:rPr>
          <w:rFonts w:ascii="Arial" w:cs="Arial" w:eastAsia="Arial" w:hAnsi="Arial"/>
          <w:sz w:val="22"/>
          <w:szCs w:val="22"/>
        </w:rPr>
        <w:t xml:space="preserve">Hygiene monitoring is the structured, ongoing measurement of surface cleanliness using ATP bioluminescence testing to verify that cleaning and disinfection processes are achieving their intended outcome consistently.</w:t>
      </w:r>
    </w:p>
    <w:p>
      <w:pPr>
        <w:pStyle w:val="ListParagraph"/>
        <w:numPr>
          <w:ilvl w:val="0"/>
          <w:numId w:val="2"/>
        </w:numPr>
        <w:spacing w:after="40" w:before="40"/>
      </w:pPr>
      <w:r>
        <w:rPr>
          <w:rFonts w:ascii="Arial" w:cs="Arial" w:eastAsia="Arial" w:hAnsi="Arial"/>
          <w:sz w:val="22"/>
          <w:szCs w:val="22"/>
        </w:rPr>
        <w:t xml:space="preserve">Pre-clean baseline: test high-touch surfaces before cleaning to document the hygiene deficit — this data supports the business case for your service and provides context for post-clean results</w:t>
      </w:r>
    </w:p>
    <w:p>
      <w:pPr>
        <w:pStyle w:val="ListParagraph"/>
        <w:numPr>
          <w:ilvl w:val="0"/>
          <w:numId w:val="2"/>
        </w:numPr>
        <w:spacing w:after="40" w:before="40"/>
      </w:pPr>
      <w:r>
        <w:rPr>
          <w:rFonts w:ascii="Arial" w:cs="Arial" w:eastAsia="Arial" w:hAnsi="Arial"/>
          <w:sz w:val="22"/>
          <w:szCs w:val="22"/>
        </w:rPr>
        <w:t xml:space="preserve">Post-clean verification: test after cleaning and disinfection to confirm the process achieved the required standard — this is your primary service quality measure and your primary liability protection</w:t>
      </w:r>
    </w:p>
    <w:p>
      <w:pPr>
        <w:pStyle w:val="ListParagraph"/>
        <w:numPr>
          <w:ilvl w:val="0"/>
          <w:numId w:val="2"/>
        </w:numPr>
        <w:spacing w:after="40" w:before="40"/>
      </w:pPr>
      <w:r>
        <w:rPr>
          <w:rFonts w:ascii="Arial" w:cs="Arial" w:eastAsia="Arial" w:hAnsi="Arial"/>
          <w:sz w:val="22"/>
          <w:szCs w:val="22"/>
        </w:rPr>
        <w:t xml:space="preserve">Trending analysis: collect ATP data over multiple cleaning cycles to identify surfaces that consistently underperform — this intelligence informs process improvement and equipment maintenance decisions</w:t>
      </w:r>
    </w:p>
    <w:p>
      <w:pPr>
        <w:pStyle w:val="ListParagraph"/>
        <w:numPr>
          <w:ilvl w:val="0"/>
          <w:numId w:val="2"/>
        </w:numPr>
        <w:spacing w:after="40" w:before="40"/>
      </w:pPr>
      <w:r>
        <w:rPr>
          <w:rFonts w:ascii="Arial" w:cs="Arial" w:eastAsia="Arial" w:hAnsi="Arial"/>
          <w:sz w:val="22"/>
          <w:szCs w:val="22"/>
        </w:rPr>
        <w:t xml:space="preserve">Client reporting: provide clients with a written hygiene monitoring report after every service — include: surfaces tested, pre-clean RLU, post-clean RLU, pass or fail status, and action taken on any fails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A hygiene monitoring report that shows consistent pass results across multiple cleaning cycles is a powerful client retention tool and a significant competitive differentiator. Build this data collection into every infection control service you deliver — not just initial or one-off jobs.</w:t>
      </w:r>
    </w:p>
    <w:p>
      <w:pPr>
        <w:spacing w:after="0" w:before="60"/>
      </w:pPr>
      <w:r>
        <w:t xml:space="preserve"/>
      </w:r>
    </w:p>
    <w:p>
      <w:pPr>
        <w:spacing w:after="80" w:before="200"/>
      </w:pPr>
      <w:r>
        <w:rPr>
          <w:rFonts w:ascii="Arial" w:cs="Arial" w:eastAsia="Arial" w:hAnsi="Arial"/>
          <w:b/>
          <w:bCs/>
          <w:sz w:val="23"/>
          <w:szCs w:val="23"/>
        </w:rPr>
        <w:t xml:space="preserve">Module 20: ATP and Protocols</w:t>
      </w:r>
    </w:p>
    <w:p>
      <w:pPr>
        <w:spacing w:after="60" w:before="60"/>
      </w:pPr>
      <w:r>
        <w:rPr>
          <w:rFonts w:ascii="Arial" w:cs="Arial" w:eastAsia="Arial" w:hAnsi="Arial"/>
          <w:sz w:val="22"/>
          <w:szCs w:val="22"/>
        </w:rPr>
        <w:t xml:space="preserve">An ATP protocol is the written framework that governs how hygiene monitoring is conducted, interpreted, and acted upon in your business. Without a protocol, ATP testing produces data that cannot be used for verification, client reporting, or continuous improvement.</w:t>
      </w:r>
    </w:p>
    <w:p>
      <w:pPr>
        <w:pStyle w:val="ListParagraph"/>
        <w:numPr>
          <w:ilvl w:val="0"/>
          <w:numId w:val="2"/>
        </w:numPr>
        <w:spacing w:after="40" w:before="40"/>
      </w:pPr>
      <w:r>
        <w:rPr>
          <w:rFonts w:ascii="Arial" w:cs="Arial" w:eastAsia="Arial" w:hAnsi="Arial"/>
          <w:sz w:val="22"/>
          <w:szCs w:val="22"/>
        </w:rPr>
        <w:t xml:space="preserve">Protocol components: surfaces and zones included, swab technique and sample area size, pass and fail RLU thresholds per surface category, action required on a fail, re-test procedure, data recording method, report format, and calibration schedule for equipment</w:t>
      </w:r>
    </w:p>
    <w:p>
      <w:pPr>
        <w:pStyle w:val="ListParagraph"/>
        <w:numPr>
          <w:ilvl w:val="0"/>
          <w:numId w:val="2"/>
        </w:numPr>
        <w:spacing w:after="40" w:before="40"/>
      </w:pPr>
      <w:r>
        <w:rPr>
          <w:rFonts w:ascii="Arial" w:cs="Arial" w:eastAsia="Arial" w:hAnsi="Arial"/>
          <w:sz w:val="22"/>
          <w:szCs w:val="22"/>
        </w:rPr>
        <w:t xml:space="preserve">Protocol validation: when setting thresholds for a new client site or surface type, collect baseline data over at least three cleaning cycles before fixing a threshold — single-point data is not statistically reliable</w:t>
      </w:r>
    </w:p>
    <w:p>
      <w:pPr>
        <w:pStyle w:val="ListParagraph"/>
        <w:numPr>
          <w:ilvl w:val="0"/>
          <w:numId w:val="2"/>
        </w:numPr>
        <w:spacing w:after="40" w:before="40"/>
      </w:pPr>
      <w:r>
        <w:rPr>
          <w:rFonts w:ascii="Arial" w:cs="Arial" w:eastAsia="Arial" w:hAnsi="Arial"/>
          <w:sz w:val="22"/>
          <w:szCs w:val="22"/>
        </w:rPr>
        <w:t xml:space="preserve">Protocol review: review your ATP protocols annually and after any service failure, client complaint, or change in cleaning chemistry that may affect baseline RLU values</w:t>
      </w:r>
    </w:p>
    <w:p>
      <w:pPr>
        <w:pStyle w:val="ListParagraph"/>
        <w:numPr>
          <w:ilvl w:val="0"/>
          <w:numId w:val="2"/>
        </w:numPr>
        <w:spacing w:after="40" w:before="40"/>
      </w:pPr>
      <w:r>
        <w:rPr>
          <w:rFonts w:ascii="Arial" w:cs="Arial" w:eastAsia="Arial" w:hAnsi="Arial"/>
          <w:sz w:val="22"/>
          <w:szCs w:val="22"/>
        </w:rPr>
        <w:t xml:space="preserve">Sector-specific protocols: aged care, healthcare, childcare, and food preparation each have specific hygiene monitoring requirements under their applicable Australian Standard or regulatory framework — a single generic protocol is not sufficient across these sectors</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If your business provides infection control services to regulated sectors such as aged care (Aged Care Quality Standards) or childcare (National Quality Standards): your ATP protocol and monitoring records may be reviewed by the relevant regulator. Ensure your protocol meets the specific requirements of each regulated sector you service.</w:t>
      </w:r>
    </w:p>
    <w:p>
      <w:r>
        <w:br w:type="page"/>
      </w:r>
    </w:p>
    <w:p>
      <w:pPr>
        <w:pStyle w:val="Heading1"/>
        <w:spacing w:after="120" w:before="400"/>
      </w:pPr>
      <w:r>
        <w:rPr>
          <w:rFonts w:ascii="Arial" w:cs="Arial" w:eastAsia="Arial" w:hAnsi="Arial"/>
          <w:b/>
          <w:bCs/>
          <w:sz w:val="28"/>
          <w:szCs w:val="28"/>
        </w:rPr>
        <w:t xml:space="preserve">Course 76: Infection Control in Child Care</w:t>
      </w:r>
    </w:p>
    <w:p>
      <w:pPr>
        <w:spacing w:after="60" w:before="60"/>
      </w:pPr>
      <w:r>
        <w:rPr>
          <w:rFonts w:ascii="Arial" w:cs="Arial" w:eastAsia="Arial" w:hAnsi="Arial"/>
          <w:sz w:val="22"/>
          <w:szCs w:val="22"/>
        </w:rPr>
        <w:t xml:space="preserve">Price: AUD $99  |  Status: Published  |  Modules: 20</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Course Overview: Childcare environments present unique infection control challenges — young children have immature immune systems, engage in high-contact behaviour, share toys and surfaces continuously, and are legally protected by strict regulatory requirements under the National Quality Framework. This course provides cleaning professionals with the specific knowledge, protocols, and practical skills needed to deliver compliant, effective infection control in childcare settings in Australia.</w:t>
      </w:r>
    </w:p>
    <w:p>
      <w:pPr>
        <w:spacing w:after="0" w:before="60"/>
      </w:pPr>
      <w:r>
        <w:t xml:space="preserve"/>
      </w:r>
    </w:p>
    <w:p>
      <w:pPr>
        <w:spacing w:after="80" w:before="200"/>
      </w:pPr>
      <w:r>
        <w:rPr>
          <w:rFonts w:ascii="Arial" w:cs="Arial" w:eastAsia="Arial" w:hAnsi="Arial"/>
          <w:b/>
          <w:bCs/>
          <w:sz w:val="23"/>
          <w:szCs w:val="23"/>
        </w:rPr>
        <w:t xml:space="preserve">Module 1: Virus Facts</w:t>
      </w:r>
    </w:p>
    <w:p>
      <w:pPr>
        <w:pStyle w:val="ListParagraph"/>
        <w:numPr>
          <w:ilvl w:val="0"/>
          <w:numId w:val="2"/>
        </w:numPr>
        <w:spacing w:after="40" w:before="40"/>
      </w:pPr>
      <w:r>
        <w:rPr>
          <w:rFonts w:ascii="Arial" w:cs="Arial" w:eastAsia="Arial" w:hAnsi="Arial"/>
          <w:sz w:val="22"/>
          <w:szCs w:val="22"/>
        </w:rPr>
        <w:t xml:space="preserve">Children are disproportionately affected by common respiratory and gastrointestinal viruses due to immature immune systems and close-contact behaviour patterns</w:t>
      </w:r>
    </w:p>
    <w:p>
      <w:pPr>
        <w:pStyle w:val="ListParagraph"/>
        <w:numPr>
          <w:ilvl w:val="0"/>
          <w:numId w:val="2"/>
        </w:numPr>
        <w:spacing w:after="40" w:before="40"/>
      </w:pPr>
      <w:r>
        <w:rPr>
          <w:rFonts w:ascii="Arial" w:cs="Arial" w:eastAsia="Arial" w:hAnsi="Arial"/>
          <w:sz w:val="22"/>
          <w:szCs w:val="22"/>
        </w:rPr>
        <w:t xml:space="preserve">Most common childcare-associated viruses: respiratory syncytial virus (RSV), influenza, adenovirus, rhinovirus, and norovirus — each has different environmental survival times and disinfectant susceptibility profiles</w:t>
      </w:r>
    </w:p>
    <w:p>
      <w:pPr>
        <w:pStyle w:val="ListParagraph"/>
        <w:numPr>
          <w:ilvl w:val="0"/>
          <w:numId w:val="2"/>
        </w:numPr>
        <w:spacing w:after="40" w:before="40"/>
      </w:pPr>
      <w:r>
        <w:rPr>
          <w:rFonts w:ascii="Arial" w:cs="Arial" w:eastAsia="Arial" w:hAnsi="Arial"/>
          <w:sz w:val="22"/>
          <w:szCs w:val="22"/>
        </w:rPr>
        <w:t xml:space="preserve">Norovirus is of particular concern in childcare: highly contagious (infectious dose as low as 18 viral particles), resistant to many common disinfectants, stable on surfaces for days to weeks, and spread by vomiting events that create large contamination zones</w:t>
      </w:r>
    </w:p>
    <w:p>
      <w:pPr>
        <w:pStyle w:val="ListParagraph"/>
        <w:numPr>
          <w:ilvl w:val="0"/>
          <w:numId w:val="2"/>
        </w:numPr>
        <w:spacing w:after="40" w:before="40"/>
      </w:pPr>
      <w:r>
        <w:rPr>
          <w:rFonts w:ascii="Arial" w:cs="Arial" w:eastAsia="Arial" w:hAnsi="Arial"/>
          <w:sz w:val="22"/>
          <w:szCs w:val="22"/>
        </w:rPr>
        <w:t xml:space="preserve">Vaccine-preventable viruses including varicella and measles: immunisation records are legally required for children and staff in childcare under the No Jab No Pay and No Jab No Play frameworks — cleaning after a confirmed case requires specific protocol</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National Health and Medical Research Council (NHMRC) Staying Healthy — Preventing Infectious Diseases in Early Childhood Education and Care Settings (5th edition): the authoritative reference for infection control in Australian childcare. All cleaning protocols should align with this document.</w:t>
      </w:r>
    </w:p>
    <w:p>
      <w:pPr>
        <w:spacing w:after="0" w:before="60"/>
      </w:pPr>
      <w:r>
        <w:t xml:space="preserve"/>
      </w:r>
    </w:p>
    <w:p>
      <w:pPr>
        <w:spacing w:after="80" w:before="200"/>
      </w:pPr>
      <w:r>
        <w:rPr>
          <w:rFonts w:ascii="Arial" w:cs="Arial" w:eastAsia="Arial" w:hAnsi="Arial"/>
          <w:b/>
          <w:bCs/>
          <w:sz w:val="23"/>
          <w:szCs w:val="23"/>
        </w:rPr>
        <w:t xml:space="preserve">Module 2: Bacteria and Modes of Transmission</w:t>
      </w:r>
    </w:p>
    <w:p>
      <w:pPr>
        <w:pStyle w:val="ListParagraph"/>
        <w:numPr>
          <w:ilvl w:val="0"/>
          <w:numId w:val="2"/>
        </w:numPr>
        <w:spacing w:after="40" w:before="40"/>
      </w:pPr>
      <w:r>
        <w:rPr>
          <w:rFonts w:ascii="Arial" w:cs="Arial" w:eastAsia="Arial" w:hAnsi="Arial"/>
          <w:sz w:val="22"/>
          <w:szCs w:val="22"/>
        </w:rPr>
        <w:t xml:space="preserve">Common bacteria in childcare: Staphylococcus aureus (including MRSA), Group A Streptococcus (golden staph, impetigo), E. coli, and Salmonella from food preparation areas</w:t>
      </w:r>
    </w:p>
    <w:p>
      <w:pPr>
        <w:pStyle w:val="ListParagraph"/>
        <w:numPr>
          <w:ilvl w:val="0"/>
          <w:numId w:val="2"/>
        </w:numPr>
        <w:spacing w:after="40" w:before="40"/>
      </w:pPr>
      <w:r>
        <w:rPr>
          <w:rFonts w:ascii="Arial" w:cs="Arial" w:eastAsia="Arial" w:hAnsi="Arial"/>
          <w:sz w:val="22"/>
          <w:szCs w:val="22"/>
        </w:rPr>
        <w:t xml:space="preserve">Transmission is primarily via hands and fomites (contaminated surfaces, toys, and shared objects) — hand hygiene and surface disinfection are the primary control measures</w:t>
      </w:r>
    </w:p>
    <w:p>
      <w:pPr>
        <w:pStyle w:val="ListParagraph"/>
        <w:numPr>
          <w:ilvl w:val="0"/>
          <w:numId w:val="2"/>
        </w:numPr>
        <w:spacing w:after="40" w:before="40"/>
      </w:pPr>
      <w:r>
        <w:rPr>
          <w:rFonts w:ascii="Arial" w:cs="Arial" w:eastAsia="Arial" w:hAnsi="Arial"/>
          <w:sz w:val="22"/>
          <w:szCs w:val="22"/>
        </w:rPr>
        <w:t xml:space="preserve">Faecal-oral transmission is common in nappy-change areas — this route drives E. coli, Salmonella, hepatitis A, and norovirus spread in childcare settings</w:t>
      </w:r>
    </w:p>
    <w:p>
      <w:pPr>
        <w:pStyle w:val="ListParagraph"/>
        <w:numPr>
          <w:ilvl w:val="0"/>
          <w:numId w:val="2"/>
        </w:numPr>
        <w:spacing w:after="40" w:before="40"/>
      </w:pPr>
      <w:r>
        <w:rPr>
          <w:rFonts w:ascii="Arial" w:cs="Arial" w:eastAsia="Arial" w:hAnsi="Arial"/>
          <w:sz w:val="22"/>
          <w:szCs w:val="22"/>
        </w:rPr>
        <w:t xml:space="preserve">Skin-to-skin transmission for conditions such as impetigo and ringworm — contaminated soft surfaces (mats, blankets, dress-up clothes) are common fomites</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Pay particular attention to nappy change benches, handwashing sinks, and the surrounding touch surfaces during every infection control clean. These areas have the highest biological load in most childcare centres and must be cleaned and disinfected at every nappy change cycle, not just during scheduled cleans.</w:t>
      </w:r>
    </w:p>
    <w:p>
      <w:pPr>
        <w:spacing w:after="0" w:before="60"/>
      </w:pPr>
      <w:r>
        <w:t xml:space="preserve"/>
      </w:r>
    </w:p>
    <w:p>
      <w:pPr>
        <w:spacing w:after="80" w:before="200"/>
      </w:pPr>
      <w:r>
        <w:rPr>
          <w:rFonts w:ascii="Arial" w:cs="Arial" w:eastAsia="Arial" w:hAnsi="Arial"/>
          <w:b/>
          <w:bCs/>
          <w:sz w:val="23"/>
          <w:szCs w:val="23"/>
        </w:rPr>
        <w:t xml:space="preserve">Module 3: Cleaning and Disinfecting for Health</w:t>
      </w:r>
    </w:p>
    <w:p>
      <w:pPr>
        <w:pStyle w:val="ListParagraph"/>
        <w:numPr>
          <w:ilvl w:val="0"/>
          <w:numId w:val="2"/>
        </w:numPr>
        <w:spacing w:after="40" w:before="40"/>
      </w:pPr>
      <w:r>
        <w:rPr>
          <w:rFonts w:ascii="Arial" w:cs="Arial" w:eastAsia="Arial" w:hAnsi="Arial"/>
          <w:sz w:val="22"/>
          <w:szCs w:val="22"/>
        </w:rPr>
        <w:t xml:space="preserve">Two-stage process: always clean physically first, then disinfect — organic matter from children's hands, food residue, and biological fluids neutralises disinfectants before they can act on pathogens</w:t>
      </w:r>
    </w:p>
    <w:p>
      <w:pPr>
        <w:pStyle w:val="ListParagraph"/>
        <w:numPr>
          <w:ilvl w:val="0"/>
          <w:numId w:val="2"/>
        </w:numPr>
        <w:spacing w:after="40" w:before="40"/>
      </w:pPr>
      <w:r>
        <w:rPr>
          <w:rFonts w:ascii="Arial" w:cs="Arial" w:eastAsia="Arial" w:hAnsi="Arial"/>
          <w:sz w:val="22"/>
          <w:szCs w:val="22"/>
        </w:rPr>
        <w:t xml:space="preserve">Disinfectant selection for childcare: must be TGA-listed, effective against the target pathogens, and safe for use in environments occupied by young children — avoid high-concentration bleach products in areas with poor ventilation</w:t>
      </w:r>
    </w:p>
    <w:p>
      <w:pPr>
        <w:pStyle w:val="ListParagraph"/>
        <w:numPr>
          <w:ilvl w:val="0"/>
          <w:numId w:val="2"/>
        </w:numPr>
        <w:spacing w:after="40" w:before="40"/>
      </w:pPr>
      <w:r>
        <w:rPr>
          <w:rFonts w:ascii="Arial" w:cs="Arial" w:eastAsia="Arial" w:hAnsi="Arial"/>
          <w:sz w:val="22"/>
          <w:szCs w:val="22"/>
        </w:rPr>
        <w:t xml:space="preserve">Dilution accuracy: always measure disinfectant concentrations accurately — overconcentration creates chemical hazard for children and staff; underconcentration fails to achieve pathogen kill</w:t>
      </w:r>
    </w:p>
    <w:p>
      <w:pPr>
        <w:pStyle w:val="ListParagraph"/>
        <w:numPr>
          <w:ilvl w:val="0"/>
          <w:numId w:val="2"/>
        </w:numPr>
        <w:spacing w:after="40" w:before="40"/>
      </w:pPr>
      <w:r>
        <w:rPr>
          <w:rFonts w:ascii="Arial" w:cs="Arial" w:eastAsia="Arial" w:hAnsi="Arial"/>
          <w:sz w:val="22"/>
          <w:szCs w:val="22"/>
        </w:rPr>
        <w:t xml:space="preserve">Rinse protocol: some disinfectants require a water rinse after the dwell time before surfaces are accessible to children — check the product label and SDS before use in child-accessible areas</w:t>
      </w:r>
    </w:p>
    <w:p>
      <w:pPr>
        <w:pStyle w:val="ListParagraph"/>
        <w:numPr>
          <w:ilvl w:val="0"/>
          <w:numId w:val="2"/>
        </w:numPr>
        <w:spacing w:after="40" w:before="40"/>
      </w:pPr>
      <w:r>
        <w:rPr>
          <w:rFonts w:ascii="Arial" w:cs="Arial" w:eastAsia="Arial" w:hAnsi="Arial"/>
          <w:sz w:val="22"/>
          <w:szCs w:val="22"/>
        </w:rPr>
        <w:t xml:space="preserve">Post-disinfection ventilation: allow adequate fresh air exchange after disinfectant application in poorly ventilated areas before children re-enter the space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National Quality Standard Element 2.1.3 requires that all premises, furniture, and equipment are safe, clean, and well-maintained. A childcare cleaning service that cannot demonstrate documented protocols and verification testing is not meeting this standard.</w:t>
      </w:r>
    </w:p>
    <w:p>
      <w:pPr>
        <w:spacing w:after="0" w:before="60"/>
      </w:pPr>
      <w:r>
        <w:t xml:space="preserve"/>
      </w:r>
    </w:p>
    <w:p>
      <w:pPr>
        <w:spacing w:after="80" w:before="200"/>
      </w:pPr>
      <w:r>
        <w:rPr>
          <w:rFonts w:ascii="Arial" w:cs="Arial" w:eastAsia="Arial" w:hAnsi="Arial"/>
          <w:b/>
          <w:bCs/>
          <w:sz w:val="23"/>
          <w:szCs w:val="23"/>
        </w:rPr>
        <w:t xml:space="preserve">Module 4: Cross Contamination</w:t>
      </w:r>
    </w:p>
    <w:p>
      <w:pPr>
        <w:pStyle w:val="ListParagraph"/>
        <w:numPr>
          <w:ilvl w:val="0"/>
          <w:numId w:val="2"/>
        </w:numPr>
        <w:spacing w:after="40" w:before="40"/>
      </w:pPr>
      <w:r>
        <w:rPr>
          <w:rFonts w:ascii="Arial" w:cs="Arial" w:eastAsia="Arial" w:hAnsi="Arial"/>
          <w:sz w:val="22"/>
          <w:szCs w:val="22"/>
        </w:rPr>
        <w:t xml:space="preserve">In childcare, cross-contamination most commonly occurs via: unwashed hands touching food, toys, or other children, contaminated cloths or mop heads transferred between areas, shared toys that move between the sick and well areas, and nappy change surfaces not fully disinfected between each use</w:t>
      </w:r>
    </w:p>
    <w:p>
      <w:pPr>
        <w:pStyle w:val="ListParagraph"/>
        <w:numPr>
          <w:ilvl w:val="0"/>
          <w:numId w:val="2"/>
        </w:numPr>
        <w:spacing w:after="40" w:before="40"/>
      </w:pPr>
      <w:r>
        <w:rPr>
          <w:rFonts w:ascii="Arial" w:cs="Arial" w:eastAsia="Arial" w:hAnsi="Arial"/>
          <w:sz w:val="22"/>
          <w:szCs w:val="22"/>
        </w:rPr>
        <w:t xml:space="preserve">Toy management during an outbreak: remove all shared toys from the affected area, clean and disinfect each individually, and do not return until the outbreak is resolved — soft toys that cannot be effectively disinfected must be removed</w:t>
      </w:r>
    </w:p>
    <w:p>
      <w:pPr>
        <w:pStyle w:val="ListParagraph"/>
        <w:numPr>
          <w:ilvl w:val="0"/>
          <w:numId w:val="2"/>
        </w:numPr>
        <w:spacing w:after="40" w:before="40"/>
      </w:pPr>
      <w:r>
        <w:rPr>
          <w:rFonts w:ascii="Arial" w:cs="Arial" w:eastAsia="Arial" w:hAnsi="Arial"/>
          <w:sz w:val="22"/>
          <w:szCs w:val="22"/>
        </w:rPr>
        <w:t xml:space="preserve">Colour-coded equipment: assign and label colour-coded cloths, buckets, and mop heads for kitchen, bathroom, nappy change, and general areas — enforce the system with every cleaning staff member</w:t>
      </w:r>
    </w:p>
    <w:p>
      <w:pPr>
        <w:pStyle w:val="ListParagraph"/>
        <w:numPr>
          <w:ilvl w:val="0"/>
          <w:numId w:val="2"/>
        </w:numPr>
        <w:spacing w:after="40" w:before="40"/>
      </w:pPr>
      <w:r>
        <w:rPr>
          <w:rFonts w:ascii="Arial" w:cs="Arial" w:eastAsia="Arial" w:hAnsi="Arial"/>
          <w:sz w:val="22"/>
          <w:szCs w:val="22"/>
        </w:rPr>
        <w:t xml:space="preserve">Sick bay management: the sick bay or isolation area must be cleaned and disinfected as a high-risk zone each time it is used — do not allow cleaning cloths or mop heads used in the sick bay to be used in any other area without full decontamination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Prepare a cross-contamination prevention checklist specific to the childcare centre layout and share it with all cleaning staff and childcare educators. Cross-contamination in childcare is most commonly caused by good-faith procedural errors — clear, visible reminders prevent the majority of incidents.</w:t>
      </w:r>
    </w:p>
    <w:p>
      <w:pPr>
        <w:spacing w:after="0" w:before="60"/>
      </w:pPr>
      <w:r>
        <w:t xml:space="preserve"/>
      </w:r>
    </w:p>
    <w:p>
      <w:pPr>
        <w:spacing w:after="80" w:before="200"/>
      </w:pPr>
      <w:r>
        <w:rPr>
          <w:rFonts w:ascii="Arial" w:cs="Arial" w:eastAsia="Arial" w:hAnsi="Arial"/>
          <w:b/>
          <w:bCs/>
          <w:sz w:val="23"/>
          <w:szCs w:val="23"/>
        </w:rPr>
        <w:t xml:space="preserve">Module 5: Hygiene Practices</w:t>
      </w:r>
    </w:p>
    <w:p>
      <w:pPr>
        <w:pStyle w:val="ListParagraph"/>
        <w:numPr>
          <w:ilvl w:val="0"/>
          <w:numId w:val="2"/>
        </w:numPr>
        <w:spacing w:after="40" w:before="40"/>
      </w:pPr>
      <w:r>
        <w:rPr>
          <w:rFonts w:ascii="Arial" w:cs="Arial" w:eastAsia="Arial" w:hAnsi="Arial"/>
          <w:sz w:val="22"/>
          <w:szCs w:val="22"/>
        </w:rPr>
        <w:t xml:space="preserve">Hand hygiene is the most important infection control practice in childcare — for cleaning staff, educators, and children alike</w:t>
      </w:r>
    </w:p>
    <w:p>
      <w:pPr>
        <w:pStyle w:val="ListParagraph"/>
        <w:numPr>
          <w:ilvl w:val="0"/>
          <w:numId w:val="2"/>
        </w:numPr>
        <w:spacing w:after="40" w:before="40"/>
      </w:pPr>
      <w:r>
        <w:rPr>
          <w:rFonts w:ascii="Arial" w:cs="Arial" w:eastAsia="Arial" w:hAnsi="Arial"/>
          <w:sz w:val="22"/>
          <w:szCs w:val="22"/>
        </w:rPr>
        <w:t xml:space="preserve">Cleaning staff hand hygiene moments: before entering a food preparation area, after handling contaminated materials, after removing gloves, after cleaning a nappy change area, and before leaving site</w:t>
      </w:r>
    </w:p>
    <w:p>
      <w:pPr>
        <w:pStyle w:val="ListParagraph"/>
        <w:numPr>
          <w:ilvl w:val="0"/>
          <w:numId w:val="2"/>
        </w:numPr>
        <w:spacing w:after="40" w:before="40"/>
      </w:pPr>
      <w:r>
        <w:rPr>
          <w:rFonts w:ascii="Arial" w:cs="Arial" w:eastAsia="Arial" w:hAnsi="Arial"/>
          <w:sz w:val="22"/>
          <w:szCs w:val="22"/>
        </w:rPr>
        <w:t xml:space="preserve">Model hand hygiene for children: cleaning staff should demonstrate correct hand washing technique when children are present — this is a positive public health behaviour</w:t>
      </w:r>
    </w:p>
    <w:p>
      <w:pPr>
        <w:pStyle w:val="ListParagraph"/>
        <w:numPr>
          <w:ilvl w:val="0"/>
          <w:numId w:val="2"/>
        </w:numPr>
        <w:spacing w:after="40" w:before="40"/>
      </w:pPr>
      <w:r>
        <w:rPr>
          <w:rFonts w:ascii="Arial" w:cs="Arial" w:eastAsia="Arial" w:hAnsi="Arial"/>
          <w:sz w:val="22"/>
          <w:szCs w:val="22"/>
        </w:rPr>
        <w:t xml:space="preserve">Respiratory hygiene: cleaning staff with active respiratory symptoms must not work in childcare environments — implement a clear staff illness and exclusion protocol aligned with the service agreement</w:t>
      </w:r>
    </w:p>
    <w:p>
      <w:pPr>
        <w:pStyle w:val="ListParagraph"/>
        <w:numPr>
          <w:ilvl w:val="0"/>
          <w:numId w:val="2"/>
        </w:numPr>
        <w:spacing w:after="40" w:before="40"/>
      </w:pPr>
      <w:r>
        <w:rPr>
          <w:rFonts w:ascii="Arial" w:cs="Arial" w:eastAsia="Arial" w:hAnsi="Arial"/>
          <w:sz w:val="22"/>
          <w:szCs w:val="22"/>
        </w:rPr>
        <w:t xml:space="preserve">Nail, jewellery, and uniform hygiene: same as for other infection control contexts — nails short, jewellery removed, uniform clean at site arrival and changed or covered if visibly contaminated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Education and Care Services National Law: services must ensure all adults in the childcare environment follow the hygiene practices specified in the service's policies. Cleaning contractors are subject to the same hygiene requirements as staff and must comply with the centre's policies.</w:t>
      </w:r>
    </w:p>
    <w:p>
      <w:pPr>
        <w:spacing w:after="0" w:before="60"/>
      </w:pPr>
      <w:r>
        <w:t xml:space="preserve"/>
      </w:r>
    </w:p>
    <w:p>
      <w:pPr>
        <w:spacing w:after="80" w:before="200"/>
      </w:pPr>
      <w:r>
        <w:rPr>
          <w:rFonts w:ascii="Arial" w:cs="Arial" w:eastAsia="Arial" w:hAnsi="Arial"/>
          <w:b/>
          <w:bCs/>
          <w:sz w:val="23"/>
          <w:szCs w:val="23"/>
        </w:rPr>
        <w:t xml:space="preserve">Module 6: When to Wash Hands</w:t>
      </w:r>
    </w:p>
    <w:p>
      <w:pPr>
        <w:pStyle w:val="ListParagraph"/>
        <w:numPr>
          <w:ilvl w:val="0"/>
          <w:numId w:val="2"/>
        </w:numPr>
        <w:spacing w:after="40" w:before="40"/>
      </w:pPr>
      <w:r>
        <w:rPr>
          <w:rFonts w:ascii="Arial" w:cs="Arial" w:eastAsia="Arial" w:hAnsi="Arial"/>
          <w:sz w:val="22"/>
          <w:szCs w:val="22"/>
        </w:rPr>
        <w:t xml:space="preserve">Cleaning staff must wash hands with soap and water (not ABHR only) after: handling any biological material (vomit, faeces, blood, urine, mucus), cleaning nappy change surfaces, removing gloves after a high-contamination task, handling food waste, and leaving a contaminated area</w:t>
      </w:r>
    </w:p>
    <w:p>
      <w:pPr>
        <w:pStyle w:val="ListParagraph"/>
        <w:numPr>
          <w:ilvl w:val="0"/>
          <w:numId w:val="2"/>
        </w:numPr>
        <w:spacing w:after="40" w:before="40"/>
      </w:pPr>
      <w:r>
        <w:rPr>
          <w:rFonts w:ascii="Arial" w:cs="Arial" w:eastAsia="Arial" w:hAnsi="Arial"/>
          <w:sz w:val="22"/>
          <w:szCs w:val="22"/>
        </w:rPr>
        <w:t xml:space="preserve">ABHR is acceptable between tasks when hands are not visibly soiled — but soap and water is required whenever hands are contaminated with organic material, because ABHR is ineffective in the presence of protein and lipid residue</w:t>
      </w:r>
    </w:p>
    <w:p>
      <w:pPr>
        <w:pStyle w:val="ListParagraph"/>
        <w:numPr>
          <w:ilvl w:val="0"/>
          <w:numId w:val="2"/>
        </w:numPr>
        <w:spacing w:after="40" w:before="40"/>
      </w:pPr>
      <w:r>
        <w:rPr>
          <w:rFonts w:ascii="Arial" w:cs="Arial" w:eastAsia="Arial" w:hAnsi="Arial"/>
          <w:sz w:val="22"/>
          <w:szCs w:val="22"/>
        </w:rPr>
        <w:t xml:space="preserve">Minimum 20 seconds of soap and water contact: wet hands, apply soap, lather all surfaces for 20 seconds, rinse thoroughly under running water, dry with a disposable paper towel, use the towel to turn off the tap</w:t>
      </w:r>
    </w:p>
    <w:p>
      <w:pPr>
        <w:pStyle w:val="ListParagraph"/>
        <w:numPr>
          <w:ilvl w:val="0"/>
          <w:numId w:val="2"/>
        </w:numPr>
        <w:spacing w:after="40" w:before="40"/>
      </w:pPr>
      <w:r>
        <w:rPr>
          <w:rFonts w:ascii="Arial" w:cs="Arial" w:eastAsia="Arial" w:hAnsi="Arial"/>
          <w:sz w:val="22"/>
          <w:szCs w:val="22"/>
        </w:rPr>
        <w:t xml:space="preserve">Hand washing stations in childcare: confirm adequate supply of soap, running water at an appropriate temperature, and disposable towels at every hand washing station before beginning each shift</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If any hand washing station in a childcare centre has run out of soap or disposable towels, notify the facility manager immediately and restock before continuing cleaning work. An infection control service that operates in a facility with non-functional hand hygiene stations has failed a primary control measure.</w:t>
      </w:r>
    </w:p>
    <w:p>
      <w:pPr>
        <w:spacing w:after="0" w:before="60"/>
      </w:pPr>
      <w:r>
        <w:t xml:space="preserve"/>
      </w:r>
    </w:p>
    <w:p>
      <w:pPr>
        <w:spacing w:after="80" w:before="200"/>
      </w:pPr>
      <w:r>
        <w:rPr>
          <w:rFonts w:ascii="Arial" w:cs="Arial" w:eastAsia="Arial" w:hAnsi="Arial"/>
          <w:b/>
          <w:bCs/>
          <w:sz w:val="23"/>
          <w:szCs w:val="23"/>
        </w:rPr>
        <w:t xml:space="preserve">Module 7: Alcohol Based Hand Rub</w:t>
      </w:r>
    </w:p>
    <w:p>
      <w:pPr>
        <w:pStyle w:val="ListParagraph"/>
        <w:numPr>
          <w:ilvl w:val="0"/>
          <w:numId w:val="2"/>
        </w:numPr>
        <w:spacing w:after="40" w:before="40"/>
      </w:pPr>
      <w:r>
        <w:rPr>
          <w:rFonts w:ascii="Arial" w:cs="Arial" w:eastAsia="Arial" w:hAnsi="Arial"/>
          <w:sz w:val="22"/>
          <w:szCs w:val="22"/>
        </w:rPr>
        <w:t xml:space="preserve">ABHR (minimum 60 percent ethanol): appropriate for hand hygiene between tasks when hands are visually clean — not a substitute for soap and water when hands are visibly contaminated</w:t>
      </w:r>
    </w:p>
    <w:p>
      <w:pPr>
        <w:pStyle w:val="ListParagraph"/>
        <w:numPr>
          <w:ilvl w:val="0"/>
          <w:numId w:val="2"/>
        </w:numPr>
        <w:spacing w:after="40" w:before="40"/>
      </w:pPr>
      <w:r>
        <w:rPr>
          <w:rFonts w:ascii="Arial" w:cs="Arial" w:eastAsia="Arial" w:hAnsi="Arial"/>
          <w:sz w:val="22"/>
          <w:szCs w:val="22"/>
        </w:rPr>
        <w:t xml:space="preserve">ABHR is effective against: enveloped viruses (influenza, coronavirus), most bacteria. ABHR is NOT effective against: norovirus, C. difficile spores, Cryptosporidium — soap and water required for these pathogens</w:t>
      </w:r>
    </w:p>
    <w:p>
      <w:pPr>
        <w:pStyle w:val="ListParagraph"/>
        <w:numPr>
          <w:ilvl w:val="0"/>
          <w:numId w:val="2"/>
        </w:numPr>
        <w:spacing w:after="40" w:before="40"/>
      </w:pPr>
      <w:r>
        <w:rPr>
          <w:rFonts w:ascii="Arial" w:cs="Arial" w:eastAsia="Arial" w:hAnsi="Arial"/>
          <w:sz w:val="22"/>
          <w:szCs w:val="22"/>
        </w:rPr>
        <w:t xml:space="preserve">ABHR dispensers in childcare: confirm accessibility for adult cleaning staff — dispensers positioned for children's reach should not be used by cleaning staff as the volume dispensed may be insufficient</w:t>
      </w:r>
    </w:p>
    <w:p>
      <w:pPr>
        <w:pStyle w:val="ListParagraph"/>
        <w:numPr>
          <w:ilvl w:val="0"/>
          <w:numId w:val="2"/>
        </w:numPr>
        <w:spacing w:after="40" w:before="40"/>
      </w:pPr>
      <w:r>
        <w:rPr>
          <w:rFonts w:ascii="Arial" w:cs="Arial" w:eastAsia="Arial" w:hAnsi="Arial"/>
          <w:sz w:val="22"/>
          <w:szCs w:val="22"/>
        </w:rPr>
        <w:t xml:space="preserve">Children and ABHR: do not encourage young children to use ABHR — small children may ingest it. In childcare environments, children's hand hygiene should be supervised soap and water washing</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Maintain a small personal ABHR supply in your cleaning kit for rapid hand decontamination between tasks where a hand washing station is not immediately accessible. Do not go more than 2 to 3 tasks without a formal hand wash with soap and water during infection control work in childcare.</w:t>
      </w:r>
    </w:p>
    <w:p>
      <w:pPr>
        <w:spacing w:after="0" w:before="60"/>
      </w:pPr>
      <w:r>
        <w:t xml:space="preserve"/>
      </w:r>
    </w:p>
    <w:p>
      <w:pPr>
        <w:spacing w:after="80" w:before="200"/>
      </w:pPr>
      <w:r>
        <w:rPr>
          <w:rFonts w:ascii="Arial" w:cs="Arial" w:eastAsia="Arial" w:hAnsi="Arial"/>
          <w:b/>
          <w:bCs/>
          <w:sz w:val="23"/>
          <w:szCs w:val="23"/>
        </w:rPr>
        <w:t xml:space="preserve">Module 8: Gloves</w:t>
      </w:r>
    </w:p>
    <w:p>
      <w:pPr>
        <w:pStyle w:val="ListParagraph"/>
        <w:numPr>
          <w:ilvl w:val="0"/>
          <w:numId w:val="2"/>
        </w:numPr>
        <w:spacing w:after="40" w:before="40"/>
      </w:pPr>
      <w:r>
        <w:rPr>
          <w:rFonts w:ascii="Arial" w:cs="Arial" w:eastAsia="Arial" w:hAnsi="Arial"/>
          <w:sz w:val="22"/>
          <w:szCs w:val="22"/>
        </w:rPr>
        <w:t xml:space="preserve">Nitrile gloves: minimum specification for cleaning chemical contact and biological material handling in childcare — latex is inappropriate due to the high prevalence of latex allergy in the childcare workforce</w:t>
      </w:r>
    </w:p>
    <w:p>
      <w:pPr>
        <w:pStyle w:val="ListParagraph"/>
        <w:numPr>
          <w:ilvl w:val="0"/>
          <w:numId w:val="2"/>
        </w:numPr>
        <w:spacing w:after="40" w:before="40"/>
      </w:pPr>
      <w:r>
        <w:rPr>
          <w:rFonts w:ascii="Arial" w:cs="Arial" w:eastAsia="Arial" w:hAnsi="Arial"/>
          <w:sz w:val="22"/>
          <w:szCs w:val="22"/>
        </w:rPr>
        <w:t xml:space="preserve">Glove change: change gloves between areas or tasks — a single pair of gloves used from bathroom to kitchen is a cross-contamination event, not a control measure</w:t>
      </w:r>
    </w:p>
    <w:p>
      <w:pPr>
        <w:pStyle w:val="ListParagraph"/>
        <w:numPr>
          <w:ilvl w:val="0"/>
          <w:numId w:val="2"/>
        </w:numPr>
        <w:spacing w:after="40" w:before="40"/>
      </w:pPr>
      <w:r>
        <w:rPr>
          <w:rFonts w:ascii="Arial" w:cs="Arial" w:eastAsia="Arial" w:hAnsi="Arial"/>
          <w:sz w:val="22"/>
          <w:szCs w:val="22"/>
        </w:rPr>
        <w:t xml:space="preserve">Glove limitations: gloves are not a substitute for hand washing — they reduce but do not eliminate the transfer of pathogens between sites on a worker's hands. Hand hygiene after glove removal is mandatory</w:t>
      </w:r>
    </w:p>
    <w:p>
      <w:pPr>
        <w:pStyle w:val="ListParagraph"/>
        <w:numPr>
          <w:ilvl w:val="0"/>
          <w:numId w:val="2"/>
        </w:numPr>
        <w:spacing w:after="40" w:before="40"/>
      </w:pPr>
      <w:r>
        <w:rPr>
          <w:rFonts w:ascii="Arial" w:cs="Arial" w:eastAsia="Arial" w:hAnsi="Arial"/>
          <w:sz w:val="22"/>
          <w:szCs w:val="22"/>
        </w:rPr>
        <w:t xml:space="preserve">Donning gloves: pull on over clean, dry hands — wet gloves tear easily and create a false sense of protection</w:t>
      </w:r>
    </w:p>
    <w:p>
      <w:pPr>
        <w:pStyle w:val="ListParagraph"/>
        <w:numPr>
          <w:ilvl w:val="0"/>
          <w:numId w:val="2"/>
        </w:numPr>
        <w:spacing w:after="40" w:before="40"/>
      </w:pPr>
      <w:r>
        <w:rPr>
          <w:rFonts w:ascii="Arial" w:cs="Arial" w:eastAsia="Arial" w:hAnsi="Arial"/>
          <w:sz w:val="22"/>
          <w:szCs w:val="22"/>
        </w:rPr>
        <w:t xml:space="preserve">Doffing gloves: peel off without touching the outer surface — grip the cuff of the first glove, peel inside-out, hold in the gloved hand, slide fingers under the cuff of the second glove, and peel inside-out over the first glove — both gloves end up inside-out in a bundle for disposal</w:t>
      </w:r>
    </w:p>
    <w:p>
      <w:pPr>
        <w:spacing w:after="80" w:before="80"/>
      </w:pPr>
      <w:r>
        <w:rPr>
          <w:rFonts w:ascii="Arial" w:cs="Arial" w:eastAsia="Arial" w:hAnsi="Arial"/>
          <w:b/>
          <w:bCs/>
          <w:sz w:val="22"/>
          <w:szCs w:val="22"/>
        </w:rPr>
        <w:t xml:space="preserve">Warning: </w:t>
      </w:r>
      <w:r>
        <w:rPr>
          <w:rFonts w:ascii="Arial" w:cs="Arial" w:eastAsia="Arial" w:hAnsi="Arial"/>
          <w:sz w:val="22"/>
          <w:szCs w:val="22"/>
        </w:rPr>
        <w:t xml:space="preserve">In a childcare outbreak response context, double-gloving (two pairs of nitrile gloves) is recommended for handling vomit, faeces, or heavily contaminated surfaces — remove the outer pair after the contaminated task and retain the inner pair for the remainder of the cleaning sequence.</w:t>
      </w:r>
    </w:p>
    <w:p>
      <w:pPr>
        <w:spacing w:after="0" w:before="60"/>
      </w:pPr>
      <w:r>
        <w:t xml:space="preserve"/>
      </w:r>
    </w:p>
    <w:p>
      <w:pPr>
        <w:spacing w:after="80" w:before="200"/>
      </w:pPr>
      <w:r>
        <w:rPr>
          <w:rFonts w:ascii="Arial" w:cs="Arial" w:eastAsia="Arial" w:hAnsi="Arial"/>
          <w:b/>
          <w:bCs/>
          <w:sz w:val="23"/>
          <w:szCs w:val="23"/>
        </w:rPr>
        <w:t xml:space="preserve">Module 9: Cleaning Types and Touch Points</w:t>
      </w:r>
    </w:p>
    <w:p>
      <w:pPr>
        <w:pStyle w:val="ListParagraph"/>
        <w:numPr>
          <w:ilvl w:val="0"/>
          <w:numId w:val="2"/>
        </w:numPr>
        <w:spacing w:after="40" w:before="40"/>
      </w:pPr>
      <w:r>
        <w:rPr>
          <w:rFonts w:ascii="Arial" w:cs="Arial" w:eastAsia="Arial" w:hAnsi="Arial"/>
          <w:sz w:val="22"/>
          <w:szCs w:val="22"/>
        </w:rPr>
        <w:t xml:space="preserve">Routine daily cleaning: all general surfaces, floors, and low-touch areas — the baseline that prevents amplification of routine childcare environmental contamination</w:t>
      </w:r>
    </w:p>
    <w:p>
      <w:pPr>
        <w:pStyle w:val="ListParagraph"/>
        <w:numPr>
          <w:ilvl w:val="0"/>
          <w:numId w:val="2"/>
        </w:numPr>
        <w:spacing w:after="40" w:before="40"/>
      </w:pPr>
      <w:r>
        <w:rPr>
          <w:rFonts w:ascii="Arial" w:cs="Arial" w:eastAsia="Arial" w:hAnsi="Arial"/>
          <w:sz w:val="22"/>
          <w:szCs w:val="22"/>
        </w:rPr>
        <w:t xml:space="preserve">Enhanced cleaning: during and following an illness event — increase frequency on all touch points, add disinfection step to every cycle, increase spot-check frequency during the session</w:t>
      </w:r>
    </w:p>
    <w:p>
      <w:pPr>
        <w:pStyle w:val="ListParagraph"/>
        <w:numPr>
          <w:ilvl w:val="0"/>
          <w:numId w:val="2"/>
        </w:numPr>
        <w:spacing w:after="40" w:before="40"/>
      </w:pPr>
      <w:r>
        <w:rPr>
          <w:rFonts w:ascii="Arial" w:cs="Arial" w:eastAsia="Arial" w:hAnsi="Arial"/>
          <w:sz w:val="22"/>
          <w:szCs w:val="22"/>
        </w:rPr>
        <w:t xml:space="preserve">Terminal disinfection: after a confirmed gastroenteritis, respiratory, or skin infection outbreak — complete room-by-room decontamination using documented protocol and post-clean ATP verification</w:t>
      </w:r>
    </w:p>
    <w:p>
      <w:pPr>
        <w:pStyle w:val="ListParagraph"/>
        <w:numPr>
          <w:ilvl w:val="0"/>
          <w:numId w:val="2"/>
        </w:numPr>
        <w:spacing w:after="40" w:before="40"/>
      </w:pPr>
      <w:r>
        <w:rPr>
          <w:rFonts w:ascii="Arial" w:cs="Arial" w:eastAsia="Arial" w:hAnsi="Arial"/>
          <w:sz w:val="22"/>
          <w:szCs w:val="22"/>
        </w:rPr>
        <w:t xml:space="preserve">High-touch surfaces in childcare specific to this environment: nappy change benches, nappy bin lids and touch points, toilet flush handles and taps, toy boxes and storage handles, door handles at child height, outdoor play equipment grip points, book covers, and communal sensory play materials</w:t>
      </w:r>
    </w:p>
    <w:p>
      <w:pPr>
        <w:pStyle w:val="ListParagraph"/>
        <w:numPr>
          <w:ilvl w:val="0"/>
          <w:numId w:val="2"/>
        </w:numPr>
        <w:spacing w:after="40" w:before="40"/>
      </w:pPr>
      <w:r>
        <w:rPr>
          <w:rFonts w:ascii="Arial" w:cs="Arial" w:eastAsia="Arial" w:hAnsi="Arial"/>
          <w:sz w:val="22"/>
          <w:szCs w:val="22"/>
        </w:rPr>
        <w:t xml:space="preserve">Outdoor areas: often underestimated as an infection control zone — sandpit edges, climbing equipment grip points, gate latches, and water play equipment are all high-touch and require regular disinfection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Walk the childcare centre at child height — literally crouch down and look at the environment from a child's eye level. You will identify touch points and surface contacts that are invisible from adult height and frequently missed in cleaning programs.</w:t>
      </w:r>
    </w:p>
    <w:p>
      <w:pPr>
        <w:spacing w:after="0" w:before="60"/>
      </w:pPr>
      <w:r>
        <w:t xml:space="preserve"/>
      </w:r>
    </w:p>
    <w:p>
      <w:pPr>
        <w:spacing w:after="80" w:before="200"/>
      </w:pPr>
      <w:r>
        <w:rPr>
          <w:rFonts w:ascii="Arial" w:cs="Arial" w:eastAsia="Arial" w:hAnsi="Arial"/>
          <w:b/>
          <w:bCs/>
          <w:sz w:val="23"/>
          <w:szCs w:val="23"/>
        </w:rPr>
        <w:t xml:space="preserve">Module 10: Safe and Effective Disinfecting</w:t>
      </w:r>
    </w:p>
    <w:p>
      <w:pPr>
        <w:pStyle w:val="ListParagraph"/>
        <w:numPr>
          <w:ilvl w:val="0"/>
          <w:numId w:val="2"/>
        </w:numPr>
        <w:spacing w:after="40" w:before="40"/>
      </w:pPr>
      <w:r>
        <w:rPr>
          <w:rFonts w:ascii="Arial" w:cs="Arial" w:eastAsia="Arial" w:hAnsi="Arial"/>
          <w:sz w:val="22"/>
          <w:szCs w:val="22"/>
        </w:rPr>
        <w:t xml:space="preserve">Effectiveness conditions: the disinfectant must contact a clean surface (post-physical cleaning), at the correct concentration (not over- or under-diluted), for the full labelled dwell time, and the surface must remain wet for the full dwell time</w:t>
      </w:r>
    </w:p>
    <w:p>
      <w:pPr>
        <w:pStyle w:val="ListParagraph"/>
        <w:numPr>
          <w:ilvl w:val="0"/>
          <w:numId w:val="2"/>
        </w:numPr>
        <w:spacing w:after="40" w:before="40"/>
      </w:pPr>
      <w:r>
        <w:rPr>
          <w:rFonts w:ascii="Arial" w:cs="Arial" w:eastAsia="Arial" w:hAnsi="Arial"/>
          <w:sz w:val="22"/>
          <w:szCs w:val="22"/>
        </w:rPr>
        <w:t xml:space="preserve">Over-dilution: the most common cause of disinfectant failure in childcare cleaning — train staff on accurate dilution measurement using graduated measuring tools, never by visual estimation</w:t>
      </w:r>
    </w:p>
    <w:p>
      <w:pPr>
        <w:pStyle w:val="ListParagraph"/>
        <w:numPr>
          <w:ilvl w:val="0"/>
          <w:numId w:val="2"/>
        </w:numPr>
        <w:spacing w:after="40" w:before="40"/>
      </w:pPr>
      <w:r>
        <w:rPr>
          <w:rFonts w:ascii="Arial" w:cs="Arial" w:eastAsia="Arial" w:hAnsi="Arial"/>
          <w:sz w:val="22"/>
          <w:szCs w:val="22"/>
        </w:rPr>
        <w:t xml:space="preserve">Under-dilution: uncommon but occurs when staff increase concentration beyond label guidance under the assumption that stronger is better — this creates a chemical hazard for children and does not improve kill efficacy for most pathogens</w:t>
      </w:r>
    </w:p>
    <w:p>
      <w:pPr>
        <w:pStyle w:val="ListParagraph"/>
        <w:numPr>
          <w:ilvl w:val="0"/>
          <w:numId w:val="2"/>
        </w:numPr>
        <w:spacing w:after="40" w:before="40"/>
      </w:pPr>
      <w:r>
        <w:rPr>
          <w:rFonts w:ascii="Arial" w:cs="Arial" w:eastAsia="Arial" w:hAnsi="Arial"/>
          <w:sz w:val="22"/>
          <w:szCs w:val="22"/>
        </w:rPr>
        <w:t xml:space="preserve">Pre-mixing: prepare disinfectant solutions fresh for each shift — many disinfectants lose efficacy rapidly when diluted, particularly sodium hypochlorite which degrades within hours of dilution</w:t>
      </w:r>
    </w:p>
    <w:p>
      <w:pPr>
        <w:pStyle w:val="ListParagraph"/>
        <w:numPr>
          <w:ilvl w:val="0"/>
          <w:numId w:val="2"/>
        </w:numPr>
        <w:spacing w:after="40" w:before="40"/>
      </w:pPr>
      <w:r>
        <w:rPr>
          <w:rFonts w:ascii="Arial" w:cs="Arial" w:eastAsia="Arial" w:hAnsi="Arial"/>
          <w:sz w:val="22"/>
          <w:szCs w:val="22"/>
        </w:rPr>
        <w:t xml:space="preserve">Compatibility: confirm the disinfectant is appropriate for the surface material — bleach-based products damage stainless steel, rubber, and some plastics over time; use manufacturer-recommended alternatives for incompatible surfaces</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NHMRC Staying Healthy (5th edition) provides specific recommended disinfectant concentrations for gastrointestinal and blood or body fluid events in childcare — use these evidence-based recommendations rather than product marketing claims alone.</w:t>
      </w:r>
    </w:p>
    <w:p>
      <w:pPr>
        <w:spacing w:after="0" w:before="60"/>
      </w:pPr>
      <w:r>
        <w:t xml:space="preserve"/>
      </w:r>
    </w:p>
    <w:p>
      <w:pPr>
        <w:spacing w:after="80" w:before="200"/>
      </w:pPr>
      <w:r>
        <w:rPr>
          <w:rFonts w:ascii="Arial" w:cs="Arial" w:eastAsia="Arial" w:hAnsi="Arial"/>
          <w:b/>
          <w:bCs/>
          <w:sz w:val="23"/>
          <w:szCs w:val="23"/>
        </w:rPr>
        <w:t xml:space="preserve">Module 11: Using Products Safely</w:t>
      </w:r>
    </w:p>
    <w:p>
      <w:pPr>
        <w:pStyle w:val="ListParagraph"/>
        <w:numPr>
          <w:ilvl w:val="0"/>
          <w:numId w:val="2"/>
        </w:numPr>
        <w:spacing w:after="40" w:before="40"/>
      </w:pPr>
      <w:r>
        <w:rPr>
          <w:rFonts w:ascii="Arial" w:cs="Arial" w:eastAsia="Arial" w:hAnsi="Arial"/>
          <w:sz w:val="22"/>
          <w:szCs w:val="22"/>
        </w:rPr>
        <w:t xml:space="preserve">Read the SDS and product label before first use — Section 2 hazard identification and Section 8 exposure controls are the priority sections for cleaning staff in childcare settings</w:t>
      </w:r>
    </w:p>
    <w:p>
      <w:pPr>
        <w:pStyle w:val="ListParagraph"/>
        <w:numPr>
          <w:ilvl w:val="0"/>
          <w:numId w:val="2"/>
        </w:numPr>
        <w:spacing w:after="40" w:before="40"/>
      </w:pPr>
      <w:r>
        <w:rPr>
          <w:rFonts w:ascii="Arial" w:cs="Arial" w:eastAsia="Arial" w:hAnsi="Arial"/>
          <w:sz w:val="22"/>
          <w:szCs w:val="22"/>
        </w:rPr>
        <w:t xml:space="preserve">Ventilation: ensure adequate ventilation when applying any chemical disinfectant in enclosed childcare areas — prop doors open, run exhaust fans, and do not apply products in poorly ventilated spaces while children are present</w:t>
      </w:r>
    </w:p>
    <w:p>
      <w:pPr>
        <w:pStyle w:val="ListParagraph"/>
        <w:numPr>
          <w:ilvl w:val="0"/>
          <w:numId w:val="2"/>
        </w:numPr>
        <w:spacing w:after="40" w:before="40"/>
      </w:pPr>
      <w:r>
        <w:rPr>
          <w:rFonts w:ascii="Arial" w:cs="Arial" w:eastAsia="Arial" w:hAnsi="Arial"/>
          <w:sz w:val="22"/>
          <w:szCs w:val="22"/>
        </w:rPr>
        <w:t xml:space="preserve">Chemical storage in childcare: all chemicals must be stored in locked, childproof storage out of reach of children — this is a legislative requirement under childcare regulations and a basic safety obligation</w:t>
      </w:r>
    </w:p>
    <w:p>
      <w:pPr>
        <w:pStyle w:val="ListParagraph"/>
        <w:numPr>
          <w:ilvl w:val="0"/>
          <w:numId w:val="2"/>
        </w:numPr>
        <w:spacing w:after="40" w:before="40"/>
      </w:pPr>
      <w:r>
        <w:rPr>
          <w:rFonts w:ascii="Arial" w:cs="Arial" w:eastAsia="Arial" w:hAnsi="Arial"/>
          <w:sz w:val="22"/>
          <w:szCs w:val="22"/>
        </w:rPr>
        <w:t xml:space="preserve">Decanting and relabelling: if decanting any chemical into a secondary container for use during cleaning, label the secondary container immediately with product name, concentration, and hazard information — never leave a secondary container unlabelled, even briefly</w:t>
      </w:r>
    </w:p>
    <w:p>
      <w:pPr>
        <w:pStyle w:val="ListParagraph"/>
        <w:numPr>
          <w:ilvl w:val="0"/>
          <w:numId w:val="2"/>
        </w:numPr>
        <w:spacing w:after="40" w:before="40"/>
      </w:pPr>
      <w:r>
        <w:rPr>
          <w:rFonts w:ascii="Arial" w:cs="Arial" w:eastAsia="Arial" w:hAnsi="Arial"/>
          <w:sz w:val="22"/>
          <w:szCs w:val="22"/>
        </w:rPr>
        <w:t xml:space="preserve">Spray application near children: do not spray any chemical product in areas occupied by children — apply to cloths first, then wipe surfaces — this reduces chemical aerosol exposure to children and staff</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Education and Care Services National Regulations r.77: services must ensure hazardous substances are stored safely and inaccessible to children. Cleaning contractors working in childcare centres are subject to these requirements — any chemical left unattended and accessible to children during a cleaning shift is a regulatory breach.</w:t>
      </w:r>
    </w:p>
    <w:p>
      <w:pPr>
        <w:spacing w:after="0" w:before="60"/>
      </w:pPr>
      <w:r>
        <w:t xml:space="preserve"/>
      </w:r>
    </w:p>
    <w:p>
      <w:pPr>
        <w:spacing w:after="80" w:before="200"/>
      </w:pPr>
      <w:r>
        <w:rPr>
          <w:rFonts w:ascii="Arial" w:cs="Arial" w:eastAsia="Arial" w:hAnsi="Arial"/>
          <w:b/>
          <w:bCs/>
          <w:sz w:val="23"/>
          <w:szCs w:val="23"/>
        </w:rPr>
        <w:t xml:space="preserve">Module 12: Safety Data Sheets</w:t>
      </w:r>
    </w:p>
    <w:p>
      <w:pPr>
        <w:pStyle w:val="ListParagraph"/>
        <w:numPr>
          <w:ilvl w:val="0"/>
          <w:numId w:val="2"/>
        </w:numPr>
        <w:spacing w:after="40" w:before="40"/>
      </w:pPr>
      <w:r>
        <w:rPr>
          <w:rFonts w:ascii="Arial" w:cs="Arial" w:eastAsia="Arial" w:hAnsi="Arial"/>
          <w:sz w:val="22"/>
          <w:szCs w:val="22"/>
        </w:rPr>
        <w:t xml:space="preserve">Maintain an accessible SDS folder in your vehicle for every chemical product used in childcare cleaning contracts — this must accompany the cleaning team to every site</w:t>
      </w:r>
    </w:p>
    <w:p>
      <w:pPr>
        <w:pStyle w:val="ListParagraph"/>
        <w:numPr>
          <w:ilvl w:val="0"/>
          <w:numId w:val="2"/>
        </w:numPr>
        <w:spacing w:after="40" w:before="40"/>
      </w:pPr>
      <w:r>
        <w:rPr>
          <w:rFonts w:ascii="Arial" w:cs="Arial" w:eastAsia="Arial" w:hAnsi="Arial"/>
          <w:sz w:val="22"/>
          <w:szCs w:val="22"/>
        </w:rPr>
        <w:t xml:space="preserve">Childcare-specific SDS review: prioritise Section 4 (first aid for child ingestion), Section 7 (storage away from children), Section 8 (ventilation requirements before children re-enter), and Section 13 (disposal) for every product used in childcare settings</w:t>
      </w:r>
    </w:p>
    <w:p>
      <w:pPr>
        <w:pStyle w:val="ListParagraph"/>
        <w:numPr>
          <w:ilvl w:val="0"/>
          <w:numId w:val="2"/>
        </w:numPr>
        <w:spacing w:after="40" w:before="40"/>
      </w:pPr>
      <w:r>
        <w:rPr>
          <w:rFonts w:ascii="Arial" w:cs="Arial" w:eastAsia="Arial" w:hAnsi="Arial"/>
          <w:sz w:val="22"/>
          <w:szCs w:val="22"/>
        </w:rPr>
        <w:t xml:space="preserve">Emergency procedure: if a child ingests or contacts a cleaning chemical, immediately refer to Section 4 of the SDS and call Poisons Information Centre (13 11 26) for advice — do not delay by searching for the SDS during the emergency</w:t>
      </w:r>
    </w:p>
    <w:p>
      <w:pPr>
        <w:pStyle w:val="ListParagraph"/>
        <w:numPr>
          <w:ilvl w:val="0"/>
          <w:numId w:val="2"/>
        </w:numPr>
        <w:spacing w:after="40" w:before="40"/>
      </w:pPr>
      <w:r>
        <w:rPr>
          <w:rFonts w:ascii="Arial" w:cs="Arial" w:eastAsia="Arial" w:hAnsi="Arial"/>
          <w:sz w:val="22"/>
          <w:szCs w:val="22"/>
        </w:rPr>
        <w:t xml:space="preserve">SDS currency: ensure all SDS in your childcare cleaning kit are within the 5-year validity period — outdated SDS may not reflect current formulations or safety information</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Stick the Poisons Information Centre number (13 11 26) visibly inside your chemical storage kit and in your vehicle. In a childcare environment, a chemical ingestion incident involving a child requires immediate action — the number must be accessible without searching for it.</w:t>
      </w:r>
    </w:p>
    <w:p>
      <w:pPr>
        <w:spacing w:after="0" w:before="60"/>
      </w:pPr>
      <w:r>
        <w:t xml:space="preserve"/>
      </w:r>
    </w:p>
    <w:p>
      <w:pPr>
        <w:spacing w:after="80" w:before="200"/>
      </w:pPr>
      <w:r>
        <w:rPr>
          <w:rFonts w:ascii="Arial" w:cs="Arial" w:eastAsia="Arial" w:hAnsi="Arial"/>
          <w:b/>
          <w:bCs/>
          <w:sz w:val="23"/>
          <w:szCs w:val="23"/>
        </w:rPr>
        <w:t xml:space="preserve">Module 13: Labelling</w:t>
      </w:r>
    </w:p>
    <w:p>
      <w:pPr>
        <w:pStyle w:val="ListParagraph"/>
        <w:numPr>
          <w:ilvl w:val="0"/>
          <w:numId w:val="2"/>
        </w:numPr>
        <w:spacing w:after="40" w:before="40"/>
      </w:pPr>
      <w:r>
        <w:rPr>
          <w:rFonts w:ascii="Arial" w:cs="Arial" w:eastAsia="Arial" w:hAnsi="Arial"/>
          <w:sz w:val="22"/>
          <w:szCs w:val="22"/>
        </w:rPr>
        <w:t xml:space="preserve">All chemical containers used in childcare must be clearly labelled with: product name, concentration or dilution, GHS hazard pictograms appropriate to the diluted product, and the date of preparation</w:t>
      </w:r>
    </w:p>
    <w:p>
      <w:pPr>
        <w:pStyle w:val="ListParagraph"/>
        <w:numPr>
          <w:ilvl w:val="0"/>
          <w:numId w:val="2"/>
        </w:numPr>
        <w:spacing w:after="40" w:before="40"/>
      </w:pPr>
      <w:r>
        <w:rPr>
          <w:rFonts w:ascii="Arial" w:cs="Arial" w:eastAsia="Arial" w:hAnsi="Arial"/>
          <w:sz w:val="22"/>
          <w:szCs w:val="22"/>
        </w:rPr>
        <w:t xml:space="preserve">Childcare-specific labelling risk: young children can reach secondary containers left on low surfaces during cleaning — never leave any labelled or unlabelled chemical container accessible to children at any point during the cleaning shift</w:t>
      </w:r>
    </w:p>
    <w:p>
      <w:pPr>
        <w:pStyle w:val="ListParagraph"/>
        <w:numPr>
          <w:ilvl w:val="0"/>
          <w:numId w:val="2"/>
        </w:numPr>
        <w:spacing w:after="40" w:before="40"/>
      </w:pPr>
      <w:r>
        <w:rPr>
          <w:rFonts w:ascii="Arial" w:cs="Arial" w:eastAsia="Arial" w:hAnsi="Arial"/>
          <w:sz w:val="22"/>
          <w:szCs w:val="22"/>
        </w:rPr>
        <w:t xml:space="preserve">Spray bottle labelling in childcare: every spray bottle must be labelled before filling and must include a clear warning that the contents are not for use by or near children — use a bright colour-coded label system</w:t>
      </w:r>
    </w:p>
    <w:p>
      <w:pPr>
        <w:pStyle w:val="ListParagraph"/>
        <w:numPr>
          <w:ilvl w:val="0"/>
          <w:numId w:val="2"/>
        </w:numPr>
        <w:spacing w:after="40" w:before="40"/>
      </w:pPr>
      <w:r>
        <w:rPr>
          <w:rFonts w:ascii="Arial" w:cs="Arial" w:eastAsia="Arial" w:hAnsi="Arial"/>
          <w:sz w:val="22"/>
          <w:szCs w:val="22"/>
        </w:rPr>
        <w:t xml:space="preserve">Waste containers: any waste container holding chemical-contaminated cloths, PPE, or biological waste must be closed, labelled as contaminated waste, and inaccessible to children before you move to the next area</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Model WHS Regulations r.330 and Education and Care Services National Regulations r.77 both apply to chemical labelling and storage in childcare. Non-compliance with either constitutes a regulatory breach that may result in both a WHS penalty and a childcare service compliance notice.</w:t>
      </w:r>
    </w:p>
    <w:p>
      <w:pPr>
        <w:spacing w:after="0" w:before="60"/>
      </w:pPr>
      <w:r>
        <w:t xml:space="preserve"/>
      </w:r>
    </w:p>
    <w:p>
      <w:pPr>
        <w:spacing w:after="80" w:before="200"/>
      </w:pPr>
      <w:r>
        <w:rPr>
          <w:rFonts w:ascii="Arial" w:cs="Arial" w:eastAsia="Arial" w:hAnsi="Arial"/>
          <w:b/>
          <w:bCs/>
          <w:sz w:val="23"/>
          <w:szCs w:val="23"/>
        </w:rPr>
        <w:t xml:space="preserve">Module 14: Microfibre Cloths</w:t>
      </w:r>
    </w:p>
    <w:p>
      <w:pPr>
        <w:pStyle w:val="ListParagraph"/>
        <w:numPr>
          <w:ilvl w:val="0"/>
          <w:numId w:val="2"/>
        </w:numPr>
        <w:spacing w:after="40" w:before="40"/>
      </w:pPr>
      <w:r>
        <w:rPr>
          <w:rFonts w:ascii="Arial" w:cs="Arial" w:eastAsia="Arial" w:hAnsi="Arial"/>
          <w:sz w:val="22"/>
          <w:szCs w:val="22"/>
        </w:rPr>
        <w:t xml:space="preserve">Microfibre is the most effective mechanical cleaning medium for childcare surfaces — properly used microfibre removes up to 99 percent of bacteria from surfaces with water alone, before any disinfectant is applied</w:t>
      </w:r>
    </w:p>
    <w:p>
      <w:pPr>
        <w:pStyle w:val="ListParagraph"/>
        <w:numPr>
          <w:ilvl w:val="0"/>
          <w:numId w:val="2"/>
        </w:numPr>
        <w:spacing w:after="40" w:before="40"/>
      </w:pPr>
      <w:r>
        <w:rPr>
          <w:rFonts w:ascii="Arial" w:cs="Arial" w:eastAsia="Arial" w:hAnsi="Arial"/>
          <w:sz w:val="22"/>
          <w:szCs w:val="22"/>
        </w:rPr>
        <w:t xml:space="preserve">Single-use principle in outbreak situations: during a confirmed outbreak, use a single microfibre cloth per surface or area then bag for laundering — do not reuse in the same session</w:t>
      </w:r>
    </w:p>
    <w:p>
      <w:pPr>
        <w:pStyle w:val="ListParagraph"/>
        <w:numPr>
          <w:ilvl w:val="0"/>
          <w:numId w:val="2"/>
        </w:numPr>
        <w:spacing w:after="40" w:before="40"/>
      </w:pPr>
      <w:r>
        <w:rPr>
          <w:rFonts w:ascii="Arial" w:cs="Arial" w:eastAsia="Arial" w:hAnsi="Arial"/>
          <w:sz w:val="22"/>
          <w:szCs w:val="22"/>
        </w:rPr>
        <w:t xml:space="preserve">Colour-coding: implement a strict colour code for microfibre cloths — at minimum: one colour for toilets and nappy change, one for kitchen and food prep, one for general surfaces. Never cross zones.</w:t>
      </w:r>
    </w:p>
    <w:p>
      <w:pPr>
        <w:pStyle w:val="ListParagraph"/>
        <w:numPr>
          <w:ilvl w:val="0"/>
          <w:numId w:val="2"/>
        </w:numPr>
        <w:spacing w:after="40" w:before="40"/>
      </w:pPr>
      <w:r>
        <w:rPr>
          <w:rFonts w:ascii="Arial" w:cs="Arial" w:eastAsia="Arial" w:hAnsi="Arial"/>
          <w:sz w:val="22"/>
          <w:szCs w:val="22"/>
        </w:rPr>
        <w:t xml:space="preserve">Laundering requirements: microfibre cloths used in infection control settings must be thermally disinfected at 60 degrees Celsius for minimum 10 minutes, or chemically disinfected before reuse — cold washing does not reliably decontaminate</w:t>
      </w:r>
    </w:p>
    <w:p>
      <w:pPr>
        <w:pStyle w:val="ListParagraph"/>
        <w:numPr>
          <w:ilvl w:val="0"/>
          <w:numId w:val="2"/>
        </w:numPr>
        <w:spacing w:after="40" w:before="40"/>
      </w:pPr>
      <w:r>
        <w:rPr>
          <w:rFonts w:ascii="Arial" w:cs="Arial" w:eastAsia="Arial" w:hAnsi="Arial"/>
          <w:sz w:val="22"/>
          <w:szCs w:val="22"/>
        </w:rPr>
        <w:t xml:space="preserve">Folding technique: fold the microfibre cloth into quarters — this gives you 8 clean surfaces per cloth, used sequentially, before the cloth is fully loaded and must be replaced. This maximises coverage while minimising cross-contamination per cloth.</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Never wring out a microfibre cloth used in a contaminated area — this re-aerosolises contamination from the cloth. Place used cloths directly into a sealed bag or lidded waste bin. Bag all used microfibre for laundering before leaving site.</w:t>
      </w:r>
    </w:p>
    <w:p>
      <w:pPr>
        <w:spacing w:after="0" w:before="60"/>
      </w:pPr>
      <w:r>
        <w:t xml:space="preserve"/>
      </w:r>
    </w:p>
    <w:p>
      <w:pPr>
        <w:spacing w:after="80" w:before="200"/>
      </w:pPr>
      <w:r>
        <w:rPr>
          <w:rFonts w:ascii="Arial" w:cs="Arial" w:eastAsia="Arial" w:hAnsi="Arial"/>
          <w:b/>
          <w:bCs/>
          <w:sz w:val="23"/>
          <w:szCs w:val="23"/>
        </w:rPr>
        <w:t xml:space="preserve">Module 15: Soft Surfaces</w:t>
      </w:r>
    </w:p>
    <w:p>
      <w:pPr>
        <w:pStyle w:val="ListParagraph"/>
        <w:numPr>
          <w:ilvl w:val="0"/>
          <w:numId w:val="2"/>
        </w:numPr>
        <w:spacing w:after="40" w:before="40"/>
      </w:pPr>
      <w:r>
        <w:rPr>
          <w:rFonts w:ascii="Arial" w:cs="Arial" w:eastAsia="Arial" w:hAnsi="Arial"/>
          <w:sz w:val="22"/>
          <w:szCs w:val="22"/>
        </w:rPr>
        <w:t xml:space="preserve">Soft surfaces (fabric mats, cushions, fabric chairs, upholstered surfaces, rugs, soft toys, dress-up clothes): are among the most challenging surfaces to decontaminate in a childcare environment</w:t>
      </w:r>
    </w:p>
    <w:p>
      <w:pPr>
        <w:pStyle w:val="ListParagraph"/>
        <w:numPr>
          <w:ilvl w:val="0"/>
          <w:numId w:val="2"/>
        </w:numPr>
        <w:spacing w:after="40" w:before="40"/>
      </w:pPr>
      <w:r>
        <w:rPr>
          <w:rFonts w:ascii="Arial" w:cs="Arial" w:eastAsia="Arial" w:hAnsi="Arial"/>
          <w:sz w:val="22"/>
          <w:szCs w:val="22"/>
        </w:rPr>
        <w:t xml:space="preserve">Routine cleaning: vacuum regularly with a HEPA vacuum — do not use standard vacuum cleaners on contaminated soft surfaces as they can re-aerosolise biological material</w:t>
      </w:r>
    </w:p>
    <w:p>
      <w:pPr>
        <w:pStyle w:val="ListParagraph"/>
        <w:numPr>
          <w:ilvl w:val="0"/>
          <w:numId w:val="2"/>
        </w:numPr>
        <w:spacing w:after="40" w:before="40"/>
      </w:pPr>
      <w:r>
        <w:rPr>
          <w:rFonts w:ascii="Arial" w:cs="Arial" w:eastAsia="Arial" w:hAnsi="Arial"/>
          <w:sz w:val="22"/>
          <w:szCs w:val="22"/>
        </w:rPr>
        <w:t xml:space="preserve">Laundering: all soft fabric items that contact children should be laundered at 60 degrees Celsius or above when soiled or after an illness event — check fabric care labels but prioritise infection control over fabric preservation</w:t>
      </w:r>
    </w:p>
    <w:p>
      <w:pPr>
        <w:pStyle w:val="ListParagraph"/>
        <w:numPr>
          <w:ilvl w:val="0"/>
          <w:numId w:val="2"/>
        </w:numPr>
        <w:spacing w:after="40" w:before="40"/>
      </w:pPr>
      <w:r>
        <w:rPr>
          <w:rFonts w:ascii="Arial" w:cs="Arial" w:eastAsia="Arial" w:hAnsi="Arial"/>
          <w:sz w:val="22"/>
          <w:szCs w:val="22"/>
        </w:rPr>
        <w:t xml:space="preserve">Non-launderable soft surfaces: fabric items that cannot be laundered (large upholstered furniture, fixed carpet) should be spot-cleaned and treated with a fabric-safe disinfectant — steam cleaning is effective for carpet decontamination after gastrointestinal events</w:t>
      </w:r>
    </w:p>
    <w:p>
      <w:pPr>
        <w:pStyle w:val="ListParagraph"/>
        <w:numPr>
          <w:ilvl w:val="0"/>
          <w:numId w:val="2"/>
        </w:numPr>
        <w:spacing w:after="40" w:before="40"/>
      </w:pPr>
      <w:r>
        <w:rPr>
          <w:rFonts w:ascii="Arial" w:cs="Arial" w:eastAsia="Arial" w:hAnsi="Arial"/>
          <w:sz w:val="22"/>
          <w:szCs w:val="22"/>
        </w:rPr>
        <w:t xml:space="preserve">Soft toys during outbreak: remove all soft toys from active use, clean and disinfect each individually (hard surface toys), launder fabric toys, and quarantine until the outbreak is resolved and clearance is confirmed</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At the start of every infection control engagement in a childcare centre, identify which soft surfaces are launderable and which are not — and identify the correct decontamination method for each. Attempting to disinfect a fabric soft toy with surface disinfectant spray is ineffective — the chemical cannot penetrate the fabric to reach the pathogen load within the material.</w:t>
      </w:r>
    </w:p>
    <w:p>
      <w:pPr>
        <w:spacing w:after="0" w:before="60"/>
      </w:pPr>
      <w:r>
        <w:t xml:space="preserve"/>
      </w:r>
    </w:p>
    <w:p>
      <w:pPr>
        <w:spacing w:after="80" w:before="200"/>
      </w:pPr>
      <w:r>
        <w:rPr>
          <w:rFonts w:ascii="Arial" w:cs="Arial" w:eastAsia="Arial" w:hAnsi="Arial"/>
          <w:b/>
          <w:bCs/>
          <w:sz w:val="23"/>
          <w:szCs w:val="23"/>
        </w:rPr>
        <w:t xml:space="preserve">Module 16: Electronics</w:t>
      </w:r>
    </w:p>
    <w:p>
      <w:pPr>
        <w:pStyle w:val="ListParagraph"/>
        <w:numPr>
          <w:ilvl w:val="0"/>
          <w:numId w:val="2"/>
        </w:numPr>
        <w:spacing w:after="40" w:before="40"/>
      </w:pPr>
      <w:r>
        <w:rPr>
          <w:rFonts w:ascii="Arial" w:cs="Arial" w:eastAsia="Arial" w:hAnsi="Arial"/>
          <w:sz w:val="22"/>
          <w:szCs w:val="22"/>
        </w:rPr>
        <w:t xml:space="preserve">Electronic devices in childcare are high-touch, frequently handled by multiple children, and often overlooked in cleaning programs: tablets, educational devices, remote controls, keyboards, and interactive touchscreens</w:t>
      </w:r>
    </w:p>
    <w:p>
      <w:pPr>
        <w:pStyle w:val="ListParagraph"/>
        <w:numPr>
          <w:ilvl w:val="0"/>
          <w:numId w:val="2"/>
        </w:numPr>
        <w:spacing w:after="40" w:before="40"/>
      </w:pPr>
      <w:r>
        <w:rPr>
          <w:rFonts w:ascii="Arial" w:cs="Arial" w:eastAsia="Arial" w:hAnsi="Arial"/>
          <w:sz w:val="22"/>
          <w:szCs w:val="22"/>
        </w:rPr>
        <w:t xml:space="preserve">Cleaning method: use a microfibre cloth lightly dampened with an alcohol-based disinfectant (70 percent isopropanol) or an electronics-specific disinfectant wipe — never spray liquid directly onto any electronic device</w:t>
      </w:r>
    </w:p>
    <w:p>
      <w:pPr>
        <w:pStyle w:val="ListParagraph"/>
        <w:numPr>
          <w:ilvl w:val="0"/>
          <w:numId w:val="2"/>
        </w:numPr>
        <w:spacing w:after="40" w:before="40"/>
      </w:pPr>
      <w:r>
        <w:rPr>
          <w:rFonts w:ascii="Arial" w:cs="Arial" w:eastAsia="Arial" w:hAnsi="Arial"/>
          <w:sz w:val="22"/>
          <w:szCs w:val="22"/>
        </w:rPr>
        <w:t xml:space="preserve">Power-off before cleaning: all electronic devices must be powered off before cleaning to prevent accidental activation and to protect the device from liquid ingress</w:t>
      </w:r>
    </w:p>
    <w:p>
      <w:pPr>
        <w:pStyle w:val="ListParagraph"/>
        <w:numPr>
          <w:ilvl w:val="0"/>
          <w:numId w:val="2"/>
        </w:numPr>
        <w:spacing w:after="40" w:before="40"/>
      </w:pPr>
      <w:r>
        <w:rPr>
          <w:rFonts w:ascii="Arial" w:cs="Arial" w:eastAsia="Arial" w:hAnsi="Arial"/>
          <w:sz w:val="22"/>
          <w:szCs w:val="22"/>
        </w:rPr>
        <w:t xml:space="preserve">Drying time: allow electronic surfaces to fully dry before powering on or returning to children — residual moisture from cleaning can cause device malfunction</w:t>
      </w:r>
    </w:p>
    <w:p>
      <w:pPr>
        <w:pStyle w:val="ListParagraph"/>
        <w:numPr>
          <w:ilvl w:val="0"/>
          <w:numId w:val="2"/>
        </w:numPr>
        <w:spacing w:after="40" w:before="40"/>
      </w:pPr>
      <w:r>
        <w:rPr>
          <w:rFonts w:ascii="Arial" w:cs="Arial" w:eastAsia="Arial" w:hAnsi="Arial"/>
          <w:sz w:val="22"/>
          <w:szCs w:val="22"/>
        </w:rPr>
        <w:t xml:space="preserve">Frequency: high-use shared tablets and touchscreens should be wiped down after each group session during normal operations and after every use during an active illness event</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Check with the centre director before applying any chemical to electronic equipment — some childcare equipment carries a manufacturer warranty that is voided by chemical cleaning. Obtain written confirmation of the approved cleaning method for high-value electronic assets before commencing the first clean.</w:t>
      </w:r>
    </w:p>
    <w:p>
      <w:pPr>
        <w:spacing w:after="0" w:before="60"/>
      </w:pPr>
      <w:r>
        <w:t xml:space="preserve"/>
      </w:r>
    </w:p>
    <w:p>
      <w:pPr>
        <w:spacing w:after="80" w:before="200"/>
      </w:pPr>
      <w:r>
        <w:rPr>
          <w:rFonts w:ascii="Arial" w:cs="Arial" w:eastAsia="Arial" w:hAnsi="Arial"/>
          <w:b/>
          <w:bCs/>
          <w:sz w:val="23"/>
          <w:szCs w:val="23"/>
        </w:rPr>
        <w:t xml:space="preserve">Module 17: Laundry</w:t>
      </w:r>
    </w:p>
    <w:p>
      <w:pPr>
        <w:pStyle w:val="ListParagraph"/>
        <w:numPr>
          <w:ilvl w:val="0"/>
          <w:numId w:val="2"/>
        </w:numPr>
        <w:spacing w:after="40" w:before="40"/>
      </w:pPr>
      <w:r>
        <w:rPr>
          <w:rFonts w:ascii="Arial" w:cs="Arial" w:eastAsia="Arial" w:hAnsi="Arial"/>
          <w:sz w:val="22"/>
          <w:szCs w:val="22"/>
        </w:rPr>
        <w:t xml:space="preserve">Childcare laundry in an infection control context includes: soiled clothing, bibs, face washers, soft toys, dress-up clothes, bed linen, pillow cases, and any fabric items that have contacted body fluids</w:t>
      </w:r>
    </w:p>
    <w:p>
      <w:pPr>
        <w:pStyle w:val="ListParagraph"/>
        <w:numPr>
          <w:ilvl w:val="0"/>
          <w:numId w:val="2"/>
        </w:numPr>
        <w:spacing w:after="40" w:before="40"/>
      </w:pPr>
      <w:r>
        <w:rPr>
          <w:rFonts w:ascii="Arial" w:cs="Arial" w:eastAsia="Arial" w:hAnsi="Arial"/>
          <w:sz w:val="22"/>
          <w:szCs w:val="22"/>
        </w:rPr>
        <w:t xml:space="preserve">Thermal disinfection: wash all infection-risk laundry at 60 degrees Celsius for minimum 10 minutes — this achieves effective thermal kill of bacteria and enveloped viruses including influenza and coronavirus</w:t>
      </w:r>
    </w:p>
    <w:p>
      <w:pPr>
        <w:pStyle w:val="ListParagraph"/>
        <w:numPr>
          <w:ilvl w:val="0"/>
          <w:numId w:val="2"/>
        </w:numPr>
        <w:spacing w:after="40" w:before="40"/>
      </w:pPr>
      <w:r>
        <w:rPr>
          <w:rFonts w:ascii="Arial" w:cs="Arial" w:eastAsia="Arial" w:hAnsi="Arial"/>
          <w:sz w:val="22"/>
          <w:szCs w:val="22"/>
        </w:rPr>
        <w:t xml:space="preserve">Heavily soiled items: rinse under cold running water before placing into the washing machine — do not shake or handle heavily soiled fabric items in a way that aerosolises the contamination</w:t>
      </w:r>
    </w:p>
    <w:p>
      <w:pPr>
        <w:pStyle w:val="ListParagraph"/>
        <w:numPr>
          <w:ilvl w:val="0"/>
          <w:numId w:val="2"/>
        </w:numPr>
        <w:spacing w:after="40" w:before="40"/>
      </w:pPr>
      <w:r>
        <w:rPr>
          <w:rFonts w:ascii="Arial" w:cs="Arial" w:eastAsia="Arial" w:hAnsi="Arial"/>
          <w:sz w:val="22"/>
          <w:szCs w:val="22"/>
        </w:rPr>
        <w:t xml:space="preserve">Soiled laundry handling: use waterproof gloves when handling soiled laundry, place directly into the washing machine or into a sealed laundry bag, do not leave soiled items in open containers accessible to other children or staff</w:t>
      </w:r>
    </w:p>
    <w:p>
      <w:pPr>
        <w:pStyle w:val="ListParagraph"/>
        <w:numPr>
          <w:ilvl w:val="0"/>
          <w:numId w:val="2"/>
        </w:numPr>
        <w:spacing w:after="40" w:before="40"/>
      </w:pPr>
      <w:r>
        <w:rPr>
          <w:rFonts w:ascii="Arial" w:cs="Arial" w:eastAsia="Arial" w:hAnsi="Arial"/>
          <w:sz w:val="22"/>
          <w:szCs w:val="22"/>
        </w:rPr>
        <w:t xml:space="preserve">Drying: machine dry at high heat where possible — UV from sunline drying provides additional microbial reduction for non-heat-sensitive items that cannot be hot-washed</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National Quality Standard Element 2.1.3: premises and equipment must be clean and maintained. This includes childcare laundry. A childcare service that does not have a documented laundry protocol for infection risk items is not meeting Element 2.1.3 — and a cleaning contractor that advises on laundry practice should ensure advice is aligned with this standard.</w:t>
      </w:r>
    </w:p>
    <w:p>
      <w:pPr>
        <w:spacing w:after="0" w:before="60"/>
      </w:pPr>
      <w:r>
        <w:t xml:space="preserve"/>
      </w:r>
    </w:p>
    <w:p>
      <w:pPr>
        <w:spacing w:after="80" w:before="200"/>
      </w:pPr>
      <w:r>
        <w:rPr>
          <w:rFonts w:ascii="Arial" w:cs="Arial" w:eastAsia="Arial" w:hAnsi="Arial"/>
          <w:b/>
          <w:bCs/>
          <w:sz w:val="23"/>
          <w:szCs w:val="23"/>
        </w:rPr>
        <w:t xml:space="preserve">Module 18: Outdoor Areas</w:t>
      </w:r>
    </w:p>
    <w:p>
      <w:pPr>
        <w:pStyle w:val="ListParagraph"/>
        <w:numPr>
          <w:ilvl w:val="0"/>
          <w:numId w:val="2"/>
        </w:numPr>
        <w:spacing w:after="40" w:before="40"/>
      </w:pPr>
      <w:r>
        <w:rPr>
          <w:rFonts w:ascii="Arial" w:cs="Arial" w:eastAsia="Arial" w:hAnsi="Arial"/>
          <w:sz w:val="22"/>
          <w:szCs w:val="22"/>
        </w:rPr>
        <w:t xml:space="preserve">Outdoor play areas are often the most underserved area of infection control programs in childcare — they receive heavy use, limited cleaning frequency, and are exposed to environmental contamination including bird droppings, animal faeces, and weather-deposited biological material</w:t>
      </w:r>
    </w:p>
    <w:p>
      <w:pPr>
        <w:pStyle w:val="ListParagraph"/>
        <w:numPr>
          <w:ilvl w:val="0"/>
          <w:numId w:val="2"/>
        </w:numPr>
        <w:spacing w:after="40" w:before="40"/>
      </w:pPr>
      <w:r>
        <w:rPr>
          <w:rFonts w:ascii="Arial" w:cs="Arial" w:eastAsia="Arial" w:hAnsi="Arial"/>
          <w:sz w:val="22"/>
          <w:szCs w:val="22"/>
        </w:rPr>
        <w:t xml:space="preserve">Sandpit management: cover sandpits when not in use, remove any faecal contamination (bird or animal) immediately and discard the surrounding sand, rake the sandpit surface at the start of each session</w:t>
      </w:r>
    </w:p>
    <w:p>
      <w:pPr>
        <w:pStyle w:val="ListParagraph"/>
        <w:numPr>
          <w:ilvl w:val="0"/>
          <w:numId w:val="2"/>
        </w:numPr>
        <w:spacing w:after="40" w:before="40"/>
      </w:pPr>
      <w:r>
        <w:rPr>
          <w:rFonts w:ascii="Arial" w:cs="Arial" w:eastAsia="Arial" w:hAnsi="Arial"/>
          <w:sz w:val="22"/>
          <w:szCs w:val="22"/>
        </w:rPr>
        <w:t xml:space="preserve">Water play: water tables and trays must be emptied, cleaned, and dried daily — standing water is a bacterial amplification environment. Do not top up water play containers — empty, clean, and refill each session</w:t>
      </w:r>
    </w:p>
    <w:p>
      <w:pPr>
        <w:pStyle w:val="ListParagraph"/>
        <w:numPr>
          <w:ilvl w:val="0"/>
          <w:numId w:val="2"/>
        </w:numPr>
        <w:spacing w:after="40" w:before="40"/>
      </w:pPr>
      <w:r>
        <w:rPr>
          <w:rFonts w:ascii="Arial" w:cs="Arial" w:eastAsia="Arial" w:hAnsi="Arial"/>
          <w:sz w:val="22"/>
          <w:szCs w:val="22"/>
        </w:rPr>
        <w:t xml:space="preserve">Play equipment: high-grip areas on climbing frames, slides, and swings collect biological material from children's hands — include these surfaces in the routine touch-point cleaning schedule with a surface-appropriate disinfectant</w:t>
      </w:r>
    </w:p>
    <w:p>
      <w:pPr>
        <w:pStyle w:val="ListParagraph"/>
        <w:numPr>
          <w:ilvl w:val="0"/>
          <w:numId w:val="2"/>
        </w:numPr>
        <w:spacing w:after="40" w:before="40"/>
      </w:pPr>
      <w:r>
        <w:rPr>
          <w:rFonts w:ascii="Arial" w:cs="Arial" w:eastAsia="Arial" w:hAnsi="Arial"/>
          <w:sz w:val="22"/>
          <w:szCs w:val="22"/>
        </w:rPr>
        <w:t xml:space="preserve">After a vomiting or faecal event outdoors: treat the outdoor contamination zone as a high-risk surface — contain the contamination with absorbent material, clean with appropriate chemical, disinfect, and document as an incident</w:t>
      </w:r>
    </w:p>
    <w:p>
      <w:pPr>
        <w:spacing w:after="80" w:before="80"/>
      </w:pPr>
      <w:r>
        <w:rPr>
          <w:rFonts w:ascii="Arial" w:cs="Arial" w:eastAsia="Arial" w:hAnsi="Arial"/>
          <w:b/>
          <w:bCs/>
          <w:sz w:val="22"/>
          <w:szCs w:val="22"/>
        </w:rPr>
        <w:t xml:space="preserve">Field Action: </w:t>
      </w:r>
      <w:r>
        <w:rPr>
          <w:rFonts w:ascii="Arial" w:cs="Arial" w:eastAsia="Arial" w:hAnsi="Arial"/>
          <w:sz w:val="22"/>
          <w:szCs w:val="22"/>
        </w:rPr>
        <w:t xml:space="preserve">Conduct a dedicated outdoor area inspection at the start of every childcare cleaning shift — look for animal faeces, damaged equipment with biological trapping points, standing water, and any evidence of overnight contamination before the children access the outdoor area.</w:t>
      </w:r>
    </w:p>
    <w:p>
      <w:pPr>
        <w:spacing w:after="0" w:before="60"/>
      </w:pPr>
      <w:r>
        <w:t xml:space="preserve"/>
      </w:r>
    </w:p>
    <w:p>
      <w:pPr>
        <w:spacing w:after="80" w:before="200"/>
      </w:pPr>
      <w:r>
        <w:rPr>
          <w:rFonts w:ascii="Arial" w:cs="Arial" w:eastAsia="Arial" w:hAnsi="Arial"/>
          <w:b/>
          <w:bCs/>
          <w:sz w:val="23"/>
          <w:szCs w:val="23"/>
        </w:rPr>
        <w:t xml:space="preserve">Module 19: Nappy Changes</w:t>
      </w:r>
    </w:p>
    <w:p>
      <w:pPr>
        <w:pStyle w:val="ListParagraph"/>
        <w:numPr>
          <w:ilvl w:val="0"/>
          <w:numId w:val="2"/>
        </w:numPr>
        <w:spacing w:after="40" w:before="40"/>
      </w:pPr>
      <w:r>
        <w:rPr>
          <w:rFonts w:ascii="Arial" w:cs="Arial" w:eastAsia="Arial" w:hAnsi="Arial"/>
          <w:sz w:val="22"/>
          <w:szCs w:val="22"/>
        </w:rPr>
        <w:t xml:space="preserve">The nappy change area is the highest-risk infection transmission zone in a childcare centre — it combines faecal-oral transmission risk with high-frequency surface use and multiple different children throughout the day</w:t>
      </w:r>
    </w:p>
    <w:p>
      <w:pPr>
        <w:pStyle w:val="ListParagraph"/>
        <w:numPr>
          <w:ilvl w:val="0"/>
          <w:numId w:val="2"/>
        </w:numPr>
        <w:spacing w:after="40" w:before="40"/>
      </w:pPr>
      <w:r>
        <w:rPr>
          <w:rFonts w:ascii="Arial" w:cs="Arial" w:eastAsia="Arial" w:hAnsi="Arial"/>
          <w:sz w:val="22"/>
          <w:szCs w:val="22"/>
        </w:rPr>
        <w:t xml:space="preserve">Nappy change surface protocol after every change: remove soiled disposable mat, clean the bench surface with soapy water, disinfect with a TGA-listed disinfectant at the correct concentration, allow the full dwell time, and place a fresh disposable mat before the next child</w:t>
      </w:r>
    </w:p>
    <w:p>
      <w:pPr>
        <w:pStyle w:val="ListParagraph"/>
        <w:numPr>
          <w:ilvl w:val="0"/>
          <w:numId w:val="2"/>
        </w:numPr>
        <w:spacing w:after="40" w:before="40"/>
      </w:pPr>
      <w:r>
        <w:rPr>
          <w:rFonts w:ascii="Arial" w:cs="Arial" w:eastAsia="Arial" w:hAnsi="Arial"/>
          <w:sz w:val="22"/>
          <w:szCs w:val="22"/>
        </w:rPr>
        <w:t xml:space="preserve">Nappy bin management: use a foot-pedal or hands-free lid bin for soiled nappies — the bin exterior (particularly the lid touch points) must be disinfected at minimum twice daily during routine operations and after every batch of nappy changes during an illness event</w:t>
      </w:r>
    </w:p>
    <w:p>
      <w:pPr>
        <w:pStyle w:val="ListParagraph"/>
        <w:numPr>
          <w:ilvl w:val="0"/>
          <w:numId w:val="2"/>
        </w:numPr>
        <w:spacing w:after="40" w:before="40"/>
      </w:pPr>
      <w:r>
        <w:rPr>
          <w:rFonts w:ascii="Arial" w:cs="Arial" w:eastAsia="Arial" w:hAnsi="Arial"/>
          <w:sz w:val="22"/>
          <w:szCs w:val="22"/>
        </w:rPr>
        <w:t xml:space="preserve">Soiled clothing: clothing soiled with faeces must be placed directly into a sealed bag for the parent — do not rinse soiled clothing in the childcare bathroom sink as this aerosolises faecal contamination and contaminates the sink</w:t>
      </w:r>
    </w:p>
    <w:p>
      <w:pPr>
        <w:pStyle w:val="ListParagraph"/>
        <w:numPr>
          <w:ilvl w:val="0"/>
          <w:numId w:val="2"/>
        </w:numPr>
        <w:spacing w:after="40" w:before="40"/>
      </w:pPr>
      <w:r>
        <w:rPr>
          <w:rFonts w:ascii="Arial" w:cs="Arial" w:eastAsia="Arial" w:hAnsi="Arial"/>
          <w:sz w:val="22"/>
          <w:szCs w:val="22"/>
        </w:rPr>
        <w:t xml:space="preserve">Hand hygiene after every nappy change: both the educator who performed the change and the child's hands must be washed with soap and water before the child returns to the group area</w:t>
      </w:r>
    </w:p>
    <w:p>
      <w:pPr>
        <w:spacing w:after="80" w:before="80"/>
      </w:pPr>
      <w:r>
        <w:rPr>
          <w:rFonts w:ascii="Arial" w:cs="Arial" w:eastAsia="Arial" w:hAnsi="Arial"/>
          <w:b/>
          <w:bCs/>
          <w:sz w:val="22"/>
          <w:szCs w:val="22"/>
        </w:rPr>
        <w:t xml:space="preserve">Standard Ref: </w:t>
      </w:r>
      <w:r>
        <w:rPr>
          <w:rFonts w:ascii="Arial" w:cs="Arial" w:eastAsia="Arial" w:hAnsi="Arial"/>
          <w:sz w:val="22"/>
          <w:szCs w:val="22"/>
        </w:rPr>
        <w:t xml:space="preserve">NHMRC Staying Healthy 5th edition, Section 3.8: Nappy Changing Procedures — provides the authoritative nappy change protocol for Australian childcare settings. All cleaning protocols for nappy change areas must align with this guidance.</w:t>
      </w:r>
    </w:p>
    <w:p>
      <w:pPr>
        <w:spacing w:after="0" w:before="60"/>
      </w:pPr>
      <w:r>
        <w:t xml:space="preserve"/>
      </w:r>
    </w:p>
    <w:p>
      <w:pPr>
        <w:spacing w:after="80" w:before="200"/>
      </w:pPr>
      <w:r>
        <w:rPr>
          <w:rFonts w:ascii="Arial" w:cs="Arial" w:eastAsia="Arial" w:hAnsi="Arial"/>
          <w:b/>
          <w:bCs/>
          <w:sz w:val="23"/>
          <w:szCs w:val="23"/>
        </w:rPr>
        <w:t xml:space="preserve">Module 20: Food Preparation and Handling</w:t>
      </w:r>
    </w:p>
    <w:p>
      <w:pPr>
        <w:pStyle w:val="ListParagraph"/>
        <w:numPr>
          <w:ilvl w:val="0"/>
          <w:numId w:val="2"/>
        </w:numPr>
        <w:spacing w:after="40" w:before="40"/>
      </w:pPr>
      <w:r>
        <w:rPr>
          <w:rFonts w:ascii="Arial" w:cs="Arial" w:eastAsia="Arial" w:hAnsi="Arial"/>
          <w:sz w:val="22"/>
          <w:szCs w:val="22"/>
        </w:rPr>
        <w:t xml:space="preserve">Food preparation areas in childcare are regulated under both the National Quality Standards and the Australia New Zealand Food Standards Code — cleaning protocols must satisfy both frameworks</w:t>
      </w:r>
    </w:p>
    <w:p>
      <w:pPr>
        <w:pStyle w:val="ListParagraph"/>
        <w:numPr>
          <w:ilvl w:val="0"/>
          <w:numId w:val="2"/>
        </w:numPr>
        <w:spacing w:after="40" w:before="40"/>
      </w:pPr>
      <w:r>
        <w:rPr>
          <w:rFonts w:ascii="Arial" w:cs="Arial" w:eastAsia="Arial" w:hAnsi="Arial"/>
          <w:sz w:val="22"/>
          <w:szCs w:val="22"/>
        </w:rPr>
        <w:t xml:space="preserve">Clean before disinfect: visible food residue neutralises disinfectants. Remove all food waste, clean surfaces with an appropriate food-safe detergent, rinse, then apply food-safe disinfectant at the correct dilution and allow the full dwell time before food contact resumes</w:t>
      </w:r>
    </w:p>
    <w:p>
      <w:pPr>
        <w:pStyle w:val="ListParagraph"/>
        <w:numPr>
          <w:ilvl w:val="0"/>
          <w:numId w:val="2"/>
        </w:numPr>
        <w:spacing w:after="40" w:before="40"/>
      </w:pPr>
      <w:r>
        <w:rPr>
          <w:rFonts w:ascii="Arial" w:cs="Arial" w:eastAsia="Arial" w:hAnsi="Arial"/>
          <w:sz w:val="22"/>
          <w:szCs w:val="22"/>
        </w:rPr>
        <w:t xml:space="preserve">Bench surfaces: use a dedicated food preparation colour-coded cloth and cleaning kit — never use cloths or equipment from the toilet, nappy change, or general areas in the food preparation zone</w:t>
      </w:r>
    </w:p>
    <w:p>
      <w:pPr>
        <w:pStyle w:val="ListParagraph"/>
        <w:numPr>
          <w:ilvl w:val="0"/>
          <w:numId w:val="2"/>
        </w:numPr>
        <w:spacing w:after="40" w:before="40"/>
      </w:pPr>
      <w:r>
        <w:rPr>
          <w:rFonts w:ascii="Arial" w:cs="Arial" w:eastAsia="Arial" w:hAnsi="Arial"/>
          <w:sz w:val="22"/>
          <w:szCs w:val="22"/>
        </w:rPr>
        <w:t xml:space="preserve">Food contact surfaces: any surface that directly contacts food including cutting boards, utensil trays, and bowls must be washed, rinsed, and sanitised after every use — a sanitiser must be food-safe (not a general surface disinfectant)</w:t>
      </w:r>
    </w:p>
    <w:p>
      <w:pPr>
        <w:pStyle w:val="ListParagraph"/>
        <w:numPr>
          <w:ilvl w:val="0"/>
          <w:numId w:val="2"/>
        </w:numPr>
        <w:spacing w:after="40" w:before="40"/>
      </w:pPr>
      <w:r>
        <w:rPr>
          <w:rFonts w:ascii="Arial" w:cs="Arial" w:eastAsia="Arial" w:hAnsi="Arial"/>
          <w:sz w:val="22"/>
          <w:szCs w:val="22"/>
        </w:rPr>
        <w:t xml:space="preserve">Refrigerator cleaning: clean and disinfect internal refrigerator surfaces weekly at minimum, and immediately after any food spill or spoilage event — check temperatures are maintained at 5 degrees Celsius or below as part of the routine cleaning check</w:t>
      </w:r>
    </w:p>
    <w:p>
      <w:pPr>
        <w:pStyle w:val="ListParagraph"/>
        <w:numPr>
          <w:ilvl w:val="0"/>
          <w:numId w:val="2"/>
        </w:numPr>
        <w:spacing w:after="40" w:before="40"/>
      </w:pPr>
      <w:r>
        <w:rPr>
          <w:rFonts w:ascii="Arial" w:cs="Arial" w:eastAsia="Arial" w:hAnsi="Arial"/>
          <w:sz w:val="22"/>
          <w:szCs w:val="22"/>
        </w:rPr>
        <w:t xml:space="preserve">Allergen management: cleaning between food preparation sessions involving different allergens requires a specific allergen cleaning protocol — a standard disinfection clean does not remove allergen protein. This is a critical food safety issue in childcare.</w:t>
      </w:r>
    </w:p>
    <w:p>
      <w:pPr>
        <w:spacing w:after="80" w:before="80"/>
      </w:pPr>
      <w:r>
        <w:rPr>
          <w:rFonts w:ascii="Arial" w:cs="Arial" w:eastAsia="Arial" w:hAnsi="Arial"/>
          <w:b/>
          <w:bCs/>
          <w:sz w:val="22"/>
          <w:szCs w:val="22"/>
        </w:rPr>
        <w:t xml:space="preserve">Compliance: </w:t>
      </w:r>
      <w:r>
        <w:rPr>
          <w:rFonts w:ascii="Arial" w:cs="Arial" w:eastAsia="Arial" w:hAnsi="Arial"/>
          <w:sz w:val="22"/>
          <w:szCs w:val="22"/>
        </w:rPr>
        <w:t xml:space="preserve">Food Standards Code Standard 3.2.2: Food Safety Practices and General Requirements — applies to food preparation in childcare centres. The cleaning contractor must understand that food safety cleaning in childcare is regulated beyond general hygiene requirements — confirm your protocol aligns with the centre's Food Safety Program.</w:t>
      </w:r>
    </w:p>
    <w:p>
      <w:r>
        <w:br w:type="page"/>
      </w:r>
    </w:p>
    <w:p>
      <w:pPr>
        <w:spacing w:after="120" w:before="0"/>
      </w:pPr>
      <w:r>
        <w:rPr>
          <w:rFonts w:ascii="Arial" w:cs="Arial" w:eastAsia="Arial" w:hAnsi="Arial"/>
          <w:b/>
          <w:bCs/>
          <w:sz w:val="32"/>
          <w:szCs w:val="32"/>
        </w:rPr>
        <w:t xml:space="preserve">WHAT YOU WILL LEARN</w:t>
      </w:r>
    </w:p>
    <w:p>
      <w:pPr>
        <w:spacing w:after="40" w:before="40"/>
      </w:pPr>
      <w:r>
        <w:rPr>
          <w:rFonts w:ascii="Arial" w:cs="Arial" w:eastAsia="Arial" w:hAnsi="Arial"/>
          <w:sz w:val="20"/>
          <w:szCs w:val="20"/>
        </w:rPr>
        <w:t xml:space="preserve">____________________________________________</w:t>
      </w:r>
    </w:p>
    <w:p>
      <w:pPr>
        <w:spacing w:after="60" w:before="60"/>
      </w:pPr>
      <w:r>
        <w:rPr>
          <w:rFonts w:ascii="Arial" w:cs="Arial" w:eastAsia="Arial" w:hAnsi="Arial"/>
          <w:sz w:val="22"/>
          <w:szCs w:val="22"/>
        </w:rPr>
        <w:t xml:space="preserve">Upon completing all courses across both sections of this consolidated curriculum, participants will have developed the following practical, legally defensible, and operationally ready competencies:</w:t>
      </w:r>
    </w:p>
    <w:p>
      <w:pPr>
        <w:spacing w:after="0" w:before="60"/>
      </w:pPr>
      <w:r>
        <w:t xml:space="preserve"/>
      </w:r>
    </w:p>
    <w:p>
      <w:pPr>
        <w:spacing w:after="60" w:before="160"/>
      </w:pPr>
      <w:r>
        <w:rPr>
          <w:rFonts w:ascii="Arial" w:cs="Arial" w:eastAsia="Arial" w:hAnsi="Arial"/>
          <w:b/>
          <w:bCs/>
          <w:sz w:val="22"/>
          <w:szCs w:val="22"/>
        </w:rPr>
        <w:t xml:space="preserve">Section A - WHS / Compliance Skills</w:t>
      </w:r>
    </w:p>
    <w:p>
      <w:pPr>
        <w:pStyle w:val="ListParagraph"/>
        <w:numPr>
          <w:ilvl w:val="0"/>
          <w:numId w:val="2"/>
        </w:numPr>
        <w:spacing w:after="40" w:before="40"/>
      </w:pPr>
      <w:r>
        <w:rPr>
          <w:rFonts w:ascii="Arial" w:cs="Arial" w:eastAsia="Arial" w:hAnsi="Arial"/>
          <w:sz w:val="22"/>
          <w:szCs w:val="22"/>
        </w:rPr>
        <w:t xml:space="preserve">Understand and apply the Model Work Health and Safety Act 2011, Model WHS Regulations, and state-specific WHS legislation to everyday restoration and cleaning operations</w:t>
      </w:r>
    </w:p>
    <w:p>
      <w:pPr>
        <w:pStyle w:val="ListParagraph"/>
        <w:numPr>
          <w:ilvl w:val="0"/>
          <w:numId w:val="2"/>
        </w:numPr>
        <w:spacing w:after="40" w:before="40"/>
      </w:pPr>
      <w:r>
        <w:rPr>
          <w:rFonts w:ascii="Arial" w:cs="Arial" w:eastAsia="Arial" w:hAnsi="Arial"/>
          <w:sz w:val="22"/>
          <w:szCs w:val="22"/>
        </w:rPr>
        <w:t xml:space="preserve">Identify when high-risk construction work triggers mandatory SWMS requirements under Schedule 18 and prepare compliant, site-specific SWMS documents</w:t>
      </w:r>
    </w:p>
    <w:p>
      <w:pPr>
        <w:pStyle w:val="ListParagraph"/>
        <w:numPr>
          <w:ilvl w:val="0"/>
          <w:numId w:val="2"/>
        </w:numPr>
        <w:spacing w:after="40" w:before="40"/>
      </w:pPr>
      <w:r>
        <w:rPr>
          <w:rFonts w:ascii="Arial" w:cs="Arial" w:eastAsia="Arial" w:hAnsi="Arial"/>
          <w:sz w:val="22"/>
          <w:szCs w:val="22"/>
        </w:rPr>
        <w:t xml:space="preserve">Complete a Job Safety and Environmental Analysis (JSEA) with genuine worker consultation before every task</w:t>
      </w:r>
    </w:p>
    <w:p>
      <w:pPr>
        <w:pStyle w:val="ListParagraph"/>
        <w:numPr>
          <w:ilvl w:val="0"/>
          <w:numId w:val="2"/>
        </w:numPr>
        <w:spacing w:after="40" w:before="40"/>
      </w:pPr>
      <w:r>
        <w:rPr>
          <w:rFonts w:ascii="Arial" w:cs="Arial" w:eastAsia="Arial" w:hAnsi="Arial"/>
          <w:sz w:val="22"/>
          <w:szCs w:val="22"/>
        </w:rPr>
        <w:t xml:space="preserve">Read and apply all 16 sections of a GHS-compliant Safety Data Sheet to real-time job-site decisions</w:t>
      </w:r>
    </w:p>
    <w:p>
      <w:pPr>
        <w:pStyle w:val="ListParagraph"/>
        <w:numPr>
          <w:ilvl w:val="0"/>
          <w:numId w:val="2"/>
        </w:numPr>
        <w:spacing w:after="40" w:before="40"/>
      </w:pPr>
      <w:r>
        <w:rPr>
          <w:rFonts w:ascii="Arial" w:cs="Arial" w:eastAsia="Arial" w:hAnsi="Arial"/>
          <w:sz w:val="22"/>
          <w:szCs w:val="22"/>
        </w:rPr>
        <w:t xml:space="preserve">Write task-specific Standard Operating Procedures (SOPs) that satisfy WHS legal requirements and are actually used by workers</w:t>
      </w:r>
    </w:p>
    <w:p>
      <w:pPr>
        <w:pStyle w:val="ListParagraph"/>
        <w:numPr>
          <w:ilvl w:val="0"/>
          <w:numId w:val="2"/>
        </w:numPr>
        <w:spacing w:after="40" w:before="40"/>
      </w:pPr>
      <w:r>
        <w:rPr>
          <w:rFonts w:ascii="Arial" w:cs="Arial" w:eastAsia="Arial" w:hAnsi="Arial"/>
          <w:sz w:val="22"/>
          <w:szCs w:val="22"/>
        </w:rPr>
        <w:t xml:space="preserve">Conduct a structured risk assessment using the Hierarchy of Controls and a scored risk matrix</w:t>
      </w:r>
    </w:p>
    <w:p>
      <w:pPr>
        <w:pStyle w:val="ListParagraph"/>
        <w:numPr>
          <w:ilvl w:val="0"/>
          <w:numId w:val="2"/>
        </w:numPr>
        <w:spacing w:after="40" w:before="40"/>
      </w:pPr>
      <w:r>
        <w:rPr>
          <w:rFonts w:ascii="Arial" w:cs="Arial" w:eastAsia="Arial" w:hAnsi="Arial"/>
          <w:sz w:val="22"/>
          <w:szCs w:val="22"/>
        </w:rPr>
        <w:t xml:space="preserve">Select, inspect, fit, and correctly wear and remove PPE appropriate to every water damage category and contamination type</w:t>
      </w:r>
    </w:p>
    <w:p>
      <w:pPr>
        <w:pStyle w:val="ListParagraph"/>
        <w:numPr>
          <w:ilvl w:val="0"/>
          <w:numId w:val="2"/>
        </w:numPr>
        <w:spacing w:after="40" w:before="40"/>
      </w:pPr>
      <w:r>
        <w:rPr>
          <w:rFonts w:ascii="Arial" w:cs="Arial" w:eastAsia="Arial" w:hAnsi="Arial"/>
          <w:sz w:val="22"/>
          <w:szCs w:val="22"/>
        </w:rPr>
        <w:t xml:space="preserve">Recognise and respond to heat exhaustion and heat stroke in a full-PPE environment</w:t>
      </w:r>
    </w:p>
    <w:p>
      <w:pPr>
        <w:pStyle w:val="ListParagraph"/>
        <w:numPr>
          <w:ilvl w:val="0"/>
          <w:numId w:val="2"/>
        </w:numPr>
        <w:spacing w:after="40" w:before="40"/>
      </w:pPr>
      <w:r>
        <w:rPr>
          <w:rFonts w:ascii="Arial" w:cs="Arial" w:eastAsia="Arial" w:hAnsi="Arial"/>
          <w:sz w:val="22"/>
          <w:szCs w:val="22"/>
        </w:rPr>
        <w:t xml:space="preserve">Identify and respond to suspected asbestos-containing materials including immediate stop-work, isolation, and notification protocols</w:t>
      </w:r>
    </w:p>
    <w:p>
      <w:pPr>
        <w:pStyle w:val="ListParagraph"/>
        <w:numPr>
          <w:ilvl w:val="0"/>
          <w:numId w:val="2"/>
        </w:numPr>
        <w:spacing w:after="40" w:before="40"/>
      </w:pPr>
      <w:r>
        <w:rPr>
          <w:rFonts w:ascii="Arial" w:cs="Arial" w:eastAsia="Arial" w:hAnsi="Arial"/>
          <w:sz w:val="22"/>
          <w:szCs w:val="22"/>
        </w:rPr>
        <w:t xml:space="preserve">Meet asbestos awareness, handling, containment, and reporting obligations under WHS Regulations Part 8.5</w:t>
      </w:r>
    </w:p>
    <w:p>
      <w:pPr>
        <w:spacing w:after="0" w:before="60"/>
      </w:pPr>
      <w:r>
        <w:t xml:space="preserve"/>
      </w:r>
    </w:p>
    <w:p>
      <w:pPr>
        <w:spacing w:after="60" w:before="160"/>
      </w:pPr>
      <w:r>
        <w:rPr>
          <w:rFonts w:ascii="Arial" w:cs="Arial" w:eastAsia="Arial" w:hAnsi="Arial"/>
          <w:b/>
          <w:bCs/>
          <w:sz w:val="22"/>
          <w:szCs w:val="22"/>
        </w:rPr>
        <w:t xml:space="preserve">Section B - Microbial, Infection Control and Hygiene Skills</w:t>
      </w:r>
    </w:p>
    <w:p>
      <w:pPr>
        <w:pStyle w:val="ListParagraph"/>
        <w:numPr>
          <w:ilvl w:val="0"/>
          <w:numId w:val="2"/>
        </w:numPr>
        <w:spacing w:after="40" w:before="40"/>
      </w:pPr>
      <w:r>
        <w:rPr>
          <w:rFonts w:ascii="Arial" w:cs="Arial" w:eastAsia="Arial" w:hAnsi="Arial"/>
          <w:sz w:val="22"/>
          <w:szCs w:val="22"/>
        </w:rPr>
        <w:t xml:space="preserve">Identify and differentiate between virus and bacteria types and apply the correct disinfectant class to each pathogen category</w:t>
      </w:r>
    </w:p>
    <w:p>
      <w:pPr>
        <w:pStyle w:val="ListParagraph"/>
        <w:numPr>
          <w:ilvl w:val="0"/>
          <w:numId w:val="2"/>
        </w:numPr>
        <w:spacing w:after="40" w:before="40"/>
      </w:pPr>
      <w:r>
        <w:rPr>
          <w:rFonts w:ascii="Arial" w:cs="Arial" w:eastAsia="Arial" w:hAnsi="Arial"/>
          <w:sz w:val="22"/>
          <w:szCs w:val="22"/>
        </w:rPr>
        <w:t xml:space="preserve">Use ATP bioluminescence testing equipment correctly, establish site-specific pass and fail thresholds, and prepare client-facing hygiene monitoring reports</w:t>
      </w:r>
    </w:p>
    <w:p>
      <w:pPr>
        <w:pStyle w:val="ListParagraph"/>
        <w:numPr>
          <w:ilvl w:val="0"/>
          <w:numId w:val="2"/>
        </w:numPr>
        <w:spacing w:after="40" w:before="40"/>
      </w:pPr>
      <w:r>
        <w:rPr>
          <w:rFonts w:ascii="Arial" w:cs="Arial" w:eastAsia="Arial" w:hAnsi="Arial"/>
          <w:sz w:val="22"/>
          <w:szCs w:val="22"/>
        </w:rPr>
        <w:t xml:space="preserve">Apply the two-stage clean-then-disinfect process correctly, including accurate dilution, correct dwell time, and post-clean verification</w:t>
      </w:r>
    </w:p>
    <w:p>
      <w:pPr>
        <w:pStyle w:val="ListParagraph"/>
        <w:numPr>
          <w:ilvl w:val="0"/>
          <w:numId w:val="2"/>
        </w:numPr>
        <w:spacing w:after="40" w:before="40"/>
      </w:pPr>
      <w:r>
        <w:rPr>
          <w:rFonts w:ascii="Arial" w:cs="Arial" w:eastAsia="Arial" w:hAnsi="Arial"/>
          <w:sz w:val="22"/>
          <w:szCs w:val="22"/>
        </w:rPr>
        <w:t xml:space="preserve">Implement a colour-coded zone system and cross-contamination prevention protocol on any infection control job site</w:t>
      </w:r>
    </w:p>
    <w:p>
      <w:pPr>
        <w:pStyle w:val="ListParagraph"/>
        <w:numPr>
          <w:ilvl w:val="0"/>
          <w:numId w:val="2"/>
        </w:numPr>
        <w:spacing w:after="40" w:before="40"/>
      </w:pPr>
      <w:r>
        <w:rPr>
          <w:rFonts w:ascii="Arial" w:cs="Arial" w:eastAsia="Arial" w:hAnsi="Arial"/>
          <w:sz w:val="22"/>
          <w:szCs w:val="22"/>
        </w:rPr>
        <w:t xml:space="preserve">Complete a JSEA and SWMS that address the specific biological, chemical, and environmental hazards of microbial remediation work</w:t>
      </w:r>
    </w:p>
    <w:p>
      <w:pPr>
        <w:pStyle w:val="ListParagraph"/>
        <w:numPr>
          <w:ilvl w:val="0"/>
          <w:numId w:val="2"/>
        </w:numPr>
        <w:spacing w:after="40" w:before="40"/>
      </w:pPr>
      <w:r>
        <w:rPr>
          <w:rFonts w:ascii="Arial" w:cs="Arial" w:eastAsia="Arial" w:hAnsi="Arial"/>
          <w:sz w:val="22"/>
          <w:szCs w:val="22"/>
        </w:rPr>
        <w:t xml:space="preserve">Plan and execute a compliant microbial remediation project from initial amplification assessment through to verified clearance, aligned with IICRC S520</w:t>
      </w:r>
    </w:p>
    <w:p>
      <w:pPr>
        <w:pStyle w:val="ListParagraph"/>
        <w:numPr>
          <w:ilvl w:val="0"/>
          <w:numId w:val="2"/>
        </w:numPr>
        <w:spacing w:after="40" w:before="40"/>
      </w:pPr>
      <w:r>
        <w:rPr>
          <w:rFonts w:ascii="Arial" w:cs="Arial" w:eastAsia="Arial" w:hAnsi="Arial"/>
          <w:sz w:val="22"/>
          <w:szCs w:val="22"/>
        </w:rPr>
        <w:t xml:space="preserve">Deliver infection control services in regulated environments including childcare, aged care, and healthcare — understanding the sector-specific compliance requirements of each</w:t>
      </w:r>
    </w:p>
    <w:p>
      <w:pPr>
        <w:pStyle w:val="ListParagraph"/>
        <w:numPr>
          <w:ilvl w:val="0"/>
          <w:numId w:val="2"/>
        </w:numPr>
        <w:spacing w:after="40" w:before="40"/>
      </w:pPr>
      <w:r>
        <w:rPr>
          <w:rFonts w:ascii="Arial" w:cs="Arial" w:eastAsia="Arial" w:hAnsi="Arial"/>
          <w:sz w:val="22"/>
          <w:szCs w:val="22"/>
        </w:rPr>
        <w:t xml:space="preserve">Manage ATP hygiene monitoring data across multiple sites and cleaning cycles to identify process failures and produce trend reports for clients</w:t>
      </w:r>
    </w:p>
    <w:p>
      <w:pPr>
        <w:pStyle w:val="ListParagraph"/>
        <w:numPr>
          <w:ilvl w:val="0"/>
          <w:numId w:val="2"/>
        </w:numPr>
        <w:spacing w:after="40" w:before="40"/>
      </w:pPr>
      <w:r>
        <w:rPr>
          <w:rFonts w:ascii="Arial" w:cs="Arial" w:eastAsia="Arial" w:hAnsi="Arial"/>
          <w:sz w:val="22"/>
          <w:szCs w:val="22"/>
        </w:rPr>
        <w:t xml:space="preserve">Operate as an infection control business with correctly structured insurance, contracts, documentation, and verification reporting</w:t>
      </w:r>
    </w:p>
    <w:p>
      <w:pPr>
        <w:spacing w:after="0" w:before="60"/>
      </w:pPr>
      <w:r>
        <w:t xml:space="preserve"/>
      </w:r>
    </w:p>
    <w:p>
      <w:pPr>
        <w:spacing w:after="60" w:before="160"/>
      </w:pPr>
      <w:r>
        <w:rPr>
          <w:rFonts w:ascii="Arial" w:cs="Arial" w:eastAsia="Arial" w:hAnsi="Arial"/>
          <w:b/>
          <w:bCs/>
          <w:sz w:val="22"/>
          <w:szCs w:val="22"/>
        </w:rPr>
        <w:t xml:space="preserve">Documentation and Professional Practice</w:t>
      </w:r>
    </w:p>
    <w:p>
      <w:pPr>
        <w:pStyle w:val="ListParagraph"/>
        <w:numPr>
          <w:ilvl w:val="0"/>
          <w:numId w:val="2"/>
        </w:numPr>
        <w:spacing w:after="40" w:before="40"/>
      </w:pPr>
      <w:r>
        <w:rPr>
          <w:rFonts w:ascii="Arial" w:cs="Arial" w:eastAsia="Arial" w:hAnsi="Arial"/>
          <w:sz w:val="22"/>
          <w:szCs w:val="22"/>
        </w:rPr>
        <w:t xml:space="preserve">Produce pre-job assessments, daily field notes, monitoring logs, laboratory result registers, and final clearance reports that satisfy insurer, IICRC, and regulatory requirements</w:t>
      </w:r>
    </w:p>
    <w:p>
      <w:pPr>
        <w:pStyle w:val="ListParagraph"/>
        <w:numPr>
          <w:ilvl w:val="0"/>
          <w:numId w:val="2"/>
        </w:numPr>
        <w:spacing w:after="40" w:before="40"/>
      </w:pPr>
      <w:r>
        <w:rPr>
          <w:rFonts w:ascii="Arial" w:cs="Arial" w:eastAsia="Arial" w:hAnsi="Arial"/>
          <w:sz w:val="22"/>
          <w:szCs w:val="22"/>
        </w:rPr>
        <w:t xml:space="preserve">Implement and maintain a WHS management system including SOPs, SWMSs, JSEAs, risk assessments, SDS registers, and training records</w:t>
      </w:r>
    </w:p>
    <w:p>
      <w:pPr>
        <w:pStyle w:val="ListParagraph"/>
        <w:numPr>
          <w:ilvl w:val="0"/>
          <w:numId w:val="2"/>
        </w:numPr>
        <w:spacing w:after="40" w:before="40"/>
      </w:pPr>
      <w:r>
        <w:rPr>
          <w:rFonts w:ascii="Arial" w:cs="Arial" w:eastAsia="Arial" w:hAnsi="Arial"/>
          <w:sz w:val="22"/>
          <w:szCs w:val="22"/>
        </w:rPr>
        <w:t xml:space="preserve">Issue written job completion certificates and hygiene monitoring reports that protect both the client and the contractor</w:t>
      </w:r>
    </w:p>
    <w:p>
      <w:pPr>
        <w:pStyle w:val="ListParagraph"/>
        <w:numPr>
          <w:ilvl w:val="0"/>
          <w:numId w:val="2"/>
        </w:numPr>
        <w:spacing w:after="40" w:before="40"/>
      </w:pPr>
      <w:r>
        <w:rPr>
          <w:rFonts w:ascii="Arial" w:cs="Arial" w:eastAsia="Arial" w:hAnsi="Arial"/>
          <w:sz w:val="22"/>
          <w:szCs w:val="22"/>
        </w:rPr>
        <w:t xml:space="preserve">Retain project files for a minimum of seven years in a format that is audit-ready and legally defensible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2026-04-15T03:35:38.400Z</dcterms:created>
  <dcterms:modified xsi:type="dcterms:W3CDTF">2026-04-15T03:35:38.401Z</dcterms:modified>
</cp:coreProperties>
</file>

<file path=docProps/custom.xml><?xml version="1.0" encoding="utf-8"?>
<Properties xmlns="http://schemas.openxmlformats.org/officeDocument/2006/custom-properties" xmlns:vt="http://schemas.openxmlformats.org/officeDocument/2006/docPropsVTypes"/>
</file>