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9700"/>
            <w:shd w:fill="1F3864" w:val="clear"/>
            <w:tcMar>
              <w:top w:type="dxa" w:w="700"/>
              <w:left w:type="dxa" w:w="500"/>
              <w:bottom w:type="dxa" w:w="700"/>
              <w:right w:type="dxa" w:w="500"/>
            </w:tcMar>
          </w:tcPr>
          <w:p>
            <w:pPr>
              <w:spacing w:after="120"/>
            </w:pPr>
            <w:r>
              <w:rPr>
                <w:b/>
                <w:bCs/>
                <w:color w:val="9FB3D9"/>
                <w:spacing w:val="20"/>
                <w:sz w:val="20"/>
                <w:szCs w:val="20"/>
              </w:rPr>
              <w:t xml:space="preserve">PROJECT SCOPE DOCUMENT</w:t>
            </w:r>
          </w:p>
          <w:p>
            <w:pPr>
              <w:spacing w:after="100"/>
            </w:pPr>
            <w:r>
              <w:rPr>
                <w:b/>
                <w:bCs/>
                <w:color w:val="FFFFFF"/>
                <w:sz w:val="52"/>
                <w:szCs w:val="52"/>
              </w:rPr>
              <w:t xml:space="preserve">Phase 2 Scope of Work</w:t>
            </w:r>
          </w:p>
          <w:p>
            <w:r>
              <w:rPr>
                <w:color w:val="D7E0F0"/>
                <w:sz w:val="26"/>
                <w:szCs w:val="26"/>
              </w:rPr>
              <w:t xml:space="preserve">Operational &amp; Financial Reconciliation — Optix (CCW-CRM)</w:t>
            </w:r>
          </w:p>
        </w:tc>
      </w:tr>
    </w:tbl>
    <w:p>
      <w:pPr>
        <w:spacing w:after="200" w:before="500"/>
      </w:pP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shd w:fill="E9EDF5" w:val="clear"/>
            <w:tcMar>
              <w:top w:type="dxa" w:w="80"/>
              <w:left w:type="dxa" w:w="100"/>
              <w:bottom w:type="dxa" w:w="80"/>
              <w:right w:type="dxa" w:w="100"/>
            </w:tcMar>
            <w:vAlign w:val="center"/>
          </w:tcPr>
          <w:p>
            <w:r>
              <w:rPr>
                <w:b/>
                <w:bCs/>
                <w:sz w:val="19"/>
                <w:szCs w:val="19"/>
              </w:rPr>
              <w:t xml:space="preserve">Client</w:t>
            </w:r>
          </w:p>
        </w:tc>
        <w:tc>
          <w:tcPr>
            <w:tcW w:type="dxa" w:w="6900"/>
            <w:tcMar>
              <w:top w:type="dxa" w:w="80"/>
              <w:left w:type="dxa" w:w="100"/>
              <w:bottom w:type="dxa" w:w="80"/>
              <w:right w:type="dxa" w:w="100"/>
            </w:tcMar>
            <w:vAlign w:val="center"/>
          </w:tcPr>
          <w:p>
            <w:r>
              <w:rPr>
                <w:b w:val="false"/>
                <w:bCs w:val="false"/>
                <w:sz w:val="19"/>
                <w:szCs w:val="19"/>
              </w:rPr>
              <w:t xml:space="preserve">Carpet Cleaners Warehouse</w:t>
            </w:r>
          </w:p>
        </w:tc>
      </w:tr>
      <w:tr>
        <w:tc>
          <w:tcPr>
            <w:tcW w:type="dxa" w:w="2800"/>
            <w:shd w:fill="E9EDF5" w:val="clear"/>
            <w:tcMar>
              <w:top w:type="dxa" w:w="80"/>
              <w:left w:type="dxa" w:w="100"/>
              <w:bottom w:type="dxa" w:w="80"/>
              <w:right w:type="dxa" w:w="100"/>
            </w:tcMar>
            <w:vAlign w:val="center"/>
          </w:tcPr>
          <w:p>
            <w:r>
              <w:rPr>
                <w:b/>
                <w:bCs/>
                <w:sz w:val="19"/>
                <w:szCs w:val="19"/>
              </w:rPr>
              <w:t xml:space="preserve">Client Sponsor</w:t>
            </w:r>
          </w:p>
        </w:tc>
        <w:tc>
          <w:tcPr>
            <w:tcW w:type="dxa" w:w="6900"/>
            <w:tcMar>
              <w:top w:type="dxa" w:w="80"/>
              <w:left w:type="dxa" w:w="100"/>
              <w:bottom w:type="dxa" w:w="80"/>
              <w:right w:type="dxa" w:w="100"/>
            </w:tcMar>
            <w:vAlign w:val="center"/>
          </w:tcPr>
          <w:p>
            <w:r>
              <w:rPr>
                <w:b w:val="false"/>
                <w:bCs w:val="false"/>
                <w:sz w:val="19"/>
                <w:szCs w:val="19"/>
              </w:rPr>
              <w:t xml:space="preserve">Toby Bredhauer — Director &amp; CEO</w:t>
            </w:r>
          </w:p>
        </w:tc>
      </w:tr>
      <w:tr>
        <w:tc>
          <w:tcPr>
            <w:tcW w:type="dxa" w:w="2800"/>
            <w:shd w:fill="E9EDF5" w:val="clear"/>
            <w:tcMar>
              <w:top w:type="dxa" w:w="80"/>
              <w:left w:type="dxa" w:w="100"/>
              <w:bottom w:type="dxa" w:w="80"/>
              <w:right w:type="dxa" w:w="100"/>
            </w:tcMar>
            <w:vAlign w:val="center"/>
          </w:tcPr>
          <w:p>
            <w:r>
              <w:rPr>
                <w:b/>
                <w:bCs/>
                <w:sz w:val="19"/>
                <w:szCs w:val="19"/>
              </w:rPr>
              <w:t xml:space="preserve">Product</w:t>
            </w:r>
          </w:p>
        </w:tc>
        <w:tc>
          <w:tcPr>
            <w:tcW w:type="dxa" w:w="6900"/>
            <w:tcMar>
              <w:top w:type="dxa" w:w="80"/>
              <w:left w:type="dxa" w:w="100"/>
              <w:bottom w:type="dxa" w:w="80"/>
              <w:right w:type="dxa" w:w="100"/>
            </w:tcMar>
            <w:vAlign w:val="center"/>
          </w:tcPr>
          <w:p>
            <w:r>
              <w:rPr>
                <w:b w:val="false"/>
                <w:bCs w:val="false"/>
                <w:sz w:val="19"/>
                <w:szCs w:val="19"/>
              </w:rPr>
              <w:t xml:space="preserve">Optix (CCW-CRM)</w:t>
            </w:r>
          </w:p>
        </w:tc>
      </w:tr>
      <w:tr>
        <w:tc>
          <w:tcPr>
            <w:tcW w:type="dxa" w:w="2800"/>
            <w:shd w:fill="E9EDF5" w:val="clear"/>
            <w:tcMar>
              <w:top w:type="dxa" w:w="80"/>
              <w:left w:type="dxa" w:w="100"/>
              <w:bottom w:type="dxa" w:w="80"/>
              <w:right w:type="dxa" w:w="100"/>
            </w:tcMar>
            <w:vAlign w:val="center"/>
          </w:tcPr>
          <w:p>
            <w:r>
              <w:rPr>
                <w:b/>
                <w:bCs/>
                <w:sz w:val="19"/>
                <w:szCs w:val="19"/>
              </w:rPr>
              <w:t xml:space="preserve">Depends on</w:t>
            </w:r>
          </w:p>
        </w:tc>
        <w:tc>
          <w:tcPr>
            <w:tcW w:type="dxa" w:w="6900"/>
            <w:tcMar>
              <w:top w:type="dxa" w:w="80"/>
              <w:left w:type="dxa" w:w="100"/>
              <w:bottom w:type="dxa" w:w="80"/>
              <w:right w:type="dxa" w:w="100"/>
            </w:tcMar>
            <w:vAlign w:val="center"/>
          </w:tcPr>
          <w:p>
            <w:r>
              <w:rPr>
                <w:b w:val="false"/>
                <w:bCs w:val="false"/>
                <w:sz w:val="19"/>
                <w:szCs w:val="19"/>
              </w:rPr>
              <w:t xml:space="preserve">Phase 1 — Data Synchronisation Foundation</w:t>
            </w:r>
          </w:p>
        </w:tc>
      </w:tr>
      <w:tr>
        <w:tc>
          <w:tcPr>
            <w:tcW w:type="dxa" w:w="2800"/>
            <w:shd w:fill="E9EDF5" w:val="clear"/>
            <w:tcMar>
              <w:top w:type="dxa" w:w="80"/>
              <w:left w:type="dxa" w:w="100"/>
              <w:bottom w:type="dxa" w:w="80"/>
              <w:right w:type="dxa" w:w="100"/>
            </w:tcMar>
            <w:vAlign w:val="center"/>
          </w:tcPr>
          <w:p>
            <w:r>
              <w:rPr>
                <w:b/>
                <w:bCs/>
                <w:sz w:val="19"/>
                <w:szCs w:val="19"/>
              </w:rPr>
              <w:t xml:space="preserve">Prepared by</w:t>
            </w:r>
          </w:p>
        </w:tc>
        <w:tc>
          <w:tcPr>
            <w:tcW w:type="dxa" w:w="6900"/>
            <w:tcMar>
              <w:top w:type="dxa" w:w="80"/>
              <w:left w:type="dxa" w:w="100"/>
              <w:bottom w:type="dxa" w:w="80"/>
              <w:right w:type="dxa" w:w="100"/>
            </w:tcMar>
            <w:vAlign w:val="center"/>
          </w:tcPr>
          <w:p>
            <w:r>
              <w:rPr>
                <w:b w:val="false"/>
                <w:bCs w:val="false"/>
                <w:sz w:val="19"/>
                <w:szCs w:val="19"/>
              </w:rPr>
              <w:t xml:space="preserve">Rana Muzamil — Software Engineer | Product Engineer</w:t>
            </w:r>
          </w:p>
        </w:tc>
      </w:tr>
      <w:tr>
        <w:tc>
          <w:tcPr>
            <w:tcW w:type="dxa" w:w="2800"/>
            <w:shd w:fill="E9EDF5" w:val="clear"/>
            <w:tcMar>
              <w:top w:type="dxa" w:w="80"/>
              <w:left w:type="dxa" w:w="100"/>
              <w:bottom w:type="dxa" w:w="80"/>
              <w:right w:type="dxa" w:w="100"/>
            </w:tcMar>
            <w:vAlign w:val="center"/>
          </w:tcPr>
          <w:p>
            <w:r>
              <w:rPr>
                <w:b/>
                <w:bCs/>
                <w:sz w:val="19"/>
                <w:szCs w:val="19"/>
              </w:rPr>
              <w:t xml:space="preserve">Document date</w:t>
            </w:r>
          </w:p>
        </w:tc>
        <w:tc>
          <w:tcPr>
            <w:tcW w:type="dxa" w:w="6900"/>
            <w:tcMar>
              <w:top w:type="dxa" w:w="80"/>
              <w:left w:type="dxa" w:w="100"/>
              <w:bottom w:type="dxa" w:w="80"/>
              <w:right w:type="dxa" w:w="100"/>
            </w:tcMar>
            <w:vAlign w:val="center"/>
          </w:tcPr>
          <w:p>
            <w:r>
              <w:rPr>
                <w:b w:val="false"/>
                <w:bCs w:val="false"/>
                <w:sz w:val="19"/>
                <w:szCs w:val="19"/>
              </w:rPr>
              <w:t xml:space="preserve">25 July 2026</w:t>
            </w:r>
          </w:p>
        </w:tc>
      </w:tr>
      <w:tr>
        <w:tc>
          <w:tcPr>
            <w:tcW w:type="dxa" w:w="2800"/>
            <w:shd w:fill="E9EDF5" w:val="clear"/>
            <w:tcMar>
              <w:top w:type="dxa" w:w="80"/>
              <w:left w:type="dxa" w:w="100"/>
              <w:bottom w:type="dxa" w:w="80"/>
              <w:right w:type="dxa" w:w="100"/>
            </w:tcMar>
            <w:vAlign w:val="center"/>
          </w:tcPr>
          <w:p>
            <w:r>
              <w:rPr>
                <w:b/>
                <w:bCs/>
                <w:sz w:val="19"/>
                <w:szCs w:val="19"/>
              </w:rPr>
              <w:t xml:space="preserve">Version</w:t>
            </w:r>
          </w:p>
        </w:tc>
        <w:tc>
          <w:tcPr>
            <w:tcW w:type="dxa" w:w="6900"/>
            <w:tcMar>
              <w:top w:type="dxa" w:w="80"/>
              <w:left w:type="dxa" w:w="100"/>
              <w:bottom w:type="dxa" w:w="80"/>
              <w:right w:type="dxa" w:w="100"/>
            </w:tcMar>
            <w:vAlign w:val="center"/>
          </w:tcPr>
          <w:p>
            <w:r>
              <w:rPr>
                <w:b w:val="false"/>
                <w:bCs w:val="false"/>
                <w:sz w:val="19"/>
                <w:szCs w:val="19"/>
              </w:rPr>
              <w:t xml:space="preserve">1.0 — Draft for client review and sign-off</w:t>
            </w:r>
          </w:p>
        </w:tc>
      </w:tr>
      <w:tr>
        <w:tc>
          <w:tcPr>
            <w:tcW w:type="dxa" w:w="2800"/>
            <w:shd w:fill="E9EDF5" w:val="clear"/>
            <w:tcMar>
              <w:top w:type="dxa" w:w="80"/>
              <w:left w:type="dxa" w:w="100"/>
              <w:bottom w:type="dxa" w:w="80"/>
              <w:right w:type="dxa" w:w="100"/>
            </w:tcMar>
            <w:vAlign w:val="center"/>
          </w:tcPr>
          <w:p>
            <w:r>
              <w:rPr>
                <w:b/>
                <w:bCs/>
                <w:sz w:val="19"/>
                <w:szCs w:val="19"/>
              </w:rPr>
              <w:t xml:space="preserve">Distribution</w:t>
            </w:r>
          </w:p>
        </w:tc>
        <w:tc>
          <w:tcPr>
            <w:tcW w:type="dxa" w:w="6900"/>
            <w:tcMar>
              <w:top w:type="dxa" w:w="80"/>
              <w:left w:type="dxa" w:w="100"/>
              <w:bottom w:type="dxa" w:w="80"/>
              <w:right w:type="dxa" w:w="100"/>
            </w:tcMar>
            <w:vAlign w:val="center"/>
          </w:tcPr>
          <w:p>
            <w:r>
              <w:rPr>
                <w:b w:val="false"/>
                <w:bCs w:val="false"/>
                <w:sz w:val="19"/>
                <w:szCs w:val="19"/>
              </w:rPr>
              <w:t xml:space="preserve">Toby Bredhauer and nominated CCW stakeholders</w:t>
            </w:r>
          </w:p>
        </w:tc>
      </w:tr>
    </w:tbl>
    <w:p>
      <w:pPr>
        <w:spacing w:before="700"/>
      </w:pPr>
    </w:p>
    <w:p>
      <w:pPr>
        <w:pBdr>
          <w:top w:val="single" w:color="BFBFBF" w:sz="4" w:space="6"/>
        </w:pBdr>
        <w:spacing w:after="100" w:before="100"/>
      </w:pPr>
      <w:r>
        <w:rPr>
          <w:b/>
          <w:bCs/>
          <w:color w:val="1F3864"/>
          <w:sz w:val="20"/>
          <w:szCs w:val="20"/>
        </w:rPr>
        <w:t xml:space="preserve">Purpose of this document</w:t>
      </w:r>
    </w:p>
    <w:p>
      <w:pPr>
        <w:spacing w:after="400"/>
      </w:pPr>
      <w:r>
        <w:rPr>
          <w:i/>
          <w:iCs/>
          <w:color w:val="595959"/>
          <w:sz w:val="19"/>
          <w:szCs w:val="19"/>
        </w:rPr>
        <w:t xml:space="preserve">This document defines the scope of Phase 2 of the Optix (CCW-CRM) project for Carpet Cleaners Warehouse. It sets out the objectives, deliverables, and acceptance criteria required to confirm that Optix produces the same operational and financial outcomes as Cin7. It is intended for review and written sign-off by Toby Bredhauer prior to development commencing.</w:t>
      </w:r>
    </w:p>
    <w:p>
      <w:pPr>
        <w:jc w:val="center"/>
      </w:pPr>
      <w:r>
        <w:rPr>
          <w:i/>
          <w:iCs/>
          <w:color w:val="8C8C8C"/>
          <w:sz w:val="17"/>
          <w:szCs w:val="17"/>
        </w:rPr>
        <w:t xml:space="preserve">Confidential — prepared for internal review between NuvanceX and Carpet Cleaners Warehouse</w:t>
      </w:r>
    </w:p>
    <w:p>
      <w:pPr>
        <w:sectPr>
          <w:headerReference w:type="first" r:id="rId7"/>
          <w:footerReference w:type="first" r:id="rId8"/>
          <w:pgSz w:w="11906" w:h="16838" w:orient="portrait"/>
          <w:pgMar w:top="1000" w:right="1100" w:bottom="1000" w:left="1100" w:header="708" w:footer="708" w:gutter="0"/>
          <w:pgNumType w:start="0"/>
          <w:titlePg/>
          <w:docGrid w:linePitch="360"/>
        </w:sectPr>
      </w:pPr>
    </w:p>
    <w:p>
      <w:pPr>
        <w:spacing w:after="260"/>
      </w:pPr>
      <w:r>
        <w:rPr>
          <w:b/>
          <w:bCs/>
          <w:color w:val="1F3864"/>
          <w:sz w:val="30"/>
          <w:szCs w:val="30"/>
        </w:rPr>
        <w:t xml:space="preserve">Contents</w:t>
      </w:r>
    </w:p>
    <w:p>
      <w:pPr>
        <w:tabs>
          <w:tab w:val="right" w:pos="9026" w:leader="dot"/>
        </w:tabs>
        <w:spacing w:after="100"/>
      </w:pPr>
      <w:r>
        <w:rPr>
          <w:sz w:val="22"/>
          <w:szCs w:val="22"/>
        </w:rPr>
        <w:t xml:space="preserve">1. Project Overview</w:t>
      </w:r>
    </w:p>
    <w:p>
      <w:pPr>
        <w:tabs>
          <w:tab w:val="right" w:pos="9026" w:leader="dot"/>
        </w:tabs>
        <w:spacing w:after="100"/>
      </w:pPr>
      <w:r>
        <w:rPr>
          <w:sz w:val="22"/>
          <w:szCs w:val="22"/>
        </w:rPr>
        <w:t xml:space="preserve">2. Guiding Principles</w:t>
      </w:r>
    </w:p>
    <w:p>
      <w:pPr>
        <w:tabs>
          <w:tab w:val="right" w:pos="9026" w:leader="dot"/>
        </w:tabs>
        <w:spacing w:after="100"/>
      </w:pPr>
      <w:r>
        <w:rPr>
          <w:sz w:val="22"/>
          <w:szCs w:val="22"/>
        </w:rPr>
        <w:t xml:space="preserve">3. Phase 2 Objectives</w:t>
      </w:r>
    </w:p>
    <w:p>
      <w:pPr>
        <w:tabs>
          <w:tab w:val="right" w:pos="9026" w:leader="dot"/>
        </w:tabs>
        <w:spacing w:after="100"/>
      </w:pPr>
      <w:r>
        <w:rPr>
          <w:sz w:val="22"/>
          <w:szCs w:val="22"/>
        </w:rPr>
        <w:t xml:space="preserve">4. Scope of Work — Order of Delivery</w:t>
      </w:r>
    </w:p>
    <w:p>
      <w:pPr>
        <w:tabs>
          <w:tab w:val="right" w:pos="9026" w:leader="dot"/>
        </w:tabs>
        <w:spacing w:after="100"/>
      </w:pPr>
      <w:r>
        <w:rPr>
          <w:sz w:val="22"/>
          <w:szCs w:val="22"/>
        </w:rPr>
        <w:t xml:space="preserve">5. Reconciliation Areas in Detail</w:t>
      </w:r>
    </w:p>
    <w:p>
      <w:pPr>
        <w:tabs>
          <w:tab w:val="right" w:pos="9026" w:leader="dot"/>
        </w:tabs>
        <w:spacing w:after="100"/>
      </w:pPr>
      <w:r>
        <w:rPr>
          <w:sz w:val="22"/>
          <w:szCs w:val="22"/>
        </w:rPr>
        <w:t xml:space="preserve">6. User Experience Improvements</w:t>
      </w:r>
    </w:p>
    <w:p>
      <w:pPr>
        <w:tabs>
          <w:tab w:val="right" w:pos="9026" w:leader="dot"/>
        </w:tabs>
        <w:spacing w:after="100"/>
      </w:pPr>
      <w:r>
        <w:rPr>
          <w:sz w:val="22"/>
          <w:szCs w:val="22"/>
        </w:rPr>
        <w:t xml:space="preserve">7. System &amp; Platform Enhancements</w:t>
      </w:r>
    </w:p>
    <w:p>
      <w:pPr>
        <w:tabs>
          <w:tab w:val="right" w:pos="9026" w:leader="dot"/>
        </w:tabs>
        <w:spacing w:after="100"/>
      </w:pPr>
      <w:r>
        <w:rPr>
          <w:sz w:val="22"/>
          <w:szCs w:val="22"/>
        </w:rPr>
        <w:t xml:space="preserve">8. Integrations</w:t>
      </w:r>
    </w:p>
    <w:p>
      <w:pPr>
        <w:tabs>
          <w:tab w:val="right" w:pos="9026" w:leader="dot"/>
        </w:tabs>
        <w:spacing w:after="100"/>
      </w:pPr>
      <w:r>
        <w:rPr>
          <w:sz w:val="22"/>
          <w:szCs w:val="22"/>
        </w:rPr>
        <w:t xml:space="preserve">9. Deliverables</w:t>
      </w:r>
    </w:p>
    <w:p>
      <w:pPr>
        <w:tabs>
          <w:tab w:val="right" w:pos="9026" w:leader="dot"/>
        </w:tabs>
        <w:spacing w:after="100"/>
      </w:pPr>
      <w:r>
        <w:rPr>
          <w:sz w:val="22"/>
          <w:szCs w:val="22"/>
        </w:rPr>
        <w:t xml:space="preserve">10. Assumptions &amp; Dependencies</w:t>
      </w:r>
    </w:p>
    <w:p>
      <w:pPr>
        <w:tabs>
          <w:tab w:val="right" w:pos="9026" w:leader="dot"/>
        </w:tabs>
        <w:spacing w:after="100"/>
      </w:pPr>
      <w:r>
        <w:rPr>
          <w:sz w:val="22"/>
          <w:szCs w:val="22"/>
        </w:rPr>
        <w:t xml:space="preserve">11. Out of Scope</w:t>
      </w:r>
    </w:p>
    <w:p>
      <w:pPr>
        <w:tabs>
          <w:tab w:val="right" w:pos="9026" w:leader="dot"/>
        </w:tabs>
        <w:spacing w:after="100"/>
      </w:pPr>
      <w:r>
        <w:rPr>
          <w:sz w:val="22"/>
          <w:szCs w:val="22"/>
        </w:rPr>
        <w:t xml:space="preserve">12. Acceptance Criteria &amp; Exception Handling</w:t>
      </w:r>
    </w:p>
    <w:p>
      <w:pPr>
        <w:tabs>
          <w:tab w:val="right" w:pos="9026" w:leader="dot"/>
        </w:tabs>
        <w:spacing w:after="100"/>
      </w:pPr>
      <w:r>
        <w:rPr>
          <w:sz w:val="22"/>
          <w:szCs w:val="22"/>
        </w:rPr>
        <w:t xml:space="preserve">13. Materiality &amp; Risk Management</w:t>
      </w:r>
    </w:p>
    <w:p>
      <w:pPr>
        <w:tabs>
          <w:tab w:val="right" w:pos="9026" w:leader="dot"/>
        </w:tabs>
        <w:spacing w:after="100"/>
      </w:pPr>
      <w:r>
        <w:rPr>
          <w:sz w:val="22"/>
          <w:szCs w:val="22"/>
        </w:rPr>
        <w:t xml:space="preserve">14. Expected Business Outcomes</w:t>
      </w:r>
    </w:p>
    <w:p>
      <w:pPr>
        <w:tabs>
          <w:tab w:val="right" w:pos="9026" w:leader="dot"/>
        </w:tabs>
        <w:spacing w:after="100"/>
      </w:pPr>
      <w:r>
        <w:rPr>
          <w:sz w:val="22"/>
          <w:szCs w:val="22"/>
        </w:rPr>
        <w:t xml:space="preserve">15. Open Items for Client Confirmation</w:t>
      </w:r>
    </w:p>
    <w:p>
      <w:pPr>
        <w:tabs>
          <w:tab w:val="right" w:pos="9026" w:leader="dot"/>
        </w:tabs>
        <w:spacing w:after="100"/>
      </w:pPr>
      <w:r>
        <w:rPr>
          <w:sz w:val="22"/>
          <w:szCs w:val="22"/>
        </w:rPr>
        <w:t xml:space="preserve">16. Next Steps</w:t>
      </w:r>
    </w:p>
    <w:p>
      <w:pPr>
        <w:tabs>
          <w:tab w:val="right" w:pos="9026" w:leader="dot"/>
        </w:tabs>
        <w:spacing w:after="100"/>
      </w:pPr>
      <w:r>
        <w:rPr>
          <w:sz w:val="22"/>
          <w:szCs w:val="22"/>
        </w:rPr>
        <w:t xml:space="preserve">17. Document Control</w:t>
      </w:r>
    </w:p>
    <w:p>
      <w:pPr>
        <w:pStyle w:val="Heading1"/>
        <w:pBdr>
          <w:bottom w:val="single" w:color="BFBFBF" w:sz="6" w:space="4"/>
        </w:pBdr>
        <w:spacing w:after="160" w:before="420"/>
      </w:pPr>
      <w:r>
        <w:rPr>
          <w:b/>
          <w:bCs/>
          <w:color w:val="1F3864"/>
          <w:sz w:val="28"/>
          <w:szCs w:val="28"/>
        </w:rPr>
        <w:t xml:space="preserve">1. Project Overview</w:t>
      </w:r>
    </w:p>
    <w:p>
      <w:pPr>
        <w:spacing w:after="120"/>
      </w:pPr>
      <w:r>
        <w:rPr>
          <w:i w:val="false"/>
          <w:iCs w:val="false"/>
          <w:sz w:val="21"/>
          <w:szCs w:val="21"/>
        </w:rPr>
        <w:t xml:space="preserve">Phase 1 delivered the foundation for this project: a resumable, transparent process for bringing Cin7's master data — products, customers, suppliers, branches and warehouses — into Optix, with clear reporting whenever something hasn't synced correctly. That foundation is now stable and in close-out.</w:t>
      </w:r>
    </w:p>
    <w:p>
      <w:pPr>
        <w:spacing w:after="120"/>
      </w:pPr>
      <w:r>
        <w:rPr>
          <w:i w:val="false"/>
          <w:iCs w:val="false"/>
          <w:sz w:val="21"/>
          <w:szCs w:val="21"/>
        </w:rPr>
        <w:t xml:space="preserve">Phase 2 moves from “does the data match” to “do the numbers match.” It is a structured, step-by-step validation that Optix produces the same operational and financial answers as Cin7 — stock on hand, stock value, sales totals, cost of goods sold, customer and supplier balances, and ultimately the figures reported in Xero.</w:t>
      </w:r>
    </w:p>
    <w:p>
      <w:pPr>
        <w:spacing w:after="120"/>
      </w:pPr>
      <w:r>
        <w:rPr>
          <w:i w:val="false"/>
          <w:iCs w:val="false"/>
          <w:sz w:val="21"/>
          <w:szCs w:val="21"/>
        </w:rPr>
        <w:t xml:space="preserve">The north-star outcome: for any agreed point in time, if Toby or Anne asks Optix for a stock valuation, a COGS figure, an inventory position, or a customer or supplier balance, Optix and Cin7 give the same answer.</w:t>
      </w:r>
    </w:p>
    <w:p>
      <w:pPr>
        <w:spacing w:after="120"/>
      </w:pPr>
      <w:r>
        <w:rPr>
          <w:i w:val="false"/>
          <w:iCs w:val="false"/>
          <w:sz w:val="21"/>
          <w:szCs w:val="21"/>
        </w:rPr>
        <w:t xml:space="preserve">This is deliberately not a phase for new features or workflows. It is a trust-building exercise, delivered area by area, with a formal sign-off at the end of each.</w:t>
      </w:r>
    </w:p>
    <w:p>
      <w:pPr>
        <w:pStyle w:val="Heading1"/>
        <w:pBdr>
          <w:bottom w:val="single" w:color="BFBFBF" w:sz="6" w:space="4"/>
        </w:pBdr>
        <w:spacing w:after="160" w:before="420"/>
      </w:pPr>
      <w:r>
        <w:rPr>
          <w:b/>
          <w:bCs/>
          <w:color w:val="1F3864"/>
          <w:sz w:val="28"/>
          <w:szCs w:val="28"/>
        </w:rPr>
        <w:t xml:space="preserve">2. Guiding Principles</w:t>
      </w:r>
    </w:p>
    <w:p>
      <w:pPr>
        <w:spacing w:after="120"/>
      </w:pPr>
      <w:r>
        <w:rPr>
          <w:i w:val="false"/>
          <w:iCs w:val="false"/>
          <w:sz w:val="21"/>
          <w:szCs w:val="21"/>
        </w:rPr>
        <w:t xml:space="preserve">These principles apply across every reconciliation area and shape every decision made during Phase 2.</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shd w:fill="E9EDF5" w:val="clear"/>
            <w:tcMar>
              <w:top w:type="dxa" w:w="80"/>
              <w:left w:type="dxa" w:w="100"/>
              <w:bottom w:type="dxa" w:w="80"/>
              <w:right w:type="dxa" w:w="100"/>
            </w:tcMar>
            <w:vAlign w:val="center"/>
          </w:tcPr>
          <w:p>
            <w:r>
              <w:rPr>
                <w:b/>
                <w:bCs/>
                <w:sz w:val="19"/>
                <w:szCs w:val="19"/>
              </w:rPr>
              <w:t xml:space="preserve">Principle</w:t>
            </w:r>
          </w:p>
        </w:tc>
        <w:tc>
          <w:tcPr>
            <w:tcW w:type="dxa" w:w="6900"/>
            <w:shd w:fill="E9EDF5" w:val="clear"/>
            <w:tcMar>
              <w:top w:type="dxa" w:w="80"/>
              <w:left w:type="dxa" w:w="100"/>
              <w:bottom w:type="dxa" w:w="80"/>
              <w:right w:type="dxa" w:w="100"/>
            </w:tcMar>
            <w:vAlign w:val="center"/>
          </w:tcPr>
          <w:p>
            <w:r>
              <w:rPr>
                <w:b/>
                <w:bCs/>
                <w:sz w:val="19"/>
                <w:szCs w:val="19"/>
              </w:rPr>
              <w:t xml:space="preserve">What it means in practice</w:t>
            </w:r>
          </w:p>
        </w:tc>
      </w:tr>
      <w:tr>
        <w:tc>
          <w:tcPr>
            <w:tcW w:type="dxa" w:w="2800"/>
            <w:tcMar>
              <w:top w:type="dxa" w:w="80"/>
              <w:left w:type="dxa" w:w="100"/>
              <w:bottom w:type="dxa" w:w="80"/>
              <w:right w:type="dxa" w:w="100"/>
            </w:tcMar>
            <w:vAlign w:val="center"/>
          </w:tcPr>
          <w:p>
            <w:r>
              <w:rPr>
                <w:b w:val="false"/>
                <w:bCs w:val="false"/>
                <w:sz w:val="19"/>
                <w:szCs w:val="19"/>
              </w:rPr>
              <w:t xml:space="preserve">Cin7 is the source of truth</w:t>
            </w:r>
          </w:p>
        </w:tc>
        <w:tc>
          <w:tcPr>
            <w:tcW w:type="dxa" w:w="6900"/>
            <w:tcMar>
              <w:top w:type="dxa" w:w="80"/>
              <w:left w:type="dxa" w:w="100"/>
              <w:bottom w:type="dxa" w:w="80"/>
              <w:right w:type="dxa" w:w="100"/>
            </w:tcMar>
            <w:vAlign w:val="center"/>
          </w:tcPr>
          <w:p>
            <w:r>
              <w:rPr>
                <w:b w:val="false"/>
                <w:bCs w:val="false"/>
                <w:sz w:val="19"/>
                <w:szCs w:val="19"/>
              </w:rPr>
              <w:t xml:space="preserve">Live Cin7 data is never changed simply to make numbers agree with Optix.</w:t>
            </w:r>
          </w:p>
        </w:tc>
      </w:tr>
      <w:tr>
        <w:tc>
          <w:tcPr>
            <w:tcW w:type="dxa" w:w="2800"/>
            <w:tcMar>
              <w:top w:type="dxa" w:w="80"/>
              <w:left w:type="dxa" w:w="100"/>
              <w:bottom w:type="dxa" w:w="80"/>
              <w:right w:type="dxa" w:w="100"/>
            </w:tcMar>
            <w:vAlign w:val="center"/>
          </w:tcPr>
          <w:p>
            <w:r>
              <w:rPr>
                <w:b w:val="false"/>
                <w:bCs w:val="false"/>
                <w:sz w:val="19"/>
                <w:szCs w:val="19"/>
              </w:rPr>
              <w:t xml:space="preserve">Explain, don’t force</w:t>
            </w:r>
          </w:p>
        </w:tc>
        <w:tc>
          <w:tcPr>
            <w:tcW w:type="dxa" w:w="6900"/>
            <w:tcMar>
              <w:top w:type="dxa" w:w="80"/>
              <w:left w:type="dxa" w:w="100"/>
              <w:bottom w:type="dxa" w:w="80"/>
              <w:right w:type="dxa" w:w="100"/>
            </w:tcMar>
            <w:vAlign w:val="center"/>
          </w:tcPr>
          <w:p>
            <w:r>
              <w:rPr>
                <w:b w:val="false"/>
                <w:bCs w:val="false"/>
                <w:sz w:val="19"/>
                <w:szCs w:val="19"/>
              </w:rPr>
              <w:t xml:space="preserve">Differences are investigated and explained, or formally recorded as an approved exception — never hidden.</w:t>
            </w:r>
          </w:p>
        </w:tc>
      </w:tr>
      <w:tr>
        <w:tc>
          <w:tcPr>
            <w:tcW w:type="dxa" w:w="2800"/>
            <w:tcMar>
              <w:top w:type="dxa" w:w="80"/>
              <w:left w:type="dxa" w:w="100"/>
              <w:bottom w:type="dxa" w:w="80"/>
              <w:right w:type="dxa" w:w="100"/>
            </w:tcMar>
            <w:vAlign w:val="center"/>
          </w:tcPr>
          <w:p>
            <w:r>
              <w:rPr>
                <w:b w:val="false"/>
                <w:bCs w:val="false"/>
                <w:sz w:val="19"/>
                <w:szCs w:val="19"/>
              </w:rPr>
              <w:t xml:space="preserve">Trust builds in stages</w:t>
            </w:r>
          </w:p>
        </w:tc>
        <w:tc>
          <w:tcPr>
            <w:tcW w:type="dxa" w:w="6900"/>
            <w:tcMar>
              <w:top w:type="dxa" w:w="80"/>
              <w:left w:type="dxa" w:w="100"/>
              <w:bottom w:type="dxa" w:w="80"/>
              <w:right w:type="dxa" w:w="100"/>
            </w:tcMar>
            <w:vAlign w:val="center"/>
          </w:tcPr>
          <w:p>
            <w:r>
              <w:rPr>
                <w:b w:val="false"/>
                <w:bCs w:val="false"/>
                <w:sz w:val="19"/>
                <w:szCs w:val="19"/>
              </w:rPr>
              <w:t xml:space="preserve">Each reconciliation area is only started once the area before it has been signed off.</w:t>
            </w:r>
          </w:p>
        </w:tc>
      </w:tr>
      <w:tr>
        <w:tc>
          <w:tcPr>
            <w:tcW w:type="dxa" w:w="2800"/>
            <w:tcMar>
              <w:top w:type="dxa" w:w="80"/>
              <w:left w:type="dxa" w:w="100"/>
              <w:bottom w:type="dxa" w:w="80"/>
              <w:right w:type="dxa" w:w="100"/>
            </w:tcMar>
            <w:vAlign w:val="center"/>
          </w:tcPr>
          <w:p>
            <w:r>
              <w:rPr>
                <w:b w:val="false"/>
                <w:bCs w:val="false"/>
                <w:sz w:val="19"/>
                <w:szCs w:val="19"/>
              </w:rPr>
              <w:t xml:space="preserve">Outcomes over features</w:t>
            </w:r>
          </w:p>
        </w:tc>
        <w:tc>
          <w:tcPr>
            <w:tcW w:type="dxa" w:w="6900"/>
            <w:tcMar>
              <w:top w:type="dxa" w:w="80"/>
              <w:left w:type="dxa" w:w="100"/>
              <w:bottom w:type="dxa" w:w="80"/>
              <w:right w:type="dxa" w:w="100"/>
            </w:tcMar>
            <w:vAlign w:val="center"/>
          </w:tcPr>
          <w:p>
            <w:r>
              <w:rPr>
                <w:b w:val="false"/>
                <w:bCs w:val="false"/>
                <w:sz w:val="19"/>
                <w:szCs w:val="19"/>
              </w:rPr>
              <w:t xml:space="preserve">Success is defined as matching answers, not new screens, reports, or workflows.</w:t>
            </w:r>
          </w:p>
        </w:tc>
      </w:tr>
      <w:tr>
        <w:tc>
          <w:tcPr>
            <w:tcW w:type="dxa" w:w="2800"/>
            <w:tcMar>
              <w:top w:type="dxa" w:w="80"/>
              <w:left w:type="dxa" w:w="100"/>
              <w:bottom w:type="dxa" w:w="80"/>
              <w:right w:type="dxa" w:w="100"/>
            </w:tcMar>
            <w:vAlign w:val="center"/>
          </w:tcPr>
          <w:p>
            <w:r>
              <w:rPr>
                <w:b w:val="false"/>
                <w:bCs w:val="false"/>
                <w:sz w:val="19"/>
                <w:szCs w:val="19"/>
              </w:rPr>
              <w:t xml:space="preserve">Faithful costing</w:t>
            </w:r>
          </w:p>
        </w:tc>
        <w:tc>
          <w:tcPr>
            <w:tcW w:type="dxa" w:w="6900"/>
            <w:tcMar>
              <w:top w:type="dxa" w:w="80"/>
              <w:left w:type="dxa" w:w="100"/>
              <w:bottom w:type="dxa" w:w="80"/>
              <w:right w:type="dxa" w:w="100"/>
            </w:tcMar>
            <w:vAlign w:val="center"/>
          </w:tcPr>
          <w:p>
            <w:r>
              <w:rPr>
                <w:b w:val="false"/>
                <w:bCs w:val="false"/>
                <w:sz w:val="19"/>
                <w:szCs w:val="19"/>
              </w:rPr>
              <w:t xml:space="preserve">Optix represents Cin7’s FIFO costing outcomes rather than introducing an independent costing method.</w:t>
            </w:r>
          </w:p>
        </w:tc>
      </w:tr>
      <w:tr>
        <w:tc>
          <w:tcPr>
            <w:tcW w:type="dxa" w:w="2800"/>
            <w:tcMar>
              <w:top w:type="dxa" w:w="80"/>
              <w:left w:type="dxa" w:w="100"/>
              <w:bottom w:type="dxa" w:w="80"/>
              <w:right w:type="dxa" w:w="100"/>
            </w:tcMar>
            <w:vAlign w:val="center"/>
          </w:tcPr>
          <w:p>
            <w:r>
              <w:rPr>
                <w:b w:val="false"/>
                <w:bCs w:val="false"/>
                <w:sz w:val="19"/>
                <w:szCs w:val="19"/>
              </w:rPr>
              <w:t xml:space="preserve">Phase 1 continues in parallel</w:t>
            </w:r>
          </w:p>
        </w:tc>
        <w:tc>
          <w:tcPr>
            <w:tcW w:type="dxa" w:w="6900"/>
            <w:tcMar>
              <w:top w:type="dxa" w:w="80"/>
              <w:left w:type="dxa" w:w="100"/>
              <w:bottom w:type="dxa" w:w="80"/>
              <w:right w:type="dxa" w:w="100"/>
            </w:tcMar>
            <w:vAlign w:val="center"/>
          </w:tcPr>
          <w:p>
            <w:r>
              <w:rPr>
                <w:b w:val="false"/>
                <w:bCs w:val="false"/>
                <w:sz w:val="19"/>
                <w:szCs w:val="19"/>
              </w:rPr>
              <w:t xml:space="preserve">The master-data Exception Report stays active until all Phase 1 items are closed or formally accepted.</w:t>
            </w:r>
          </w:p>
        </w:tc>
      </w:tr>
    </w:tbl>
    <w:p>
      <w:pPr>
        <w:pStyle w:val="Heading1"/>
        <w:pBdr>
          <w:bottom w:val="single" w:color="BFBFBF" w:sz="6" w:space="4"/>
        </w:pBdr>
        <w:spacing w:after="160" w:before="420"/>
      </w:pPr>
      <w:r>
        <w:rPr>
          <w:b/>
          <w:bCs/>
          <w:color w:val="1F3864"/>
          <w:sz w:val="28"/>
          <w:szCs w:val="28"/>
        </w:rPr>
        <w:t xml:space="preserve">3. Phase 2 Objectives</w:t>
      </w:r>
    </w:p>
    <w:p>
      <w:pPr>
        <w:pStyle w:val="ListParagraph"/>
        <w:numPr>
          <w:ilvl w:val="0"/>
          <w:numId w:val="2"/>
        </w:numPr>
        <w:spacing w:after="55"/>
      </w:pPr>
      <w:r>
        <w:rPr>
          <w:sz w:val="21"/>
          <w:szCs w:val="21"/>
        </w:rPr>
        <w:t xml:space="preserve">Confirm Optix reproduces Cin7’s operational and financial outcomes — not just its raw data.</w:t>
      </w:r>
    </w:p>
    <w:p>
      <w:pPr>
        <w:pStyle w:val="ListParagraph"/>
        <w:numPr>
          <w:ilvl w:val="0"/>
          <w:numId w:val="2"/>
        </w:numPr>
        <w:spacing w:after="55"/>
      </w:pPr>
      <w:r>
        <w:rPr>
          <w:sz w:val="21"/>
          <w:szCs w:val="21"/>
        </w:rPr>
        <w:t xml:space="preserve">Give the business a clear, evidence-based way to see and resolve differences, with nothing hidden or silently adjusted.</w:t>
      </w:r>
    </w:p>
    <w:p>
      <w:pPr>
        <w:pStyle w:val="ListParagraph"/>
        <w:numPr>
          <w:ilvl w:val="0"/>
          <w:numId w:val="2"/>
        </w:numPr>
        <w:spacing w:after="55"/>
      </w:pPr>
      <w:r>
        <w:rPr>
          <w:sz w:val="21"/>
          <w:szCs w:val="21"/>
        </w:rPr>
        <w:t xml:space="preserve">Build confidence in stages, starting with stock quantities and progressing to full financial reconciliation with Xero.</w:t>
      </w:r>
    </w:p>
    <w:p>
      <w:pPr>
        <w:pStyle w:val="ListParagraph"/>
        <w:numPr>
          <w:ilvl w:val="0"/>
          <w:numId w:val="2"/>
        </w:numPr>
        <w:spacing w:after="55"/>
      </w:pPr>
      <w:r>
        <w:rPr>
          <w:sz w:val="21"/>
          <w:szCs w:val="21"/>
        </w:rPr>
        <w:t xml:space="preserve">Preserve Cin7 as the single source of truth throughout the process.</w:t>
      </w:r>
    </w:p>
    <w:p>
      <w:pPr>
        <w:pStyle w:val="ListParagraph"/>
        <w:numPr>
          <w:ilvl w:val="0"/>
          <w:numId w:val="2"/>
        </w:numPr>
        <w:spacing w:after="55"/>
      </w:pPr>
      <w:r>
        <w:rPr>
          <w:sz w:val="21"/>
          <w:szCs w:val="21"/>
        </w:rPr>
        <w:t xml:space="preserve">Represent Cin7’s FIFO costing faithfully in Optix, rather than building a separate costing engine.</w:t>
      </w:r>
    </w:p>
    <w:p>
      <w:pPr>
        <w:pStyle w:val="ListParagraph"/>
        <w:numPr>
          <w:ilvl w:val="0"/>
          <w:numId w:val="2"/>
        </w:numPr>
        <w:spacing w:after="55"/>
      </w:pPr>
      <w:r>
        <w:rPr>
          <w:sz w:val="21"/>
          <w:szCs w:val="21"/>
        </w:rPr>
        <w:t xml:space="preserve">Produce a defensible, audit-ready evidence trail for every reconciled figure.</w:t>
      </w:r>
    </w:p>
    <w:p>
      <w:pPr>
        <w:pStyle w:val="Heading1"/>
        <w:pBdr>
          <w:bottom w:val="single" w:color="BFBFBF" w:sz="6" w:space="4"/>
        </w:pBdr>
        <w:spacing w:after="160" w:before="420"/>
      </w:pPr>
      <w:r>
        <w:rPr>
          <w:b/>
          <w:bCs/>
          <w:color w:val="1F3864"/>
          <w:sz w:val="28"/>
          <w:szCs w:val="28"/>
        </w:rPr>
        <w:t xml:space="preserve">4. Scope of Work — Order of Delivery</w:t>
      </w:r>
    </w:p>
    <w:p>
      <w:pPr>
        <w:spacing w:after="120"/>
      </w:pPr>
      <w:r>
        <w:rPr>
          <w:i w:val="false"/>
          <w:iCs w:val="false"/>
          <w:sz w:val="21"/>
          <w:szCs w:val="21"/>
        </w:rPr>
        <w:t xml:space="preserve">Phase 2 is delivered as eight reconciliation areas, each building on the confidence established by the one before it. Every area concludes with a formal sign-off before the next begins. Areas 6 and 7 may run in parallel with Areas 2–4 for root-cause investigation, but sign-off always follows the sequence below.</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4600"/>
      </w:tblGrid>
      <w:tr>
        <w:tc>
          <w:tcPr>
            <w:tcW w:type="dxa" w:w="700"/>
            <w:shd w:fill="E9EDF5" w:val="clear"/>
            <w:tcMar>
              <w:top w:type="dxa" w:w="80"/>
              <w:left w:type="dxa" w:w="100"/>
              <w:bottom w:type="dxa" w:w="80"/>
              <w:right w:type="dxa" w:w="100"/>
            </w:tcMar>
            <w:vAlign w:val="center"/>
          </w:tcPr>
          <w:p>
            <w:r>
              <w:rPr>
                <w:b/>
                <w:bCs/>
                <w:sz w:val="19"/>
                <w:szCs w:val="19"/>
              </w:rPr>
              <w:t xml:space="preserve">Order</w:t>
            </w:r>
          </w:p>
        </w:tc>
        <w:tc>
          <w:tcPr>
            <w:tcW w:type="dxa" w:w="4400"/>
            <w:shd w:fill="E9EDF5" w:val="clear"/>
            <w:tcMar>
              <w:top w:type="dxa" w:w="80"/>
              <w:left w:type="dxa" w:w="100"/>
              <w:bottom w:type="dxa" w:w="80"/>
              <w:right w:type="dxa" w:w="100"/>
            </w:tcMar>
            <w:vAlign w:val="center"/>
          </w:tcPr>
          <w:p>
            <w:r>
              <w:rPr>
                <w:b/>
                <w:bCs/>
                <w:sz w:val="19"/>
                <w:szCs w:val="19"/>
              </w:rPr>
              <w:t xml:space="preserve">Area</w:t>
            </w:r>
          </w:p>
        </w:tc>
        <w:tc>
          <w:tcPr>
            <w:tcW w:type="dxa" w:w="4600"/>
            <w:shd w:fill="E9EDF5" w:val="clear"/>
            <w:tcMar>
              <w:top w:type="dxa" w:w="80"/>
              <w:left w:type="dxa" w:w="100"/>
              <w:bottom w:type="dxa" w:w="80"/>
              <w:right w:type="dxa" w:w="100"/>
            </w:tcMar>
            <w:vAlign w:val="center"/>
          </w:tcPr>
          <w:p>
            <w:r>
              <w:rPr>
                <w:b/>
                <w:bCs/>
                <w:sz w:val="19"/>
                <w:szCs w:val="19"/>
              </w:rPr>
              <w:t xml:space="preserve">Why it comes at this point</w:t>
            </w:r>
          </w:p>
        </w:tc>
      </w:tr>
      <w:tr>
        <w:tc>
          <w:tcPr>
            <w:tcW w:type="dxa" w:w="700"/>
            <w:tcMar>
              <w:top w:type="dxa" w:w="80"/>
              <w:left w:type="dxa" w:w="100"/>
              <w:bottom w:type="dxa" w:w="80"/>
              <w:right w:type="dxa" w:w="100"/>
            </w:tcMar>
            <w:vAlign w:val="center"/>
          </w:tcPr>
          <w:p>
            <w:r>
              <w:rPr>
                <w:b w:val="false"/>
                <w:bCs w:val="false"/>
                <w:sz w:val="19"/>
                <w:szCs w:val="19"/>
              </w:rPr>
              <w:t xml:space="preserve">—</w:t>
            </w:r>
          </w:p>
        </w:tc>
        <w:tc>
          <w:tcPr>
            <w:tcW w:type="dxa" w:w="4400"/>
            <w:tcMar>
              <w:top w:type="dxa" w:w="80"/>
              <w:left w:type="dxa" w:w="100"/>
              <w:bottom w:type="dxa" w:w="80"/>
              <w:right w:type="dxa" w:w="100"/>
            </w:tcMar>
            <w:vAlign w:val="center"/>
          </w:tcPr>
          <w:p>
            <w:r>
              <w:rPr>
                <w:b w:val="false"/>
                <w:bCs w:val="false"/>
                <w:sz w:val="19"/>
                <w:szCs w:val="19"/>
              </w:rPr>
              <w:t xml:space="preserve">Phase 1 master-data close-out (parallel)</w:t>
            </w:r>
          </w:p>
        </w:tc>
        <w:tc>
          <w:tcPr>
            <w:tcW w:type="dxa" w:w="4600"/>
            <w:tcMar>
              <w:top w:type="dxa" w:w="80"/>
              <w:left w:type="dxa" w:w="100"/>
              <w:bottom w:type="dxa" w:w="80"/>
              <w:right w:type="dxa" w:w="100"/>
            </w:tcMar>
            <w:vAlign w:val="center"/>
          </w:tcPr>
          <w:p>
            <w:r>
              <w:rPr>
                <w:b w:val="false"/>
                <w:bCs w:val="false"/>
                <w:sz w:val="19"/>
                <w:szCs w:val="19"/>
              </w:rPr>
              <w:t xml:space="preserve">Clean foundation; Exception Report stays active</w:t>
            </w:r>
          </w:p>
        </w:tc>
      </w:tr>
      <w:tr>
        <w:tc>
          <w:tcPr>
            <w:tcW w:type="dxa" w:w="700"/>
            <w:tcMar>
              <w:top w:type="dxa" w:w="80"/>
              <w:left w:type="dxa" w:w="100"/>
              <w:bottom w:type="dxa" w:w="80"/>
              <w:right w:type="dxa" w:w="100"/>
            </w:tcMar>
            <w:vAlign w:val="center"/>
          </w:tcPr>
          <w:p>
            <w:r>
              <w:rPr>
                <w:b w:val="false"/>
                <w:bCs w:val="false"/>
                <w:sz w:val="19"/>
                <w:szCs w:val="19"/>
              </w:rPr>
              <w:t xml:space="preserve">1</w:t>
            </w:r>
          </w:p>
        </w:tc>
        <w:tc>
          <w:tcPr>
            <w:tcW w:type="dxa" w:w="4400"/>
            <w:tcMar>
              <w:top w:type="dxa" w:w="80"/>
              <w:left w:type="dxa" w:w="100"/>
              <w:bottom w:type="dxa" w:w="80"/>
              <w:right w:type="dxa" w:w="100"/>
            </w:tcMar>
            <w:vAlign w:val="center"/>
          </w:tcPr>
          <w:p>
            <w:r>
              <w:rPr>
                <w:b w:val="false"/>
                <w:bCs w:val="false"/>
                <w:sz w:val="19"/>
                <w:szCs w:val="19"/>
              </w:rPr>
              <w:t xml:space="preserve">Inventory quantities by warehouse</w:t>
            </w:r>
          </w:p>
        </w:tc>
        <w:tc>
          <w:tcPr>
            <w:tcW w:type="dxa" w:w="4600"/>
            <w:tcMar>
              <w:top w:type="dxa" w:w="80"/>
              <w:left w:type="dxa" w:w="100"/>
              <w:bottom w:type="dxa" w:w="80"/>
              <w:right w:type="dxa" w:w="100"/>
            </w:tcMar>
            <w:vAlign w:val="center"/>
          </w:tcPr>
          <w:p>
            <w:r>
              <w:rPr>
                <w:b w:val="false"/>
                <w:bCs w:val="false"/>
                <w:sz w:val="19"/>
                <w:szCs w:val="19"/>
              </w:rPr>
              <w:t xml:space="preserve">The operational foundation everything else depends on</w:t>
            </w:r>
          </w:p>
        </w:tc>
      </w:tr>
      <w:tr>
        <w:tc>
          <w:tcPr>
            <w:tcW w:type="dxa" w:w="700"/>
            <w:tcMar>
              <w:top w:type="dxa" w:w="80"/>
              <w:left w:type="dxa" w:w="100"/>
              <w:bottom w:type="dxa" w:w="80"/>
              <w:right w:type="dxa" w:w="100"/>
            </w:tcMar>
            <w:vAlign w:val="center"/>
          </w:tcPr>
          <w:p>
            <w:r>
              <w:rPr>
                <w:b w:val="false"/>
                <w:bCs w:val="false"/>
                <w:sz w:val="19"/>
                <w:szCs w:val="19"/>
              </w:rPr>
              <w:t xml:space="preserve">2</w:t>
            </w:r>
          </w:p>
        </w:tc>
        <w:tc>
          <w:tcPr>
            <w:tcW w:type="dxa" w:w="4400"/>
            <w:tcMar>
              <w:top w:type="dxa" w:w="80"/>
              <w:left w:type="dxa" w:w="100"/>
              <w:bottom w:type="dxa" w:w="80"/>
              <w:right w:type="dxa" w:w="100"/>
            </w:tcMar>
            <w:vAlign w:val="center"/>
          </w:tcPr>
          <w:p>
            <w:r>
              <w:rPr>
                <w:b w:val="false"/>
                <w:bCs w:val="false"/>
                <w:sz w:val="19"/>
                <w:szCs w:val="19"/>
              </w:rPr>
              <w:t xml:space="preserve">Inventory valuation (FIFO)</w:t>
            </w:r>
          </w:p>
        </w:tc>
        <w:tc>
          <w:tcPr>
            <w:tcW w:type="dxa" w:w="4600"/>
            <w:tcMar>
              <w:top w:type="dxa" w:w="80"/>
              <w:left w:type="dxa" w:w="100"/>
              <w:bottom w:type="dxa" w:w="80"/>
              <w:right w:type="dxa" w:w="100"/>
            </w:tcMar>
            <w:vAlign w:val="center"/>
          </w:tcPr>
          <w:p>
            <w:r>
              <w:rPr>
                <w:b w:val="false"/>
                <w:bCs w:val="false"/>
                <w:sz w:val="19"/>
                <w:szCs w:val="19"/>
              </w:rPr>
              <w:t xml:space="preserve">The financial stock position leadership asks for most often</w:t>
            </w:r>
          </w:p>
        </w:tc>
      </w:tr>
      <w:tr>
        <w:tc>
          <w:tcPr>
            <w:tcW w:type="dxa" w:w="700"/>
            <w:tcMar>
              <w:top w:type="dxa" w:w="80"/>
              <w:left w:type="dxa" w:w="100"/>
              <w:bottom w:type="dxa" w:w="80"/>
              <w:right w:type="dxa" w:w="100"/>
            </w:tcMar>
            <w:vAlign w:val="center"/>
          </w:tcPr>
          <w:p>
            <w:r>
              <w:rPr>
                <w:b w:val="false"/>
                <w:bCs w:val="false"/>
                <w:sz w:val="19"/>
                <w:szCs w:val="19"/>
              </w:rPr>
              <w:t xml:space="preserve">3</w:t>
            </w:r>
          </w:p>
        </w:tc>
        <w:tc>
          <w:tcPr>
            <w:tcW w:type="dxa" w:w="4400"/>
            <w:tcMar>
              <w:top w:type="dxa" w:w="80"/>
              <w:left w:type="dxa" w:w="100"/>
              <w:bottom w:type="dxa" w:w="80"/>
              <w:right w:type="dxa" w:w="100"/>
            </w:tcMar>
            <w:vAlign w:val="center"/>
          </w:tcPr>
          <w:p>
            <w:r>
              <w:rPr>
                <w:b w:val="false"/>
                <w:bCs w:val="false"/>
                <w:sz w:val="19"/>
                <w:szCs w:val="19"/>
              </w:rPr>
              <w:t xml:space="preserve">Sales invoices — pricing, discounts, GST, totals</w:t>
            </w:r>
          </w:p>
        </w:tc>
        <w:tc>
          <w:tcPr>
            <w:tcW w:type="dxa" w:w="4600"/>
            <w:tcMar>
              <w:top w:type="dxa" w:w="80"/>
              <w:left w:type="dxa" w:w="100"/>
              <w:bottom w:type="dxa" w:w="80"/>
              <w:right w:type="dxa" w:w="100"/>
            </w:tcMar>
            <w:vAlign w:val="center"/>
          </w:tcPr>
          <w:p>
            <w:r>
              <w:rPr>
                <w:b w:val="false"/>
                <w:bCs w:val="false"/>
                <w:sz w:val="19"/>
                <w:szCs w:val="19"/>
              </w:rPr>
              <w:t xml:space="preserve">Establishes commercial truth before costing is layered on</w:t>
            </w:r>
          </w:p>
        </w:tc>
      </w:tr>
      <w:tr>
        <w:tc>
          <w:tcPr>
            <w:tcW w:type="dxa" w:w="700"/>
            <w:tcMar>
              <w:top w:type="dxa" w:w="80"/>
              <w:left w:type="dxa" w:w="100"/>
              <w:bottom w:type="dxa" w:w="80"/>
              <w:right w:type="dxa" w:w="100"/>
            </w:tcMar>
            <w:vAlign w:val="center"/>
          </w:tcPr>
          <w:p>
            <w:r>
              <w:rPr>
                <w:b w:val="false"/>
                <w:bCs w:val="false"/>
                <w:sz w:val="19"/>
                <w:szCs w:val="19"/>
              </w:rPr>
              <w:t xml:space="preserve">4</w:t>
            </w:r>
          </w:p>
        </w:tc>
        <w:tc>
          <w:tcPr>
            <w:tcW w:type="dxa" w:w="4400"/>
            <w:tcMar>
              <w:top w:type="dxa" w:w="80"/>
              <w:left w:type="dxa" w:w="100"/>
              <w:bottom w:type="dxa" w:w="80"/>
              <w:right w:type="dxa" w:w="100"/>
            </w:tcMar>
            <w:vAlign w:val="center"/>
          </w:tcPr>
          <w:p>
            <w:r>
              <w:rPr>
                <w:b w:val="false"/>
                <w:bCs w:val="false"/>
                <w:sz w:val="19"/>
                <w:szCs w:val="19"/>
              </w:rPr>
              <w:t xml:space="preserve">Cost of Goods Sold (COGS)</w:t>
            </w:r>
          </w:p>
        </w:tc>
        <w:tc>
          <w:tcPr>
            <w:tcW w:type="dxa" w:w="4600"/>
            <w:tcMar>
              <w:top w:type="dxa" w:w="80"/>
              <w:left w:type="dxa" w:w="100"/>
              <w:bottom w:type="dxa" w:w="80"/>
              <w:right w:type="dxa" w:w="100"/>
            </w:tcMar>
            <w:vAlign w:val="center"/>
          </w:tcPr>
          <w:p>
            <w:r>
              <w:rPr>
                <w:b w:val="false"/>
                <w:bCs w:val="false"/>
                <w:sz w:val="19"/>
                <w:szCs w:val="19"/>
              </w:rPr>
              <w:t xml:space="preserve">A key financial outcome, only reliable once invoices and stock are trusted</w:t>
            </w:r>
          </w:p>
        </w:tc>
      </w:tr>
      <w:tr>
        <w:tc>
          <w:tcPr>
            <w:tcW w:type="dxa" w:w="700"/>
            <w:tcMar>
              <w:top w:type="dxa" w:w="80"/>
              <w:left w:type="dxa" w:w="100"/>
              <w:bottom w:type="dxa" w:w="80"/>
              <w:right w:type="dxa" w:w="100"/>
            </w:tcMar>
            <w:vAlign w:val="center"/>
          </w:tcPr>
          <w:p>
            <w:r>
              <w:rPr>
                <w:b w:val="false"/>
                <w:bCs w:val="false"/>
                <w:sz w:val="19"/>
                <w:szCs w:val="19"/>
              </w:rPr>
              <w:t xml:space="preserve">5</w:t>
            </w:r>
          </w:p>
        </w:tc>
        <w:tc>
          <w:tcPr>
            <w:tcW w:type="dxa" w:w="4400"/>
            <w:tcMar>
              <w:top w:type="dxa" w:w="80"/>
              <w:left w:type="dxa" w:w="100"/>
              <w:bottom w:type="dxa" w:w="80"/>
              <w:right w:type="dxa" w:w="100"/>
            </w:tcMar>
            <w:vAlign w:val="center"/>
          </w:tcPr>
          <w:p>
            <w:r>
              <w:rPr>
                <w:b w:val="false"/>
                <w:bCs w:val="false"/>
                <w:sz w:val="19"/>
                <w:szCs w:val="19"/>
              </w:rPr>
              <w:t xml:space="preserve">Customer &amp; supplier balances</w:t>
            </w:r>
          </w:p>
        </w:tc>
        <w:tc>
          <w:tcPr>
            <w:tcW w:type="dxa" w:w="4600"/>
            <w:tcMar>
              <w:top w:type="dxa" w:w="80"/>
              <w:left w:type="dxa" w:w="100"/>
              <w:bottom w:type="dxa" w:w="80"/>
              <w:right w:type="dxa" w:w="100"/>
            </w:tcMar>
            <w:vAlign w:val="center"/>
          </w:tcPr>
          <w:p>
            <w:r>
              <w:rPr>
                <w:b w:val="false"/>
                <w:bCs w:val="false"/>
                <w:sz w:val="19"/>
                <w:szCs w:val="19"/>
              </w:rPr>
              <w:t xml:space="preserve">Builds on trusted invoice and purchasing records</w:t>
            </w:r>
          </w:p>
        </w:tc>
      </w:tr>
      <w:tr>
        <w:tc>
          <w:tcPr>
            <w:tcW w:type="dxa" w:w="700"/>
            <w:tcMar>
              <w:top w:type="dxa" w:w="80"/>
              <w:left w:type="dxa" w:w="100"/>
              <w:bottom w:type="dxa" w:w="80"/>
              <w:right w:type="dxa" w:w="100"/>
            </w:tcMar>
            <w:vAlign w:val="center"/>
          </w:tcPr>
          <w:p>
            <w:r>
              <w:rPr>
                <w:b w:val="false"/>
                <w:bCs w:val="false"/>
                <w:sz w:val="19"/>
                <w:szCs w:val="19"/>
              </w:rPr>
              <w:t xml:space="preserve">6</w:t>
            </w:r>
          </w:p>
        </w:tc>
        <w:tc>
          <w:tcPr>
            <w:tcW w:type="dxa" w:w="4400"/>
            <w:tcMar>
              <w:top w:type="dxa" w:w="80"/>
              <w:left w:type="dxa" w:w="100"/>
              <w:bottom w:type="dxa" w:w="80"/>
              <w:right w:type="dxa" w:w="100"/>
            </w:tcMar>
            <w:vAlign w:val="center"/>
          </w:tcPr>
          <w:p>
            <w:r>
              <w:rPr>
                <w:b w:val="false"/>
                <w:bCs w:val="false"/>
                <w:sz w:val="19"/>
                <w:szCs w:val="19"/>
              </w:rPr>
              <w:t xml:space="preserve">Purchase orders &amp; goods receipts</w:t>
            </w:r>
          </w:p>
        </w:tc>
        <w:tc>
          <w:tcPr>
            <w:tcW w:type="dxa" w:w="4600"/>
            <w:tcMar>
              <w:top w:type="dxa" w:w="80"/>
              <w:left w:type="dxa" w:w="100"/>
              <w:bottom w:type="dxa" w:w="80"/>
              <w:right w:type="dxa" w:w="100"/>
            </w:tcMar>
            <w:vAlign w:val="center"/>
          </w:tcPr>
          <w:p>
            <w:r>
              <w:rPr>
                <w:b w:val="false"/>
                <w:bCs w:val="false"/>
                <w:sz w:val="19"/>
                <w:szCs w:val="19"/>
              </w:rPr>
              <w:t xml:space="preserve">Confirms costing integrity flowing into stock and COGS</w:t>
            </w:r>
          </w:p>
        </w:tc>
      </w:tr>
      <w:tr>
        <w:tc>
          <w:tcPr>
            <w:tcW w:type="dxa" w:w="700"/>
            <w:tcMar>
              <w:top w:type="dxa" w:w="80"/>
              <w:left w:type="dxa" w:w="100"/>
              <w:bottom w:type="dxa" w:w="80"/>
              <w:right w:type="dxa" w:w="100"/>
            </w:tcMar>
            <w:vAlign w:val="center"/>
          </w:tcPr>
          <w:p>
            <w:r>
              <w:rPr>
                <w:b w:val="false"/>
                <w:bCs w:val="false"/>
                <w:sz w:val="19"/>
                <w:szCs w:val="19"/>
              </w:rPr>
              <w:t xml:space="preserve">7</w:t>
            </w:r>
          </w:p>
        </w:tc>
        <w:tc>
          <w:tcPr>
            <w:tcW w:type="dxa" w:w="4400"/>
            <w:tcMar>
              <w:top w:type="dxa" w:w="80"/>
              <w:left w:type="dxa" w:w="100"/>
              <w:bottom w:type="dxa" w:w="80"/>
              <w:right w:type="dxa" w:w="100"/>
            </w:tcMar>
            <w:vAlign w:val="center"/>
          </w:tcPr>
          <w:p>
            <w:r>
              <w:rPr>
                <w:b w:val="false"/>
                <w:bCs w:val="false"/>
                <w:sz w:val="19"/>
                <w:szCs w:val="19"/>
              </w:rPr>
              <w:t xml:space="preserve">Inventory movements</w:t>
            </w:r>
          </w:p>
        </w:tc>
        <w:tc>
          <w:tcPr>
            <w:tcW w:type="dxa" w:w="4600"/>
            <w:tcMar>
              <w:top w:type="dxa" w:w="80"/>
              <w:left w:type="dxa" w:w="100"/>
              <w:bottom w:type="dxa" w:w="80"/>
              <w:right w:type="dxa" w:w="100"/>
            </w:tcMar>
            <w:vAlign w:val="center"/>
          </w:tcPr>
          <w:p>
            <w:r>
              <w:rPr>
                <w:b w:val="false"/>
                <w:bCs w:val="false"/>
                <w:sz w:val="19"/>
                <w:szCs w:val="19"/>
              </w:rPr>
              <w:t xml:space="preserve">Explains any remaining quantity or value differences</w:t>
            </w:r>
          </w:p>
        </w:tc>
      </w:tr>
      <w:tr>
        <w:tc>
          <w:tcPr>
            <w:tcW w:type="dxa" w:w="700"/>
            <w:tcMar>
              <w:top w:type="dxa" w:w="80"/>
              <w:left w:type="dxa" w:w="100"/>
              <w:bottom w:type="dxa" w:w="80"/>
              <w:right w:type="dxa" w:w="100"/>
            </w:tcMar>
            <w:vAlign w:val="center"/>
          </w:tcPr>
          <w:p>
            <w:r>
              <w:rPr>
                <w:b w:val="false"/>
                <w:bCs w:val="false"/>
                <w:sz w:val="19"/>
                <w:szCs w:val="19"/>
              </w:rPr>
              <w:t xml:space="preserve">8</w:t>
            </w:r>
          </w:p>
        </w:tc>
        <w:tc>
          <w:tcPr>
            <w:tcW w:type="dxa" w:w="4400"/>
            <w:tcMar>
              <w:top w:type="dxa" w:w="80"/>
              <w:left w:type="dxa" w:w="100"/>
              <w:bottom w:type="dxa" w:w="80"/>
              <w:right w:type="dxa" w:w="100"/>
            </w:tcMar>
            <w:vAlign w:val="center"/>
          </w:tcPr>
          <w:p>
            <w:r>
              <w:rPr>
                <w:b w:val="false"/>
                <w:bCs w:val="false"/>
                <w:sz w:val="19"/>
                <w:szCs w:val="19"/>
              </w:rPr>
              <w:t xml:space="preserve">Xero financial reconciliation</w:t>
            </w:r>
          </w:p>
        </w:tc>
        <w:tc>
          <w:tcPr>
            <w:tcW w:type="dxa" w:w="4600"/>
            <w:tcMar>
              <w:top w:type="dxa" w:w="80"/>
              <w:left w:type="dxa" w:w="100"/>
              <w:bottom w:type="dxa" w:w="80"/>
              <w:right w:type="dxa" w:w="100"/>
            </w:tcMar>
            <w:vAlign w:val="center"/>
          </w:tcPr>
          <w:p>
            <w:r>
              <w:rPr>
                <w:b w:val="false"/>
                <w:bCs w:val="false"/>
                <w:sz w:val="19"/>
                <w:szCs w:val="19"/>
              </w:rPr>
              <w:t xml:space="preserve">The final, external check once Optix and Cin7 already agree</w:t>
            </w:r>
          </w:p>
        </w:tc>
      </w:tr>
    </w:tbl>
    <w:p>
      <w:pPr>
        <w:pStyle w:val="Heading1"/>
        <w:pBdr>
          <w:bottom w:val="single" w:color="BFBFBF" w:sz="6" w:space="4"/>
        </w:pBdr>
        <w:spacing w:after="160" w:before="420"/>
      </w:pPr>
      <w:r>
        <w:rPr>
          <w:b/>
          <w:bCs/>
          <w:color w:val="1F3864"/>
          <w:sz w:val="28"/>
          <w:szCs w:val="28"/>
        </w:rPr>
        <w:t xml:space="preserve">5. Reconciliation Areas in Detail</w:t>
      </w:r>
    </w:p>
    <w:p>
      <w:pPr>
        <w:spacing w:after="120"/>
      </w:pPr>
      <w:r>
        <w:rPr>
          <w:i w:val="false"/>
          <w:iCs w:val="false"/>
          <w:sz w:val="21"/>
          <w:szCs w:val="21"/>
        </w:rPr>
        <w:t xml:space="preserve">Each area below sets out its objective, what it covers, and what needs to be true for it to be considered complete.</w:t>
      </w:r>
    </w:p>
    <w:p>
      <w:pPr>
        <w:pStyle w:val="Heading2"/>
        <w:spacing w:after="90" w:before="260"/>
      </w:pPr>
      <w:r>
        <w:rPr>
          <w:b/>
          <w:bCs/>
          <w:color w:val="2E5395"/>
          <w:sz w:val="23"/>
          <w:szCs w:val="23"/>
        </w:rPr>
        <w:t xml:space="preserve">Area 1 — Inventory Quantities by Warehouse</w:t>
      </w:r>
    </w:p>
    <w:p>
      <w:pPr>
        <w:spacing w:after="120"/>
      </w:pPr>
      <w:r>
        <w:rPr>
          <w:i w:val="false"/>
          <w:iCs w:val="false"/>
          <w:sz w:val="21"/>
          <w:szCs w:val="21"/>
        </w:rPr>
        <w:t xml:space="preserve">Confirm that stock on hand in Optix matches Cin7, at every warehouse and company-wide.</w:t>
      </w:r>
    </w:p>
    <w:p>
      <w:pPr>
        <w:spacing w:after="60" w:before="120"/>
      </w:pPr>
      <w:r>
        <w:rPr>
          <w:b/>
          <w:bCs/>
          <w:color w:val="3B3B3B"/>
          <w:sz w:val="21"/>
          <w:szCs w:val="21"/>
        </w:rPr>
        <w:t xml:space="preserve">What this covers</w:t>
      </w:r>
    </w:p>
    <w:p>
      <w:pPr>
        <w:pStyle w:val="ListParagraph"/>
        <w:numPr>
          <w:ilvl w:val="0"/>
          <w:numId w:val="2"/>
        </w:numPr>
        <w:spacing w:after="55"/>
      </w:pPr>
      <w:r>
        <w:rPr>
          <w:sz w:val="21"/>
          <w:szCs w:val="21"/>
        </w:rPr>
        <w:t xml:space="preserve">On-hand quantity by product (SKU) and warehouse.</w:t>
      </w:r>
    </w:p>
    <w:p>
      <w:pPr>
        <w:pStyle w:val="ListParagraph"/>
        <w:numPr>
          <w:ilvl w:val="0"/>
          <w:numId w:val="2"/>
        </w:numPr>
        <w:spacing w:after="55"/>
      </w:pPr>
      <w:r>
        <w:rPr>
          <w:sz w:val="21"/>
          <w:szCs w:val="21"/>
        </w:rPr>
        <w:t xml:space="preserve">Warehouse-level and company-wide stock totals.</w:t>
      </w:r>
    </w:p>
    <w:p>
      <w:pPr>
        <w:pStyle w:val="ListParagraph"/>
        <w:numPr>
          <w:ilvl w:val="0"/>
          <w:numId w:val="2"/>
        </w:numPr>
        <w:spacing w:after="55"/>
      </w:pPr>
      <w:r>
        <w:rPr>
          <w:sz w:val="21"/>
          <w:szCs w:val="21"/>
        </w:rPr>
        <w:t xml:space="preserve">Visibility into any stock still mid-sync, including transfers in progress.</w:t>
      </w:r>
    </w:p>
    <w:p>
      <w:pPr>
        <w:spacing w:after="60" w:before="120"/>
      </w:pPr>
      <w:r>
        <w:rPr>
          <w:b/>
          <w:bCs/>
          <w:color w:val="3B3B3B"/>
          <w:sz w:val="21"/>
          <w:szCs w:val="21"/>
        </w:rPr>
        <w:t xml:space="preserve">What “done” looks like</w:t>
      </w:r>
    </w:p>
    <w:p>
      <w:pPr>
        <w:pStyle w:val="ListParagraph"/>
        <w:numPr>
          <w:ilvl w:val="0"/>
          <w:numId w:val="2"/>
        </w:numPr>
        <w:spacing w:after="55"/>
      </w:pPr>
      <w:r>
        <w:rPr>
          <w:sz w:val="21"/>
          <w:szCs w:val="21"/>
        </w:rPr>
        <w:t xml:space="preserve">Every active product’s quantity matches Cin7 exactly, for every in-scope warehouse.</w:t>
      </w:r>
    </w:p>
    <w:p>
      <w:pPr>
        <w:pStyle w:val="ListParagraph"/>
        <w:numPr>
          <w:ilvl w:val="0"/>
          <w:numId w:val="2"/>
        </w:numPr>
        <w:spacing w:after="55"/>
      </w:pPr>
      <w:r>
        <w:rPr>
          <w:sz w:val="21"/>
          <w:szCs w:val="21"/>
        </w:rPr>
        <w:t xml:space="preserve">Warehouse totals and the company-wide total tie out to Cin7.</w:t>
      </w:r>
    </w:p>
    <w:p>
      <w:pPr>
        <w:pStyle w:val="ListParagraph"/>
        <w:numPr>
          <w:ilvl w:val="0"/>
          <w:numId w:val="2"/>
        </w:numPr>
        <w:spacing w:after="55"/>
      </w:pPr>
      <w:r>
        <w:rPr>
          <w:sz w:val="21"/>
          <w:szCs w:val="21"/>
        </w:rPr>
        <w:t xml:space="preserve">Any variance is logged with a clear reason and stays stable when the check is re-run.</w:t>
      </w:r>
    </w:p>
    <w:p>
      <w:pPr>
        <w:pStyle w:val="Heading2"/>
        <w:spacing w:after="90" w:before="260"/>
      </w:pPr>
      <w:r>
        <w:rPr>
          <w:b/>
          <w:bCs/>
          <w:color w:val="2E5395"/>
          <w:sz w:val="23"/>
          <w:szCs w:val="23"/>
        </w:rPr>
        <w:t xml:space="preserve">Area 2 — Inventory Valuation (FIFO)</w:t>
      </w:r>
    </w:p>
    <w:p>
      <w:pPr>
        <w:spacing w:after="120"/>
      </w:pPr>
      <w:r>
        <w:rPr>
          <w:i w:val="false"/>
          <w:iCs w:val="false"/>
          <w:sz w:val="21"/>
          <w:szCs w:val="21"/>
        </w:rPr>
        <w:t xml:space="preserve">Confirm the dollar value of stock in Optix matches Cin7’s FIFO valuation, by warehouse and in total.</w:t>
      </w:r>
    </w:p>
    <w:p>
      <w:pPr>
        <w:spacing w:after="60" w:before="120"/>
      </w:pPr>
      <w:r>
        <w:rPr>
          <w:b/>
          <w:bCs/>
          <w:color w:val="3B3B3B"/>
          <w:sz w:val="21"/>
          <w:szCs w:val="21"/>
        </w:rPr>
        <w:t xml:space="preserve">What this covers</w:t>
      </w:r>
    </w:p>
    <w:p>
      <w:pPr>
        <w:pStyle w:val="ListParagraph"/>
        <w:numPr>
          <w:ilvl w:val="0"/>
          <w:numId w:val="2"/>
        </w:numPr>
        <w:spacing w:after="55"/>
      </w:pPr>
      <w:r>
        <w:rPr>
          <w:sz w:val="21"/>
          <w:szCs w:val="21"/>
        </w:rPr>
        <w:t xml:space="preserve">Warehouse-level and total inventory asset value.</w:t>
      </w:r>
    </w:p>
    <w:p>
      <w:pPr>
        <w:pStyle w:val="ListParagraph"/>
        <w:numPr>
          <w:ilvl w:val="0"/>
          <w:numId w:val="2"/>
        </w:numPr>
        <w:spacing w:after="55"/>
      </w:pPr>
      <w:r>
        <w:rPr>
          <w:sz w:val="21"/>
          <w:szCs w:val="21"/>
        </w:rPr>
        <w:t xml:space="preserve">Optix representing Cin7’s FIFO cost outcomes, rather than an independent costing calculation.</w:t>
      </w:r>
    </w:p>
    <w:p>
      <w:pPr>
        <w:pStyle w:val="ListParagraph"/>
        <w:numPr>
          <w:ilvl w:val="0"/>
          <w:numId w:val="2"/>
        </w:numPr>
        <w:spacing w:after="55"/>
      </w:pPr>
      <w:r>
        <w:rPr>
          <w:sz w:val="21"/>
          <w:szCs w:val="21"/>
        </w:rPr>
        <w:t xml:space="preserve">A clear line of sight from quantity (Area 1) to cost basis to final valuation.</w:t>
      </w:r>
    </w:p>
    <w:p>
      <w:pPr>
        <w:spacing w:after="60" w:before="120"/>
      </w:pPr>
      <w:r>
        <w:rPr>
          <w:b/>
          <w:bCs/>
          <w:color w:val="3B3B3B"/>
          <w:sz w:val="21"/>
          <w:szCs w:val="21"/>
        </w:rPr>
        <w:t xml:space="preserve">What “done” looks like</w:t>
      </w:r>
    </w:p>
    <w:p>
      <w:pPr>
        <w:pStyle w:val="ListParagraph"/>
        <w:numPr>
          <w:ilvl w:val="0"/>
          <w:numId w:val="2"/>
        </w:numPr>
        <w:spacing w:after="55"/>
      </w:pPr>
      <w:r>
        <w:rPr>
          <w:sz w:val="21"/>
          <w:szCs w:val="21"/>
        </w:rPr>
        <w:t xml:space="preserve">Inventory valuation matches Cin7 for the agreed snapshot date, by warehouse and in total.</w:t>
      </w:r>
    </w:p>
    <w:p>
      <w:pPr>
        <w:pStyle w:val="ListParagraph"/>
        <w:numPr>
          <w:ilvl w:val="0"/>
          <w:numId w:val="2"/>
        </w:numPr>
        <w:spacing w:after="55"/>
      </w:pPr>
      <w:r>
        <w:rPr>
          <w:sz w:val="21"/>
          <w:szCs w:val="21"/>
        </w:rPr>
        <w:t xml:space="preserve">Any variance is traceable to a quantity gap, a cost gap, or a documented approved exception.</w:t>
      </w:r>
    </w:p>
    <w:p>
      <w:pPr>
        <w:pStyle w:val="ListParagraph"/>
        <w:numPr>
          <w:ilvl w:val="0"/>
          <w:numId w:val="2"/>
        </w:numPr>
        <w:spacing w:after="55"/>
      </w:pPr>
      <w:r>
        <w:rPr>
          <w:sz w:val="21"/>
          <w:szCs w:val="21"/>
        </w:rPr>
        <w:t xml:space="preserve">A quantity change without a matching cost update shows up as a visible exception, never silently.</w:t>
      </w:r>
    </w:p>
    <w:p>
      <w:pPr>
        <w:pStyle w:val="Heading2"/>
        <w:spacing w:after="90" w:before="260"/>
      </w:pPr>
      <w:r>
        <w:rPr>
          <w:b/>
          <w:bCs/>
          <w:color w:val="2E5395"/>
          <w:sz w:val="23"/>
          <w:szCs w:val="23"/>
        </w:rPr>
        <w:t xml:space="preserve">Area 3 — Sales Invoices</w:t>
      </w:r>
    </w:p>
    <w:p>
      <w:pPr>
        <w:spacing w:after="120"/>
      </w:pPr>
      <w:r>
        <w:rPr>
          <w:i w:val="false"/>
          <w:iCs w:val="false"/>
          <w:sz w:val="21"/>
          <w:szCs w:val="21"/>
        </w:rPr>
        <w:t xml:space="preserve">Confirm sales invoices in Optix match Cin7 for pricing, discounts, GST, and totals.</w:t>
      </w:r>
    </w:p>
    <w:p>
      <w:pPr>
        <w:spacing w:after="60" w:before="120"/>
      </w:pPr>
      <w:r>
        <w:rPr>
          <w:b/>
          <w:bCs/>
          <w:color w:val="3B3B3B"/>
          <w:sz w:val="21"/>
          <w:szCs w:val="21"/>
        </w:rPr>
        <w:t xml:space="preserve">What this covers</w:t>
      </w:r>
    </w:p>
    <w:p>
      <w:pPr>
        <w:pStyle w:val="ListParagraph"/>
        <w:numPr>
          <w:ilvl w:val="0"/>
          <w:numId w:val="2"/>
        </w:numPr>
        <w:spacing w:after="55"/>
      </w:pPr>
      <w:r>
        <w:rPr>
          <w:sz w:val="21"/>
          <w:szCs w:val="21"/>
        </w:rPr>
        <w:t xml:space="preserve">Invoice header details: customer, dates, status, currency.</w:t>
      </w:r>
    </w:p>
    <w:p>
      <w:pPr>
        <w:pStyle w:val="ListParagraph"/>
        <w:numPr>
          <w:ilvl w:val="0"/>
          <w:numId w:val="2"/>
        </w:numPr>
        <w:spacing w:after="55"/>
      </w:pPr>
      <w:r>
        <w:rPr>
          <w:sz w:val="21"/>
          <w:szCs w:val="21"/>
        </w:rPr>
        <w:t xml:space="preserve">Line-level pricing, discounts, GST/tax, and line totals.</w:t>
      </w:r>
    </w:p>
    <w:p>
      <w:pPr>
        <w:pStyle w:val="ListParagraph"/>
        <w:numPr>
          <w:ilvl w:val="0"/>
          <w:numId w:val="2"/>
        </w:numPr>
        <w:spacing w:after="55"/>
      </w:pPr>
      <w:r>
        <w:rPr>
          <w:sz w:val="21"/>
          <w:szCs w:val="21"/>
        </w:rPr>
        <w:t xml:space="preserve">Invoice-level subtotal, discount, GST, and grand total, across the agreed historical period.</w:t>
      </w:r>
    </w:p>
    <w:p>
      <w:pPr>
        <w:spacing w:after="60" w:before="120"/>
      </w:pPr>
      <w:r>
        <w:rPr>
          <w:b/>
          <w:bCs/>
          <w:color w:val="3B3B3B"/>
          <w:sz w:val="21"/>
          <w:szCs w:val="21"/>
        </w:rPr>
        <w:t xml:space="preserve">What “done” looks like</w:t>
      </w:r>
    </w:p>
    <w:p>
      <w:pPr>
        <w:pStyle w:val="ListParagraph"/>
        <w:numPr>
          <w:ilvl w:val="0"/>
          <w:numId w:val="2"/>
        </w:numPr>
        <w:spacing w:after="55"/>
      </w:pPr>
      <w:r>
        <w:rPr>
          <w:sz w:val="21"/>
          <w:szCs w:val="21"/>
        </w:rPr>
        <w:t xml:space="preserve">Every invoice in the agreed period exists in both systems, with matching totals.</w:t>
      </w:r>
    </w:p>
    <w:p>
      <w:pPr>
        <w:pStyle w:val="ListParagraph"/>
        <w:numPr>
          <w:ilvl w:val="0"/>
          <w:numId w:val="2"/>
        </w:numPr>
        <w:spacing w:after="55"/>
      </w:pPr>
      <w:r>
        <w:rPr>
          <w:sz w:val="21"/>
          <w:szCs w:val="21"/>
        </w:rPr>
        <w:t xml:space="preserve">Header and line-level figures match Cin7, or are listed as clearly explained exceptions.</w:t>
      </w:r>
    </w:p>
    <w:p>
      <w:pPr>
        <w:pStyle w:val="ListParagraph"/>
        <w:numPr>
          <w:ilvl w:val="0"/>
          <w:numId w:val="2"/>
        </w:numPr>
        <w:spacing w:after="55"/>
      </w:pPr>
      <w:r>
        <w:rPr>
          <w:sz w:val="21"/>
          <w:szCs w:val="21"/>
        </w:rPr>
        <w:t xml:space="preserve">No invoice exists in only one system without explanation.</w:t>
      </w:r>
    </w:p>
    <w:p>
      <w:pPr>
        <w:pStyle w:val="Heading2"/>
        <w:spacing w:after="90" w:before="260"/>
      </w:pPr>
      <w:r>
        <w:rPr>
          <w:b/>
          <w:bCs/>
          <w:color w:val="2E5395"/>
          <w:sz w:val="23"/>
          <w:szCs w:val="23"/>
        </w:rPr>
        <w:t xml:space="preserve">Area 4 — Cost of Goods Sold (COGS)</w:t>
      </w:r>
    </w:p>
    <w:p>
      <w:pPr>
        <w:spacing w:after="120"/>
      </w:pPr>
      <w:r>
        <w:rPr>
          <w:i w:val="false"/>
          <w:iCs w:val="false"/>
          <w:sz w:val="21"/>
          <w:szCs w:val="21"/>
        </w:rPr>
        <w:t xml:space="preserve">Confirm COGS in Optix matches Cin7 at period, invoice, and line-item level.</w:t>
      </w:r>
    </w:p>
    <w:p>
      <w:pPr>
        <w:spacing w:after="60" w:before="120"/>
      </w:pPr>
      <w:r>
        <w:rPr>
          <w:b/>
          <w:bCs/>
          <w:color w:val="3B3B3B"/>
          <w:sz w:val="21"/>
          <w:szCs w:val="21"/>
        </w:rPr>
        <w:t xml:space="preserve">What this covers</w:t>
      </w:r>
    </w:p>
    <w:p>
      <w:pPr>
        <w:pStyle w:val="ListParagraph"/>
        <w:numPr>
          <w:ilvl w:val="0"/>
          <w:numId w:val="2"/>
        </w:numPr>
        <w:spacing w:after="55"/>
      </w:pPr>
      <w:r>
        <w:rPr>
          <w:sz w:val="21"/>
          <w:szCs w:val="21"/>
        </w:rPr>
        <w:t xml:space="preserve">Period-level COGS totals for agreed accounting periods.</w:t>
      </w:r>
    </w:p>
    <w:p>
      <w:pPr>
        <w:pStyle w:val="ListParagraph"/>
        <w:numPr>
          <w:ilvl w:val="0"/>
          <w:numId w:val="2"/>
        </w:numPr>
        <w:spacing w:after="55"/>
      </w:pPr>
      <w:r>
        <w:rPr>
          <w:sz w:val="21"/>
          <w:szCs w:val="21"/>
        </w:rPr>
        <w:t xml:space="preserve">Invoice-level and line-item COGS.</w:t>
      </w:r>
    </w:p>
    <w:p>
      <w:pPr>
        <w:pStyle w:val="ListParagraph"/>
        <w:numPr>
          <w:ilvl w:val="0"/>
          <w:numId w:val="2"/>
        </w:numPr>
        <w:spacing w:after="55"/>
      </w:pPr>
      <w:r>
        <w:rPr>
          <w:sz w:val="21"/>
          <w:szCs w:val="21"/>
        </w:rPr>
        <w:t xml:space="preserve">Consistency with the FIFO valuation and movement data from Areas 2 and 7.</w:t>
      </w:r>
    </w:p>
    <w:p>
      <w:pPr>
        <w:spacing w:after="60" w:before="120"/>
      </w:pPr>
      <w:r>
        <w:rPr>
          <w:b/>
          <w:bCs/>
          <w:color w:val="3B3B3B"/>
          <w:sz w:val="21"/>
          <w:szCs w:val="21"/>
        </w:rPr>
        <w:t xml:space="preserve">What “done” looks like</w:t>
      </w:r>
    </w:p>
    <w:p>
      <w:pPr>
        <w:pStyle w:val="ListParagraph"/>
        <w:numPr>
          <w:ilvl w:val="0"/>
          <w:numId w:val="2"/>
        </w:numPr>
        <w:spacing w:after="55"/>
      </w:pPr>
      <w:r>
        <w:rPr>
          <w:sz w:val="21"/>
          <w:szCs w:val="21"/>
        </w:rPr>
        <w:t xml:space="preserve">Period, invoice, and line-item COGS all match Cin7, or exceptions are fully explained.</w:t>
      </w:r>
    </w:p>
    <w:p>
      <w:pPr>
        <w:pStyle w:val="ListParagraph"/>
        <w:numPr>
          <w:ilvl w:val="0"/>
          <w:numId w:val="2"/>
        </w:numPr>
        <w:spacing w:after="55"/>
      </w:pPr>
      <w:r>
        <w:rPr>
          <w:sz w:val="21"/>
          <w:szCs w:val="21"/>
        </w:rPr>
        <w:t xml:space="preserve">COGS and closing inventory valuation tell a coherent, FIFO-consistent story — with no unexplained balancing figure.</w:t>
      </w:r>
    </w:p>
    <w:p>
      <w:pPr>
        <w:pStyle w:val="Heading2"/>
        <w:spacing w:after="90" w:before="260"/>
      </w:pPr>
      <w:r>
        <w:rPr>
          <w:b/>
          <w:bCs/>
          <w:color w:val="2E5395"/>
          <w:sz w:val="23"/>
          <w:szCs w:val="23"/>
        </w:rPr>
        <w:t xml:space="preserve">Area 5 — Customer &amp; Supplier Balances</w:t>
      </w:r>
    </w:p>
    <w:p>
      <w:pPr>
        <w:spacing w:after="120"/>
      </w:pPr>
      <w:r>
        <w:rPr>
          <w:i w:val="false"/>
          <w:iCs w:val="false"/>
          <w:sz w:val="21"/>
          <w:szCs w:val="21"/>
        </w:rPr>
        <w:t xml:space="preserve">Confirm what customers owe and what is owed to suppliers matches Cin7.</w:t>
      </w:r>
    </w:p>
    <w:p>
      <w:pPr>
        <w:spacing w:after="60" w:before="120"/>
      </w:pPr>
      <w:r>
        <w:rPr>
          <w:b/>
          <w:bCs/>
          <w:color w:val="3B3B3B"/>
          <w:sz w:val="21"/>
          <w:szCs w:val="21"/>
        </w:rPr>
        <w:t xml:space="preserve">What this covers</w:t>
      </w:r>
    </w:p>
    <w:p>
      <w:pPr>
        <w:pStyle w:val="ListParagraph"/>
        <w:numPr>
          <w:ilvl w:val="0"/>
          <w:numId w:val="2"/>
        </w:numPr>
        <w:spacing w:after="55"/>
      </w:pPr>
      <w:r>
        <w:rPr>
          <w:sz w:val="21"/>
          <w:szCs w:val="21"/>
        </w:rPr>
        <w:t xml:space="preserve">Customer outstanding (AR) balances.</w:t>
      </w:r>
    </w:p>
    <w:p>
      <w:pPr>
        <w:pStyle w:val="ListParagraph"/>
        <w:numPr>
          <w:ilvl w:val="0"/>
          <w:numId w:val="2"/>
        </w:numPr>
        <w:spacing w:after="55"/>
      </w:pPr>
      <w:r>
        <w:rPr>
          <w:sz w:val="21"/>
          <w:szCs w:val="21"/>
        </w:rPr>
        <w:t xml:space="preserve">Supplier outstanding (AP) balances.</w:t>
      </w:r>
    </w:p>
    <w:p>
      <w:pPr>
        <w:pStyle w:val="ListParagraph"/>
        <w:numPr>
          <w:ilvl w:val="0"/>
          <w:numId w:val="2"/>
        </w:numPr>
        <w:spacing w:after="55"/>
      </w:pPr>
      <w:r>
        <w:rPr>
          <w:sz w:val="21"/>
          <w:szCs w:val="21"/>
        </w:rPr>
        <w:t xml:space="preserve">The invoices, bills, and credit notes driving each balance.</w:t>
      </w:r>
    </w:p>
    <w:p>
      <w:pPr>
        <w:spacing w:after="60" w:before="120"/>
      </w:pPr>
      <w:r>
        <w:rPr>
          <w:b/>
          <w:bCs/>
          <w:color w:val="3B3B3B"/>
          <w:sz w:val="21"/>
          <w:szCs w:val="21"/>
        </w:rPr>
        <w:t xml:space="preserve">What “done” looks like</w:t>
      </w:r>
    </w:p>
    <w:p>
      <w:pPr>
        <w:pStyle w:val="ListParagraph"/>
        <w:numPr>
          <w:ilvl w:val="0"/>
          <w:numId w:val="2"/>
        </w:numPr>
        <w:spacing w:after="55"/>
      </w:pPr>
      <w:r>
        <w:rPr>
          <w:sz w:val="21"/>
          <w:szCs w:val="21"/>
        </w:rPr>
        <w:t xml:space="preserve">Balances match Cin7 for every in-scope customer and supplier at the agreed as-of date.</w:t>
      </w:r>
    </w:p>
    <w:p>
      <w:pPr>
        <w:pStyle w:val="ListParagraph"/>
        <w:numPr>
          <w:ilvl w:val="0"/>
          <w:numId w:val="2"/>
        </w:numPr>
        <w:spacing w:after="55"/>
      </w:pPr>
      <w:r>
        <w:rPr>
          <w:sz w:val="21"/>
          <w:szCs w:val="21"/>
        </w:rPr>
        <w:t xml:space="preserve">Any mismatch is traceable to a specific underlying document.</w:t>
      </w:r>
    </w:p>
    <w:p>
      <w:pPr>
        <w:pStyle w:val="ListParagraph"/>
        <w:numPr>
          <w:ilvl w:val="0"/>
          <w:numId w:val="2"/>
        </w:numPr>
        <w:spacing w:after="55"/>
      </w:pPr>
      <w:r>
        <w:rPr>
          <w:sz w:val="21"/>
          <w:szCs w:val="21"/>
        </w:rPr>
        <w:t xml:space="preserve">Balances without matching documents, or documents without balance impact, are flagged and explained.</w:t>
      </w:r>
    </w:p>
    <w:p>
      <w:pPr>
        <w:pStyle w:val="Heading2"/>
        <w:spacing w:after="90" w:before="260"/>
      </w:pPr>
      <w:r>
        <w:rPr>
          <w:b/>
          <w:bCs/>
          <w:color w:val="2E5395"/>
          <w:sz w:val="23"/>
          <w:szCs w:val="23"/>
        </w:rPr>
        <w:t xml:space="preserve">Area 6 — Purchase Orders &amp; Goods Receipts</w:t>
      </w:r>
    </w:p>
    <w:p>
      <w:pPr>
        <w:spacing w:after="120"/>
      </w:pPr>
      <w:r>
        <w:rPr>
          <w:i w:val="false"/>
          <w:iCs w:val="false"/>
          <w:sz w:val="21"/>
          <w:szCs w:val="21"/>
        </w:rPr>
        <w:t xml:space="preserve">Confirm purchasing and receiving activity matches Cin7, protecting the accuracy of costs that feed into stock value and COGS.</w:t>
      </w:r>
    </w:p>
    <w:p>
      <w:pPr>
        <w:spacing w:after="60" w:before="120"/>
      </w:pPr>
      <w:r>
        <w:rPr>
          <w:b/>
          <w:bCs/>
          <w:color w:val="3B3B3B"/>
          <w:sz w:val="21"/>
          <w:szCs w:val="21"/>
        </w:rPr>
        <w:t xml:space="preserve">What this covers</w:t>
      </w:r>
    </w:p>
    <w:p>
      <w:pPr>
        <w:pStyle w:val="ListParagraph"/>
        <w:numPr>
          <w:ilvl w:val="0"/>
          <w:numId w:val="2"/>
        </w:numPr>
        <w:spacing w:after="55"/>
      </w:pPr>
      <w:r>
        <w:rPr>
          <w:sz w:val="21"/>
          <w:szCs w:val="21"/>
        </w:rPr>
        <w:t xml:space="preserve">Purchase order identity, supplier, lines, quantities, costs, and status.</w:t>
      </w:r>
    </w:p>
    <w:p>
      <w:pPr>
        <w:pStyle w:val="ListParagraph"/>
        <w:numPr>
          <w:ilvl w:val="0"/>
          <w:numId w:val="2"/>
        </w:numPr>
        <w:spacing w:after="55"/>
      </w:pPr>
      <w:r>
        <w:rPr>
          <w:sz w:val="21"/>
          <w:szCs w:val="21"/>
        </w:rPr>
        <w:t xml:space="preserve">Goods receipt quantities, costs, warehouse, and linkage back to the originating PO.</w:t>
      </w:r>
    </w:p>
    <w:p>
      <w:pPr>
        <w:pStyle w:val="ListParagraph"/>
        <w:numPr>
          <w:ilvl w:val="0"/>
          <w:numId w:val="2"/>
        </w:numPr>
        <w:spacing w:after="55"/>
      </w:pPr>
      <w:r>
        <w:rPr>
          <w:sz w:val="21"/>
          <w:szCs w:val="21"/>
        </w:rPr>
        <w:t xml:space="preserve">The impact of receipts on stock quantity and value once posted.</w:t>
      </w:r>
    </w:p>
    <w:p>
      <w:pPr>
        <w:spacing w:after="60" w:before="120"/>
      </w:pPr>
      <w:r>
        <w:rPr>
          <w:b/>
          <w:bCs/>
          <w:color w:val="3B3B3B"/>
          <w:sz w:val="21"/>
          <w:szCs w:val="21"/>
        </w:rPr>
        <w:t xml:space="preserve">What “done” looks like</w:t>
      </w:r>
    </w:p>
    <w:p>
      <w:pPr>
        <w:pStyle w:val="ListParagraph"/>
        <w:numPr>
          <w:ilvl w:val="0"/>
          <w:numId w:val="2"/>
        </w:numPr>
        <w:spacing w:after="55"/>
      </w:pPr>
      <w:r>
        <w:rPr>
          <w:sz w:val="21"/>
          <w:szCs w:val="21"/>
        </w:rPr>
        <w:t xml:space="preserve">In-scope purchase orders match Cin7 on header and line commercial fields.</w:t>
      </w:r>
    </w:p>
    <w:p>
      <w:pPr>
        <w:pStyle w:val="ListParagraph"/>
        <w:numPr>
          <w:ilvl w:val="0"/>
          <w:numId w:val="2"/>
        </w:numPr>
        <w:spacing w:after="55"/>
      </w:pPr>
      <w:r>
        <w:rPr>
          <w:sz w:val="21"/>
          <w:szCs w:val="21"/>
        </w:rPr>
        <w:t xml:space="preserve">Goods receipts match Cin7 for quantity, cost, warehouse, and PO linkage.</w:t>
      </w:r>
    </w:p>
    <w:p>
      <w:pPr>
        <w:pStyle w:val="ListParagraph"/>
        <w:numPr>
          <w:ilvl w:val="0"/>
          <w:numId w:val="2"/>
        </w:numPr>
        <w:spacing w:after="55"/>
      </w:pPr>
      <w:r>
        <w:rPr>
          <w:sz w:val="21"/>
          <w:szCs w:val="21"/>
        </w:rPr>
        <w:t xml:space="preserve">Posted receipts affecting stock are reflected in Area 1/2 figures, or listed as exceptions.</w:t>
      </w:r>
    </w:p>
    <w:p>
      <w:pPr>
        <w:pStyle w:val="Heading2"/>
        <w:spacing w:after="90" w:before="260"/>
      </w:pPr>
      <w:r>
        <w:rPr>
          <w:b/>
          <w:bCs/>
          <w:color w:val="2E5395"/>
          <w:sz w:val="23"/>
          <w:szCs w:val="23"/>
        </w:rPr>
        <w:t xml:space="preserve">Area 7 — Inventory Movements</w:t>
      </w:r>
    </w:p>
    <w:p>
      <w:pPr>
        <w:spacing w:after="120"/>
      </w:pPr>
      <w:r>
        <w:rPr>
          <w:i w:val="false"/>
          <w:iCs w:val="false"/>
          <w:sz w:val="21"/>
          <w:szCs w:val="21"/>
        </w:rPr>
        <w:t xml:space="preserve">Explain and reconcile any remaining stock quantity or value differences through the underlying movement history.</w:t>
      </w:r>
    </w:p>
    <w:p>
      <w:pPr>
        <w:spacing w:after="60" w:before="120"/>
      </w:pPr>
      <w:r>
        <w:rPr>
          <w:b/>
          <w:bCs/>
          <w:color w:val="3B3B3B"/>
          <w:sz w:val="21"/>
          <w:szCs w:val="21"/>
        </w:rPr>
        <w:t xml:space="preserve">What this covers</w:t>
      </w:r>
    </w:p>
    <w:p>
      <w:pPr>
        <w:pStyle w:val="ListParagraph"/>
        <w:numPr>
          <w:ilvl w:val="0"/>
          <w:numId w:val="2"/>
        </w:numPr>
        <w:spacing w:after="55"/>
      </w:pPr>
      <w:r>
        <w:rPr>
          <w:sz w:val="21"/>
          <w:szCs w:val="21"/>
        </w:rPr>
        <w:t xml:space="preserve">Warehouse-to-warehouse transfers.</w:t>
      </w:r>
    </w:p>
    <w:p>
      <w:pPr>
        <w:pStyle w:val="ListParagraph"/>
        <w:numPr>
          <w:ilvl w:val="0"/>
          <w:numId w:val="2"/>
        </w:numPr>
        <w:spacing w:after="55"/>
      </w:pPr>
      <w:r>
        <w:rPr>
          <w:sz w:val="21"/>
          <w:szCs w:val="21"/>
        </w:rPr>
        <w:t xml:space="preserve">Stock adjustments and stocktakes.</w:t>
      </w:r>
    </w:p>
    <w:p>
      <w:pPr>
        <w:pStyle w:val="ListParagraph"/>
        <w:numPr>
          <w:ilvl w:val="0"/>
          <w:numId w:val="2"/>
        </w:numPr>
        <w:spacing w:after="55"/>
      </w:pPr>
      <w:r>
        <w:rPr>
          <w:sz w:val="21"/>
          <w:szCs w:val="21"/>
        </w:rPr>
        <w:t xml:space="preserve">Sales and purchase returns, where used by the business.</w:t>
      </w:r>
    </w:p>
    <w:p>
      <w:pPr>
        <w:spacing w:after="60" w:before="120"/>
      </w:pPr>
      <w:r>
        <w:rPr>
          <w:b/>
          <w:bCs/>
          <w:color w:val="3B3B3B"/>
          <w:sz w:val="21"/>
          <w:szCs w:val="21"/>
        </w:rPr>
        <w:t xml:space="preserve">What “done” looks like</w:t>
      </w:r>
    </w:p>
    <w:p>
      <w:pPr>
        <w:pStyle w:val="ListParagraph"/>
        <w:numPr>
          <w:ilvl w:val="0"/>
          <w:numId w:val="2"/>
        </w:numPr>
        <w:spacing w:after="55"/>
      </w:pPr>
      <w:r>
        <w:rPr>
          <w:sz w:val="21"/>
          <w:szCs w:val="21"/>
        </w:rPr>
        <w:t xml:space="preserve">In-scope movement types exist in Optix with matching Cin7 identity and key fields.</w:t>
      </w:r>
    </w:p>
    <w:p>
      <w:pPr>
        <w:pStyle w:val="ListParagraph"/>
        <w:numPr>
          <w:ilvl w:val="0"/>
          <w:numId w:val="2"/>
        </w:numPr>
        <w:spacing w:after="55"/>
      </w:pPr>
      <w:r>
        <w:rPr>
          <w:sz w:val="21"/>
          <w:szCs w:val="21"/>
        </w:rPr>
        <w:t xml:space="preserve">Movements that change quantity or value are reflected in Areas 1, 2, or 4, or listed as exceptions.</w:t>
      </w:r>
    </w:p>
    <w:p>
      <w:pPr>
        <w:pStyle w:val="ListParagraph"/>
        <w:numPr>
          <w:ilvl w:val="0"/>
          <w:numId w:val="2"/>
        </w:numPr>
        <w:spacing w:after="55"/>
      </w:pPr>
      <w:r>
        <w:rPr>
          <w:sz w:val="21"/>
          <w:szCs w:val="21"/>
        </w:rPr>
        <w:t xml:space="preserve">Unexplained quantity or value drift after this stage is zero, within the agreed materiality threshold.</w:t>
      </w:r>
    </w:p>
    <w:p>
      <w:pPr>
        <w:pStyle w:val="Heading2"/>
        <w:spacing w:after="90" w:before="260"/>
      </w:pPr>
      <w:r>
        <w:rPr>
          <w:b/>
          <w:bCs/>
          <w:color w:val="2E5395"/>
          <w:sz w:val="23"/>
          <w:szCs w:val="23"/>
        </w:rPr>
        <w:t xml:space="preserve">Area 8 — Xero Financial Reconciliation</w:t>
      </w:r>
    </w:p>
    <w:p>
      <w:pPr>
        <w:spacing w:after="120"/>
      </w:pPr>
      <w:r>
        <w:rPr>
          <w:i w:val="false"/>
          <w:iCs w:val="false"/>
          <w:sz w:val="21"/>
          <w:szCs w:val="21"/>
        </w:rPr>
        <w:t xml:space="preserve">Confirm inventory value and COGS agree across Cin7, Optix, and Xero for the agreed as-of period.</w:t>
      </w:r>
    </w:p>
    <w:p>
      <w:pPr>
        <w:spacing w:after="60" w:before="120"/>
      </w:pPr>
      <w:r>
        <w:rPr>
          <w:b/>
          <w:bCs/>
          <w:color w:val="3B3B3B"/>
          <w:sz w:val="21"/>
          <w:szCs w:val="21"/>
        </w:rPr>
        <w:t xml:space="preserve">What this covers</w:t>
      </w:r>
    </w:p>
    <w:p>
      <w:pPr>
        <w:pStyle w:val="ListParagraph"/>
        <w:numPr>
          <w:ilvl w:val="0"/>
          <w:numId w:val="2"/>
        </w:numPr>
        <w:spacing w:after="55"/>
      </w:pPr>
      <w:r>
        <w:rPr>
          <w:sz w:val="21"/>
          <w:szCs w:val="21"/>
        </w:rPr>
        <w:t xml:space="preserve">Inventory asset value in Xero compared against Cin7 and Optix.</w:t>
      </w:r>
    </w:p>
    <w:p>
      <w:pPr>
        <w:pStyle w:val="ListParagraph"/>
        <w:numPr>
          <w:ilvl w:val="0"/>
          <w:numId w:val="2"/>
        </w:numPr>
        <w:spacing w:after="55"/>
      </w:pPr>
      <w:r>
        <w:rPr>
          <w:sz w:val="21"/>
          <w:szCs w:val="21"/>
        </w:rPr>
        <w:t xml:space="preserve">COGS in Xero compared against Cin7 and Optix, for each agreed period.</w:t>
      </w:r>
    </w:p>
    <w:p>
      <w:pPr>
        <w:pStyle w:val="ListParagraph"/>
        <w:numPr>
          <w:ilvl w:val="0"/>
          <w:numId w:val="2"/>
        </w:numPr>
        <w:spacing w:after="55"/>
      </w:pPr>
      <w:r>
        <w:rPr>
          <w:sz w:val="21"/>
          <w:szCs w:val="21"/>
        </w:rPr>
        <w:t xml:space="preserve">Mapping between Optix/Cin7 accounts and the Xero chart of accounts.</w:t>
      </w:r>
    </w:p>
    <w:p>
      <w:pPr>
        <w:spacing w:after="60" w:before="120"/>
      </w:pPr>
      <w:r>
        <w:rPr>
          <w:b/>
          <w:bCs/>
          <w:color w:val="3B3B3B"/>
          <w:sz w:val="21"/>
          <w:szCs w:val="21"/>
        </w:rPr>
        <w:t xml:space="preserve">What “done” looks like</w:t>
      </w:r>
    </w:p>
    <w:p>
      <w:pPr>
        <w:pStyle w:val="ListParagraph"/>
        <w:numPr>
          <w:ilvl w:val="0"/>
          <w:numId w:val="2"/>
        </w:numPr>
        <w:spacing w:after="55"/>
      </w:pPr>
      <w:r>
        <w:rPr>
          <w:sz w:val="21"/>
          <w:szCs w:val="21"/>
        </w:rPr>
        <w:t xml:space="preserve">Inventory asset value and COGS agree across all three systems within materiality.</w:t>
      </w:r>
    </w:p>
    <w:p>
      <w:pPr>
        <w:pStyle w:val="ListParagraph"/>
        <w:numPr>
          <w:ilvl w:val="0"/>
          <w:numId w:val="2"/>
        </w:numPr>
        <w:spacing w:after="55"/>
      </w:pPr>
      <w:r>
        <w:rPr>
          <w:sz w:val="21"/>
          <w:szCs w:val="21"/>
        </w:rPr>
        <w:t xml:space="preserve">Mapping issues are reported separately from genuine value mismatches.</w:t>
      </w:r>
    </w:p>
    <w:p>
      <w:pPr>
        <w:pStyle w:val="ListParagraph"/>
        <w:numPr>
          <w:ilvl w:val="0"/>
          <w:numId w:val="2"/>
        </w:numPr>
        <w:spacing w:after="55"/>
      </w:pPr>
      <w:r>
        <w:rPr>
          <w:sz w:val="21"/>
          <w:szCs w:val="21"/>
        </w:rPr>
        <w:t xml:space="preserve">Remaining differences are either fixed in sync/logic or formally approved in writing by Toby.</w:t>
      </w:r>
    </w:p>
    <w:p>
      <w:pPr>
        <w:pStyle w:val="Heading1"/>
        <w:pBdr>
          <w:bottom w:val="single" w:color="BFBFBF" w:sz="6" w:space="4"/>
        </w:pBdr>
        <w:spacing w:after="160" w:before="420"/>
      </w:pPr>
      <w:r>
        <w:rPr>
          <w:b/>
          <w:bCs/>
          <w:color w:val="1F3864"/>
          <w:sz w:val="28"/>
          <w:szCs w:val="28"/>
        </w:rPr>
        <w:t xml:space="preserve">6. User Experience Improvements</w:t>
      </w:r>
    </w:p>
    <w:p>
      <w:pPr>
        <w:pStyle w:val="ListParagraph"/>
        <w:numPr>
          <w:ilvl w:val="0"/>
          <w:numId w:val="2"/>
        </w:numPr>
        <w:spacing w:after="55"/>
      </w:pPr>
      <w:r>
        <w:rPr>
          <w:sz w:val="21"/>
          <w:szCs w:val="21"/>
        </w:rPr>
        <w:t xml:space="preserve">An expanded Exception Report covering quantities, values, invoices, COGS, balances, and movements — not just master data.</w:t>
      </w:r>
    </w:p>
    <w:p>
      <w:pPr>
        <w:pStyle w:val="ListParagraph"/>
        <w:numPr>
          <w:ilvl w:val="0"/>
          <w:numId w:val="2"/>
        </w:numPr>
        <w:spacing w:after="55"/>
      </w:pPr>
      <w:r>
        <w:rPr>
          <w:sz w:val="21"/>
          <w:szCs w:val="21"/>
        </w:rPr>
        <w:t xml:space="preserve">Clear “as of” snapshots for every reconciliation run, so results are always tied to a specific, agreed point in time.</w:t>
      </w:r>
    </w:p>
    <w:p>
      <w:pPr>
        <w:pStyle w:val="ListParagraph"/>
        <w:numPr>
          <w:ilvl w:val="0"/>
          <w:numId w:val="2"/>
        </w:numPr>
        <w:spacing w:after="55"/>
      </w:pPr>
      <w:r>
        <w:rPr>
          <w:sz w:val="21"/>
          <w:szCs w:val="21"/>
        </w:rPr>
        <w:t xml:space="preserve">A simple, exportable evidence pack for each area, ready for client review without needing technical explanation.</w:t>
      </w:r>
    </w:p>
    <w:p>
      <w:pPr>
        <w:pStyle w:val="ListParagraph"/>
        <w:numPr>
          <w:ilvl w:val="0"/>
          <w:numId w:val="2"/>
        </w:numPr>
        <w:spacing w:after="55"/>
      </w:pPr>
      <w:r>
        <w:rPr>
          <w:sz w:val="21"/>
          <w:szCs w:val="21"/>
        </w:rPr>
        <w:t xml:space="preserve">A short “same answer” verification pack covering the exact questions Anne and Toby ask most often — stock value, COGS, balances — so sign-off is fast and concrete.</w:t>
      </w:r>
    </w:p>
    <w:p>
      <w:pPr>
        <w:pStyle w:val="Heading1"/>
        <w:pBdr>
          <w:bottom w:val="single" w:color="BFBFBF" w:sz="6" w:space="4"/>
        </w:pBdr>
        <w:spacing w:after="160" w:before="420"/>
      </w:pPr>
      <w:r>
        <w:rPr>
          <w:b/>
          <w:bCs/>
          <w:color w:val="1F3864"/>
          <w:sz w:val="28"/>
          <w:szCs w:val="28"/>
        </w:rPr>
        <w:t xml:space="preserve">7. System &amp; Platform Enhancements</w:t>
      </w:r>
    </w:p>
    <w:p>
      <w:pPr>
        <w:pStyle w:val="ListParagraph"/>
        <w:numPr>
          <w:ilvl w:val="0"/>
          <w:numId w:val="2"/>
        </w:numPr>
        <w:spacing w:after="55"/>
      </w:pPr>
      <w:r>
        <w:rPr>
          <w:sz w:val="21"/>
          <w:szCs w:val="21"/>
        </w:rPr>
        <w:t xml:space="preserve">Reuse of the resumable sync and completeness reporting built in Phase 1, extended to cover stock, invoices, purchases, and movements.</w:t>
      </w:r>
    </w:p>
    <w:p>
      <w:pPr>
        <w:pStyle w:val="ListParagraph"/>
        <w:numPr>
          <w:ilvl w:val="0"/>
          <w:numId w:val="2"/>
        </w:numPr>
        <w:spacing w:after="55"/>
      </w:pPr>
      <w:r>
        <w:rPr>
          <w:sz w:val="21"/>
          <w:szCs w:val="21"/>
        </w:rPr>
        <w:t xml:space="preserve">A shared exception classification system so every difference is labelled consistently and reviewed the same way every time.</w:t>
      </w:r>
    </w:p>
    <w:p>
      <w:pPr>
        <w:pStyle w:val="ListParagraph"/>
        <w:numPr>
          <w:ilvl w:val="0"/>
          <w:numId w:val="2"/>
        </w:numPr>
        <w:spacing w:after="55"/>
      </w:pPr>
      <w:r>
        <w:rPr>
          <w:sz w:val="21"/>
          <w:szCs w:val="21"/>
        </w:rPr>
        <w:t xml:space="preserve">A documented materiality policy, so minor rounding differences are never treated the same as genuine data gaps.</w:t>
      </w:r>
    </w:p>
    <w:p>
      <w:pPr>
        <w:pStyle w:val="ListParagraph"/>
        <w:numPr>
          <w:ilvl w:val="0"/>
          <w:numId w:val="2"/>
        </w:numPr>
        <w:spacing w:after="55"/>
      </w:pPr>
      <w:r>
        <w:rPr>
          <w:sz w:val="21"/>
          <w:szCs w:val="21"/>
        </w:rPr>
        <w:t xml:space="preserve">A source-of-truth reference showing exactly which Cin7 report or API, and which Optix data, was compared for every area.</w:t>
      </w:r>
    </w:p>
    <w:p>
      <w:pPr>
        <w:pStyle w:val="ListParagraph"/>
        <w:numPr>
          <w:ilvl w:val="0"/>
          <w:numId w:val="2"/>
        </w:numPr>
        <w:spacing w:after="55"/>
      </w:pPr>
      <w:r>
        <w:rPr>
          <w:sz w:val="21"/>
          <w:szCs w:val="21"/>
        </w:rPr>
        <w:t xml:space="preserve">Design that anticipates data volume — stock, movements, invoices, and purchases are processed in manageable, resumable batches.</w:t>
      </w:r>
    </w:p>
    <w:p>
      <w:pPr>
        <w:pStyle w:val="Heading1"/>
        <w:pBdr>
          <w:bottom w:val="single" w:color="BFBFBF" w:sz="6" w:space="4"/>
        </w:pBdr>
        <w:spacing w:after="160" w:before="420"/>
      </w:pPr>
      <w:r>
        <w:rPr>
          <w:b/>
          <w:bCs/>
          <w:color w:val="1F3864"/>
          <w:sz w:val="28"/>
          <w:szCs w:val="28"/>
        </w:rPr>
        <w:t xml:space="preserve">8. Integrations</w:t>
      </w:r>
    </w:p>
    <w:p>
      <w:pPr>
        <w:pStyle w:val="ListParagraph"/>
        <w:numPr>
          <w:ilvl w:val="0"/>
          <w:numId w:val="2"/>
        </w:numPr>
        <w:spacing w:after="55"/>
      </w:pPr>
      <w:r>
        <w:rPr>
          <w:sz w:val="21"/>
          <w:szCs w:val="21"/>
        </w:rPr>
        <w:t xml:space="preserve">Cin7 — remains the authoritative source for all operational and inventory data throughout Phase 2.</w:t>
      </w:r>
    </w:p>
    <w:p>
      <w:pPr>
        <w:pStyle w:val="ListParagraph"/>
        <w:numPr>
          <w:ilvl w:val="0"/>
          <w:numId w:val="2"/>
        </w:numPr>
        <w:spacing w:after="55"/>
      </w:pPr>
      <w:r>
        <w:rPr>
          <w:sz w:val="21"/>
          <w:szCs w:val="21"/>
        </w:rPr>
        <w:t xml:space="preserve">Xero — brought into scope at the final stage, to confirm inventory value and COGS agree across all three systems.</w:t>
      </w:r>
    </w:p>
    <w:p>
      <w:pPr>
        <w:pStyle w:val="ListParagraph"/>
        <w:numPr>
          <w:ilvl w:val="0"/>
          <w:numId w:val="2"/>
        </w:numPr>
        <w:spacing w:after="55"/>
      </w:pPr>
      <w:r>
        <w:rPr>
          <w:sz w:val="21"/>
          <w:szCs w:val="21"/>
        </w:rPr>
        <w:t xml:space="preserve">No new third-party integrations are introduced in this phase; the focus is on strengthening what already connects Cin7, Optix, and Xero.</w:t>
      </w:r>
    </w:p>
    <w:p>
      <w:pPr>
        <w:pStyle w:val="Heading1"/>
        <w:pBdr>
          <w:bottom w:val="single" w:color="BFBFBF" w:sz="6" w:space="4"/>
        </w:pBdr>
        <w:spacing w:after="160" w:before="420"/>
      </w:pPr>
      <w:r>
        <w:rPr>
          <w:b/>
          <w:bCs/>
          <w:color w:val="1F3864"/>
          <w:sz w:val="28"/>
          <w:szCs w:val="28"/>
        </w:rPr>
        <w:t xml:space="preserve">9. Deliverables</w:t>
      </w:r>
    </w:p>
    <w:p>
      <w:pPr>
        <w:pStyle w:val="ListParagraph"/>
        <w:numPr>
          <w:ilvl w:val="0"/>
          <w:numId w:val="2"/>
        </w:numPr>
        <w:spacing w:after="55"/>
      </w:pPr>
      <w:r>
        <w:rPr>
          <w:sz w:val="21"/>
          <w:szCs w:val="21"/>
        </w:rPr>
        <w:t xml:space="preserve">Signed-off reconciliation results for each of the eight areas.</w:t>
      </w:r>
    </w:p>
    <w:p>
      <w:pPr>
        <w:pStyle w:val="ListParagraph"/>
        <w:numPr>
          <w:ilvl w:val="0"/>
          <w:numId w:val="2"/>
        </w:numPr>
        <w:spacing w:after="55"/>
      </w:pPr>
      <w:r>
        <w:rPr>
          <w:sz w:val="21"/>
          <w:szCs w:val="21"/>
        </w:rPr>
        <w:t xml:space="preserve">An extended Exception Report covering operational and financial data.</w:t>
      </w:r>
    </w:p>
    <w:p>
      <w:pPr>
        <w:pStyle w:val="ListParagraph"/>
        <w:numPr>
          <w:ilvl w:val="0"/>
          <w:numId w:val="2"/>
        </w:numPr>
        <w:spacing w:after="55"/>
      </w:pPr>
      <w:r>
        <w:rPr>
          <w:sz w:val="21"/>
          <w:szCs w:val="21"/>
        </w:rPr>
        <w:t xml:space="preserve">Stored “as of” reconciliation snapshots for audit and future reference.</w:t>
      </w:r>
    </w:p>
    <w:p>
      <w:pPr>
        <w:pStyle w:val="ListParagraph"/>
        <w:numPr>
          <w:ilvl w:val="0"/>
          <w:numId w:val="2"/>
        </w:numPr>
        <w:spacing w:after="55"/>
      </w:pPr>
      <w:r>
        <w:rPr>
          <w:sz w:val="21"/>
          <w:szCs w:val="21"/>
        </w:rPr>
        <w:t xml:space="preserve">An agreed materiality policy, covering both quantity and dollar tolerances.</w:t>
      </w:r>
    </w:p>
    <w:p>
      <w:pPr>
        <w:pStyle w:val="ListParagraph"/>
        <w:numPr>
          <w:ilvl w:val="0"/>
          <w:numId w:val="2"/>
        </w:numPr>
        <w:spacing w:after="55"/>
      </w:pPr>
      <w:r>
        <w:rPr>
          <w:sz w:val="21"/>
          <w:szCs w:val="21"/>
        </w:rPr>
        <w:t xml:space="preserve">A source-of-truth matrix mapping each area to its Cin7 and Optix data sources.</w:t>
      </w:r>
    </w:p>
    <w:p>
      <w:pPr>
        <w:pStyle w:val="ListParagraph"/>
        <w:numPr>
          <w:ilvl w:val="0"/>
          <w:numId w:val="2"/>
        </w:numPr>
        <w:spacing w:after="55"/>
      </w:pPr>
      <w:r>
        <w:rPr>
          <w:sz w:val="21"/>
          <w:szCs w:val="21"/>
        </w:rPr>
        <w:t xml:space="preserve">A completed three-way reconciliation with Xero for inventory value and COGS.</w:t>
      </w:r>
    </w:p>
    <w:p>
      <w:pPr>
        <w:pStyle w:val="ListParagraph"/>
        <w:numPr>
          <w:ilvl w:val="0"/>
          <w:numId w:val="2"/>
        </w:numPr>
        <w:spacing w:after="55"/>
      </w:pPr>
      <w:r>
        <w:rPr>
          <w:sz w:val="21"/>
          <w:szCs w:val="21"/>
        </w:rPr>
        <w:t xml:space="preserve">A short client-facing verification pack of “same answer” checks for Anne-style questions after each gate.</w:t>
      </w:r>
    </w:p>
    <w:p>
      <w:pPr>
        <w:pStyle w:val="Heading1"/>
        <w:pBdr>
          <w:bottom w:val="single" w:color="BFBFBF" w:sz="6" w:space="4"/>
        </w:pBdr>
        <w:spacing w:after="160" w:before="420"/>
      </w:pPr>
      <w:r>
        <w:rPr>
          <w:b/>
          <w:bCs/>
          <w:color w:val="1F3864"/>
          <w:sz w:val="28"/>
          <w:szCs w:val="28"/>
        </w:rPr>
        <w:t xml:space="preserve">10. Assumptions &amp; Dependencies</w:t>
      </w:r>
    </w:p>
    <w:p>
      <w:pPr>
        <w:pStyle w:val="ListParagraph"/>
        <w:numPr>
          <w:ilvl w:val="0"/>
          <w:numId w:val="2"/>
        </w:numPr>
        <w:spacing w:after="55"/>
      </w:pPr>
      <w:r>
        <w:rPr>
          <w:sz w:val="21"/>
          <w:szCs w:val="21"/>
        </w:rPr>
        <w:t xml:space="preserve">Phase 1 master data (products, customers, suppliers, warehouses) is complete, or any gaps are formally accepted before a given area starts.</w:t>
      </w:r>
    </w:p>
    <w:p>
      <w:pPr>
        <w:pStyle w:val="ListParagraph"/>
        <w:numPr>
          <w:ilvl w:val="0"/>
          <w:numId w:val="2"/>
        </w:numPr>
        <w:spacing w:after="55"/>
      </w:pPr>
      <w:r>
        <w:rPr>
          <w:sz w:val="21"/>
          <w:szCs w:val="21"/>
        </w:rPr>
        <w:t xml:space="preserve">Cin7 remains the source of truth; no live Cin7 data is changed to force agreement.</w:t>
      </w:r>
    </w:p>
    <w:p>
      <w:pPr>
        <w:pStyle w:val="ListParagraph"/>
        <w:numPr>
          <w:ilvl w:val="0"/>
          <w:numId w:val="2"/>
        </w:numPr>
        <w:spacing w:after="55"/>
      </w:pPr>
      <w:r>
        <w:rPr>
          <w:sz w:val="21"/>
          <w:szCs w:val="21"/>
        </w:rPr>
        <w:t xml:space="preserve">Toby confirms materiality tolerances, the historical reconciliation window, and the in-scope warehouse list before development begins.</w:t>
      </w:r>
    </w:p>
    <w:p>
      <w:pPr>
        <w:pStyle w:val="ListParagraph"/>
        <w:numPr>
          <w:ilvl w:val="0"/>
          <w:numId w:val="2"/>
        </w:numPr>
        <w:spacing w:after="55"/>
      </w:pPr>
      <w:r>
        <w:rPr>
          <w:sz w:val="21"/>
          <w:szCs w:val="21"/>
        </w:rPr>
        <w:t xml:space="preserve">The Xero chart of accounts in scope for Area 8 is agreed in advance.</w:t>
      </w:r>
    </w:p>
    <w:p>
      <w:pPr>
        <w:pStyle w:val="ListParagraph"/>
        <w:numPr>
          <w:ilvl w:val="0"/>
          <w:numId w:val="2"/>
        </w:numPr>
        <w:spacing w:after="55"/>
      </w:pPr>
      <w:r>
        <w:rPr>
          <w:sz w:val="21"/>
          <w:szCs w:val="21"/>
        </w:rPr>
        <w:t xml:space="preserve">Each area is signed off before the next begins, in the order set out in Section 4.</w:t>
      </w:r>
    </w:p>
    <w:p>
      <w:pPr>
        <w:pStyle w:val="ListParagraph"/>
        <w:numPr>
          <w:ilvl w:val="0"/>
          <w:numId w:val="2"/>
        </w:numPr>
        <w:spacing w:after="55"/>
      </w:pPr>
      <w:r>
        <w:rPr>
          <w:sz w:val="21"/>
          <w:szCs w:val="21"/>
        </w:rPr>
        <w:t xml:space="preserve">Multi-currency handling is out of scope unless confirmed that CCW uses it in Cin7 (default assumption: AUD only).</w:t>
      </w:r>
    </w:p>
    <w:p>
      <w:pPr>
        <w:pStyle w:val="Heading1"/>
        <w:pBdr>
          <w:bottom w:val="single" w:color="BFBFBF" w:sz="6" w:space="4"/>
        </w:pBdr>
        <w:spacing w:after="160" w:before="420"/>
      </w:pPr>
      <w:r>
        <w:rPr>
          <w:b/>
          <w:bCs/>
          <w:color w:val="1F3864"/>
          <w:sz w:val="28"/>
          <w:szCs w:val="28"/>
        </w:rPr>
        <w:t xml:space="preserve">11. Out of Scope</w:t>
      </w:r>
    </w:p>
    <w:p>
      <w:pPr>
        <w:pStyle w:val="ListParagraph"/>
        <w:numPr>
          <w:ilvl w:val="0"/>
          <w:numId w:val="2"/>
        </w:numPr>
        <w:spacing w:after="55"/>
      </w:pPr>
      <w:r>
        <w:rPr>
          <w:sz w:val="21"/>
          <w:szCs w:val="21"/>
        </w:rPr>
        <w:t xml:space="preserve">New ERP features or operational workflows unrelated to reconciliation.</w:t>
      </w:r>
    </w:p>
    <w:p>
      <w:pPr>
        <w:pStyle w:val="ListParagraph"/>
        <w:numPr>
          <w:ilvl w:val="0"/>
          <w:numId w:val="2"/>
        </w:numPr>
        <w:spacing w:after="55"/>
      </w:pPr>
      <w:r>
        <w:rPr>
          <w:sz w:val="21"/>
          <w:szCs w:val="21"/>
        </w:rPr>
        <w:t xml:space="preserve">Cleaning or modifying live Cin7 data to make numbers agree.</w:t>
      </w:r>
    </w:p>
    <w:p>
      <w:pPr>
        <w:pStyle w:val="ListParagraph"/>
        <w:numPr>
          <w:ilvl w:val="0"/>
          <w:numId w:val="2"/>
        </w:numPr>
        <w:spacing w:after="55"/>
      </w:pPr>
      <w:r>
        <w:rPr>
          <w:sz w:val="21"/>
          <w:szCs w:val="21"/>
        </w:rPr>
        <w:t xml:space="preserve">An independent Optix costing engine (average cost, last cost) separate from Cin7’s FIFO method.</w:t>
      </w:r>
    </w:p>
    <w:p>
      <w:pPr>
        <w:pStyle w:val="ListParagraph"/>
        <w:numPr>
          <w:ilvl w:val="0"/>
          <w:numId w:val="2"/>
        </w:numPr>
        <w:spacing w:after="55"/>
      </w:pPr>
      <w:r>
        <w:rPr>
          <w:sz w:val="21"/>
          <w:szCs w:val="21"/>
        </w:rPr>
        <w:t xml:space="preserve">Full Xero bookkeeping takeover, bank reconciliation, or POS cash-up.</w:t>
      </w:r>
    </w:p>
    <w:p>
      <w:pPr>
        <w:pStyle w:val="ListParagraph"/>
        <w:numPr>
          <w:ilvl w:val="0"/>
          <w:numId w:val="2"/>
        </w:numPr>
        <w:spacing w:after="55"/>
      </w:pPr>
      <w:r>
        <w:rPr>
          <w:sz w:val="21"/>
          <w:szCs w:val="21"/>
        </w:rPr>
        <w:t xml:space="preserve">Shopify or other sales channel expansion, unless required to complete a specific reconciliation gate.</w:t>
      </w:r>
    </w:p>
    <w:p>
      <w:pPr>
        <w:pStyle w:val="ListParagraph"/>
        <w:numPr>
          <w:ilvl w:val="0"/>
          <w:numId w:val="2"/>
        </w:numPr>
        <w:spacing w:after="55"/>
      </w:pPr>
      <w:r>
        <w:rPr>
          <w:sz w:val="21"/>
          <w:szCs w:val="21"/>
        </w:rPr>
        <w:t xml:space="preserve">New procurement approval workflows or supplier performance analytics.</w:t>
      </w:r>
    </w:p>
    <w:p>
      <w:pPr>
        <w:pStyle w:val="ListParagraph"/>
        <w:numPr>
          <w:ilvl w:val="0"/>
          <w:numId w:val="2"/>
        </w:numPr>
        <w:spacing w:after="55"/>
      </w:pPr>
      <w:r>
        <w:rPr>
          <w:sz w:val="21"/>
          <w:szCs w:val="21"/>
        </w:rPr>
        <w:t xml:space="preserve">Full credit-control workflows or payment allocation interfaces beyond what reconciliation requires.</w:t>
      </w:r>
    </w:p>
    <w:p>
      <w:pPr>
        <w:pStyle w:val="Heading1"/>
        <w:pBdr>
          <w:bottom w:val="single" w:color="BFBFBF" w:sz="6" w:space="4"/>
        </w:pBdr>
        <w:spacing w:after="160" w:before="420"/>
      </w:pPr>
      <w:r>
        <w:rPr>
          <w:b/>
          <w:bCs/>
          <w:color w:val="1F3864"/>
          <w:sz w:val="28"/>
          <w:szCs w:val="28"/>
        </w:rPr>
        <w:t xml:space="preserve">12. Acceptance Criteria &amp; Exception Handling</w:t>
      </w:r>
    </w:p>
    <w:p>
      <w:pPr>
        <w:spacing w:after="120"/>
      </w:pPr>
      <w:r>
        <w:rPr>
          <w:i w:val="false"/>
          <w:iCs w:val="false"/>
          <w:sz w:val="21"/>
          <w:szCs w:val="21"/>
        </w:rPr>
        <w:t xml:space="preserve">An area is considered complete when all of the following are true:</w:t>
      </w:r>
    </w:p>
    <w:p>
      <w:pPr>
        <w:pStyle w:val="ListParagraph"/>
        <w:numPr>
          <w:ilvl w:val="0"/>
          <w:numId w:val="2"/>
        </w:numPr>
        <w:spacing w:after="55"/>
      </w:pPr>
      <w:r>
        <w:rPr>
          <w:sz w:val="21"/>
          <w:szCs w:val="21"/>
        </w:rPr>
        <w:t xml:space="preserve">Optix produces the same operational or financial result as Cin7, for the agreed scope and point in time.</w:t>
      </w:r>
    </w:p>
    <w:p>
      <w:pPr>
        <w:pStyle w:val="ListParagraph"/>
        <w:numPr>
          <w:ilvl w:val="0"/>
          <w:numId w:val="2"/>
        </w:numPr>
        <w:spacing w:after="55"/>
      </w:pPr>
      <w:r>
        <w:rPr>
          <w:sz w:val="21"/>
          <w:szCs w:val="21"/>
        </w:rPr>
        <w:t xml:space="preserve">Any differences are listed, classified, and clearly explained — never left as unexplained drift.</w:t>
      </w:r>
    </w:p>
    <w:p>
      <w:pPr>
        <w:pStyle w:val="ListParagraph"/>
        <w:numPr>
          <w:ilvl w:val="0"/>
          <w:numId w:val="2"/>
        </w:numPr>
        <w:spacing w:after="55"/>
      </w:pPr>
      <w:r>
        <w:rPr>
          <w:sz w:val="21"/>
          <w:szCs w:val="21"/>
        </w:rPr>
        <w:t xml:space="preserve">Differences are resolved through sync or logic improvements, never by editing live Cin7 data.</w:t>
      </w:r>
    </w:p>
    <w:p>
      <w:pPr>
        <w:pStyle w:val="ListParagraph"/>
        <w:numPr>
          <w:ilvl w:val="0"/>
          <w:numId w:val="2"/>
        </w:numPr>
        <w:spacing w:after="55"/>
      </w:pPr>
      <w:r>
        <w:rPr>
          <w:sz w:val="21"/>
          <w:szCs w:val="21"/>
        </w:rPr>
        <w:t xml:space="preserve">Results are repeatable — re-running the same check at the same as-of produces the same outcome.</w:t>
      </w:r>
    </w:p>
    <w:p>
      <w:pPr>
        <w:pStyle w:val="ListParagraph"/>
        <w:numPr>
          <w:ilvl w:val="0"/>
          <w:numId w:val="2"/>
        </w:numPr>
        <w:spacing w:after="55"/>
      </w:pPr>
      <w:r>
        <w:rPr>
          <w:sz w:val="21"/>
          <w:szCs w:val="21"/>
        </w:rPr>
        <w:t xml:space="preserve">Any remaining variance is within the materiality tolerance agreed with Toby, or formally approved in writing.</w:t>
      </w:r>
    </w:p>
    <w:p>
      <w:pPr>
        <w:spacing w:after="60" w:before="120"/>
      </w:pPr>
      <w:r>
        <w:rPr>
          <w:b/>
          <w:bCs/>
          <w:color w:val="3B3B3B"/>
          <w:sz w:val="21"/>
          <w:szCs w:val="21"/>
        </w:rPr>
        <w:t xml:space="preserve">How differences are classified</w:t>
      </w:r>
    </w:p>
    <w:p>
      <w:pPr>
        <w:spacing w:after="120"/>
      </w:pPr>
      <w:r>
        <w:rPr>
          <w:i w:val="false"/>
          <w:iCs w:val="false"/>
          <w:sz w:val="21"/>
          <w:szCs w:val="21"/>
        </w:rPr>
        <w:t xml:space="preserve">Every variance found during reconciliation is labelled using a consistent classification, so nothing is left ambiguous: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c>
          <w:tcPr>
            <w:tcW w:type="dxa" w:w="2600"/>
            <w:shd w:fill="E9EDF5" w:val="clear"/>
            <w:tcMar>
              <w:top w:type="dxa" w:w="80"/>
              <w:left w:type="dxa" w:w="100"/>
              <w:bottom w:type="dxa" w:w="80"/>
              <w:right w:type="dxa" w:w="100"/>
            </w:tcMar>
            <w:vAlign w:val="center"/>
          </w:tcPr>
          <w:p>
            <w:r>
              <w:rPr>
                <w:b/>
                <w:bCs/>
                <w:sz w:val="19"/>
                <w:szCs w:val="19"/>
              </w:rPr>
              <w:t xml:space="preserve">Classification</w:t>
            </w:r>
          </w:p>
        </w:tc>
        <w:tc>
          <w:tcPr>
            <w:tcW w:type="dxa" w:w="7100"/>
            <w:shd w:fill="E9EDF5" w:val="clear"/>
            <w:tcMar>
              <w:top w:type="dxa" w:w="80"/>
              <w:left w:type="dxa" w:w="100"/>
              <w:bottom w:type="dxa" w:w="80"/>
              <w:right w:type="dxa" w:w="100"/>
            </w:tcMar>
            <w:vAlign w:val="center"/>
          </w:tcPr>
          <w:p>
            <w:r>
              <w:rPr>
                <w:b/>
                <w:bCs/>
                <w:sz w:val="19"/>
                <w:szCs w:val="19"/>
              </w:rPr>
              <w:t xml:space="preserve">What it means</w:t>
            </w:r>
          </w:p>
        </w:tc>
      </w:tr>
      <w:tr>
        <w:tc>
          <w:tcPr>
            <w:tcW w:type="dxa" w:w="2600"/>
            <w:tcMar>
              <w:top w:type="dxa" w:w="80"/>
              <w:left w:type="dxa" w:w="100"/>
              <w:bottom w:type="dxa" w:w="80"/>
              <w:right w:type="dxa" w:w="100"/>
            </w:tcMar>
            <w:vAlign w:val="center"/>
          </w:tcPr>
          <w:p>
            <w:r>
              <w:rPr>
                <w:b w:val="false"/>
                <w:bCs w:val="false"/>
                <w:sz w:val="19"/>
                <w:szCs w:val="19"/>
              </w:rPr>
              <w:t xml:space="preserve">Missing in Optix</w:t>
            </w:r>
          </w:p>
        </w:tc>
        <w:tc>
          <w:tcPr>
            <w:tcW w:type="dxa" w:w="7100"/>
            <w:tcMar>
              <w:top w:type="dxa" w:w="80"/>
              <w:left w:type="dxa" w:w="100"/>
              <w:bottom w:type="dxa" w:w="80"/>
              <w:right w:type="dxa" w:w="100"/>
            </w:tcMar>
            <w:vAlign w:val="center"/>
          </w:tcPr>
          <w:p>
            <w:r>
              <w:rPr>
                <w:b w:val="false"/>
                <w:bCs w:val="false"/>
                <w:sz w:val="19"/>
                <w:szCs w:val="19"/>
              </w:rPr>
              <w:t xml:space="preserve">Exists in Cin7 but hasn’t appeared in Optix yet.</w:t>
            </w:r>
          </w:p>
        </w:tc>
      </w:tr>
      <w:tr>
        <w:tc>
          <w:tcPr>
            <w:tcW w:type="dxa" w:w="2600"/>
            <w:tcMar>
              <w:top w:type="dxa" w:w="80"/>
              <w:left w:type="dxa" w:w="100"/>
              <w:bottom w:type="dxa" w:w="80"/>
              <w:right w:type="dxa" w:w="100"/>
            </w:tcMar>
            <w:vAlign w:val="center"/>
          </w:tcPr>
          <w:p>
            <w:r>
              <w:rPr>
                <w:b w:val="false"/>
                <w:bCs w:val="false"/>
                <w:sz w:val="19"/>
                <w:szCs w:val="19"/>
              </w:rPr>
              <w:t xml:space="preserve">Extra in Optix</w:t>
            </w:r>
          </w:p>
        </w:tc>
        <w:tc>
          <w:tcPr>
            <w:tcW w:type="dxa" w:w="7100"/>
            <w:tcMar>
              <w:top w:type="dxa" w:w="80"/>
              <w:left w:type="dxa" w:w="100"/>
              <w:bottom w:type="dxa" w:w="80"/>
              <w:right w:type="dxa" w:w="100"/>
            </w:tcMar>
            <w:vAlign w:val="center"/>
          </w:tcPr>
          <w:p>
            <w:r>
              <w:rPr>
                <w:b w:val="false"/>
                <w:bCs w:val="false"/>
                <w:sz w:val="19"/>
                <w:szCs w:val="19"/>
              </w:rPr>
              <w:t xml:space="preserve">Exists in Optix but not in Cin7.</w:t>
            </w:r>
          </w:p>
        </w:tc>
      </w:tr>
      <w:tr>
        <w:tc>
          <w:tcPr>
            <w:tcW w:type="dxa" w:w="2600"/>
            <w:tcMar>
              <w:top w:type="dxa" w:w="80"/>
              <w:left w:type="dxa" w:w="100"/>
              <w:bottom w:type="dxa" w:w="80"/>
              <w:right w:type="dxa" w:w="100"/>
            </w:tcMar>
            <w:vAlign w:val="center"/>
          </w:tcPr>
          <w:p>
            <w:r>
              <w:rPr>
                <w:b w:val="false"/>
                <w:bCs w:val="false"/>
                <w:sz w:val="19"/>
                <w:szCs w:val="19"/>
              </w:rPr>
              <w:t xml:space="preserve">Value mismatch</w:t>
            </w:r>
          </w:p>
        </w:tc>
        <w:tc>
          <w:tcPr>
            <w:tcW w:type="dxa" w:w="7100"/>
            <w:tcMar>
              <w:top w:type="dxa" w:w="80"/>
              <w:left w:type="dxa" w:w="100"/>
              <w:bottom w:type="dxa" w:w="80"/>
              <w:right w:type="dxa" w:w="100"/>
            </w:tcMar>
            <w:vAlign w:val="center"/>
          </w:tcPr>
          <w:p>
            <w:r>
              <w:rPr>
                <w:b w:val="false"/>
                <w:bCs w:val="false"/>
                <w:sz w:val="19"/>
                <w:szCs w:val="19"/>
              </w:rPr>
              <w:t xml:space="preserve">The same record exists in both systems with a different figure.</w:t>
            </w:r>
          </w:p>
        </w:tc>
      </w:tr>
      <w:tr>
        <w:tc>
          <w:tcPr>
            <w:tcW w:type="dxa" w:w="2600"/>
            <w:tcMar>
              <w:top w:type="dxa" w:w="80"/>
              <w:left w:type="dxa" w:w="100"/>
              <w:bottom w:type="dxa" w:w="80"/>
              <w:right w:type="dxa" w:w="100"/>
            </w:tcMar>
            <w:vAlign w:val="center"/>
          </w:tcPr>
          <w:p>
            <w:r>
              <w:rPr>
                <w:b w:val="false"/>
                <w:bCs w:val="false"/>
                <w:sz w:val="19"/>
                <w:szCs w:val="19"/>
              </w:rPr>
              <w:t xml:space="preserve">Timing</w:t>
            </w:r>
          </w:p>
        </w:tc>
        <w:tc>
          <w:tcPr>
            <w:tcW w:type="dxa" w:w="7100"/>
            <w:tcMar>
              <w:top w:type="dxa" w:w="80"/>
              <w:left w:type="dxa" w:w="100"/>
              <w:bottom w:type="dxa" w:w="80"/>
              <w:right w:type="dxa" w:w="100"/>
            </w:tcMar>
            <w:vAlign w:val="center"/>
          </w:tcPr>
          <w:p>
            <w:r>
              <w:rPr>
                <w:b w:val="false"/>
                <w:bCs w:val="false"/>
                <w:sz w:val="19"/>
                <w:szCs w:val="19"/>
              </w:rPr>
              <w:t xml:space="preserve">Explained by cut-off timing or a transaction still in progress.</w:t>
            </w:r>
          </w:p>
        </w:tc>
      </w:tr>
      <w:tr>
        <w:tc>
          <w:tcPr>
            <w:tcW w:type="dxa" w:w="2600"/>
            <w:tcMar>
              <w:top w:type="dxa" w:w="80"/>
              <w:left w:type="dxa" w:w="100"/>
              <w:bottom w:type="dxa" w:w="80"/>
              <w:right w:type="dxa" w:w="100"/>
            </w:tcMar>
            <w:vAlign w:val="center"/>
          </w:tcPr>
          <w:p>
            <w:r>
              <w:rPr>
                <w:b w:val="false"/>
                <w:bCs w:val="false"/>
                <w:sz w:val="19"/>
                <w:szCs w:val="19"/>
              </w:rPr>
              <w:t xml:space="preserve">Mapping</w:t>
            </w:r>
          </w:p>
        </w:tc>
        <w:tc>
          <w:tcPr>
            <w:tcW w:type="dxa" w:w="7100"/>
            <w:tcMar>
              <w:top w:type="dxa" w:w="80"/>
              <w:left w:type="dxa" w:w="100"/>
              <w:bottom w:type="dxa" w:w="80"/>
              <w:right w:type="dxa" w:w="100"/>
            </w:tcMar>
            <w:vAlign w:val="center"/>
          </w:tcPr>
          <w:p>
            <w:r>
              <w:rPr>
                <w:b w:val="false"/>
                <w:bCs w:val="false"/>
                <w:sz w:val="19"/>
                <w:szCs w:val="19"/>
              </w:rPr>
              <w:t xml:space="preserve">A tax, warehouse, contact, or GL account mapping issue.</w:t>
            </w:r>
          </w:p>
        </w:tc>
      </w:tr>
      <w:tr>
        <w:tc>
          <w:tcPr>
            <w:tcW w:type="dxa" w:w="2600"/>
            <w:tcMar>
              <w:top w:type="dxa" w:w="80"/>
              <w:left w:type="dxa" w:w="100"/>
              <w:bottom w:type="dxa" w:w="80"/>
              <w:right w:type="dxa" w:w="100"/>
            </w:tcMar>
            <w:vAlign w:val="center"/>
          </w:tcPr>
          <w:p>
            <w:r>
              <w:rPr>
                <w:b w:val="false"/>
                <w:bCs w:val="false"/>
                <w:sz w:val="19"/>
                <w:szCs w:val="19"/>
              </w:rPr>
              <w:t xml:space="preserve">Approved variance</w:t>
            </w:r>
          </w:p>
        </w:tc>
        <w:tc>
          <w:tcPr>
            <w:tcW w:type="dxa" w:w="7100"/>
            <w:tcMar>
              <w:top w:type="dxa" w:w="80"/>
              <w:left w:type="dxa" w:w="100"/>
              <w:bottom w:type="dxa" w:w="80"/>
              <w:right w:type="dxa" w:w="100"/>
            </w:tcMar>
            <w:vAlign w:val="center"/>
          </w:tcPr>
          <w:p>
            <w:r>
              <w:rPr>
                <w:b w:val="false"/>
                <w:bCs w:val="false"/>
                <w:sz w:val="19"/>
                <w:szCs w:val="19"/>
              </w:rPr>
              <w:t xml:space="preserve">Reviewed and formally accepted by Toby.</w:t>
            </w:r>
          </w:p>
        </w:tc>
      </w:tr>
      <w:tr>
        <w:tc>
          <w:tcPr>
            <w:tcW w:type="dxa" w:w="2600"/>
            <w:tcMar>
              <w:top w:type="dxa" w:w="80"/>
              <w:left w:type="dxa" w:w="100"/>
              <w:bottom w:type="dxa" w:w="80"/>
              <w:right w:type="dxa" w:w="100"/>
            </w:tcMar>
            <w:vAlign w:val="center"/>
          </w:tcPr>
          <w:p>
            <w:r>
              <w:rPr>
                <w:b w:val="false"/>
                <w:bCs w:val="false"/>
                <w:sz w:val="19"/>
                <w:szCs w:val="19"/>
              </w:rPr>
              <w:t xml:space="preserve">Skipped on sync</w:t>
            </w:r>
          </w:p>
        </w:tc>
        <w:tc>
          <w:tcPr>
            <w:tcW w:type="dxa" w:w="7100"/>
            <w:tcMar>
              <w:top w:type="dxa" w:w="80"/>
              <w:left w:type="dxa" w:w="100"/>
              <w:bottom w:type="dxa" w:w="80"/>
              <w:right w:type="dxa" w:w="100"/>
            </w:tcMar>
            <w:vAlign w:val="center"/>
          </w:tcPr>
          <w:p>
            <w:r>
              <w:rPr>
                <w:b w:val="false"/>
                <w:bCs w:val="false"/>
                <w:sz w:val="19"/>
                <w:szCs w:val="19"/>
              </w:rPr>
              <w:t xml:space="preserve">A known, documented exclusion from the current sync.</w:t>
            </w:r>
          </w:p>
        </w:tc>
      </w:tr>
    </w:tbl>
    <w:p>
      <w:pPr>
        <w:pStyle w:val="Heading1"/>
        <w:pBdr>
          <w:bottom w:val="single" w:color="BFBFBF" w:sz="6" w:space="4"/>
        </w:pBdr>
        <w:spacing w:after="160" w:before="420"/>
      </w:pPr>
      <w:r>
        <w:rPr>
          <w:b/>
          <w:bCs/>
          <w:color w:val="1F3864"/>
          <w:sz w:val="28"/>
          <w:szCs w:val="28"/>
        </w:rPr>
        <w:t xml:space="preserve">13. Materiality &amp; Risk Management</w:t>
      </w:r>
    </w:p>
    <w:p>
      <w:pPr>
        <w:spacing w:after="60" w:before="120"/>
      </w:pPr>
      <w:r>
        <w:rPr>
          <w:b/>
          <w:bCs/>
          <w:color w:val="3B3B3B"/>
          <w:sz w:val="21"/>
          <w:szCs w:val="21"/>
        </w:rPr>
        <w:t xml:space="preserve">Materiality policy</w:t>
      </w:r>
    </w:p>
    <w:p>
      <w:pPr>
        <w:spacing w:after="120"/>
      </w:pPr>
      <w:r>
        <w:rPr>
          <w:i w:val="false"/>
          <w:iCs w:val="false"/>
          <w:sz w:val="21"/>
          <w:szCs w:val="21"/>
        </w:rPr>
        <w:t xml:space="preserve">A materiality threshold prevents trivial rounding noise from being treated as a genuine data problem. Recommended defaults, to be confirmed by Toby before Area 1 begins:</w:t>
      </w:r>
    </w:p>
    <w:p>
      <w:pPr>
        <w:pStyle w:val="ListParagraph"/>
        <w:numPr>
          <w:ilvl w:val="0"/>
          <w:numId w:val="2"/>
        </w:numPr>
        <w:spacing w:after="55"/>
      </w:pPr>
      <w:r>
        <w:rPr>
          <w:sz w:val="21"/>
          <w:szCs w:val="21"/>
        </w:rPr>
        <w:t xml:space="preserve">Quantity tolerance: exact match (zero variance).</w:t>
      </w:r>
    </w:p>
    <w:p>
      <w:pPr>
        <w:pStyle w:val="ListParagraph"/>
        <w:numPr>
          <w:ilvl w:val="0"/>
          <w:numId w:val="2"/>
        </w:numPr>
        <w:spacing w:after="55"/>
      </w:pPr>
      <w:r>
        <w:rPr>
          <w:sz w:val="21"/>
          <w:szCs w:val="21"/>
        </w:rPr>
        <w:t xml:space="preserve">Dollar tolerance: $0.01 (AUD), unless otherwise agreed.</w:t>
      </w:r>
    </w:p>
    <w:p>
      <w:pPr>
        <w:spacing w:after="60" w:before="120"/>
      </w:pPr>
      <w:r>
        <w:rPr>
          <w:b/>
          <w:bCs/>
          <w:color w:val="3B3B3B"/>
          <w:sz w:val="21"/>
          <w:szCs w:val="21"/>
        </w:rPr>
        <w:t xml:space="preserve">Key risks and how they are managed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3200"/>
      </w:tblGrid>
      <w:tr>
        <w:tc>
          <w:tcPr>
            <w:tcW w:type="dxa" w:w="3300"/>
            <w:shd w:fill="E9EDF5" w:val="clear"/>
            <w:tcMar>
              <w:top w:type="dxa" w:w="80"/>
              <w:left w:type="dxa" w:w="100"/>
              <w:bottom w:type="dxa" w:w="80"/>
              <w:right w:type="dxa" w:w="100"/>
            </w:tcMar>
            <w:vAlign w:val="center"/>
          </w:tcPr>
          <w:p>
            <w:r>
              <w:rPr>
                <w:b/>
                <w:bCs/>
                <w:sz w:val="19"/>
                <w:szCs w:val="19"/>
              </w:rPr>
              <w:t xml:space="preserve">Risk</w:t>
            </w:r>
          </w:p>
        </w:tc>
        <w:tc>
          <w:tcPr>
            <w:tcW w:type="dxa" w:w="3200"/>
            <w:shd w:fill="E9EDF5" w:val="clear"/>
            <w:tcMar>
              <w:top w:type="dxa" w:w="80"/>
              <w:left w:type="dxa" w:w="100"/>
              <w:bottom w:type="dxa" w:w="80"/>
              <w:right w:type="dxa" w:w="100"/>
            </w:tcMar>
            <w:vAlign w:val="center"/>
          </w:tcPr>
          <w:p>
            <w:r>
              <w:rPr>
                <w:b/>
                <w:bCs/>
                <w:sz w:val="19"/>
                <w:szCs w:val="19"/>
              </w:rPr>
              <w:t xml:space="preserve">Why it matters</w:t>
            </w:r>
          </w:p>
        </w:tc>
        <w:tc>
          <w:tcPr>
            <w:tcW w:type="dxa" w:w="3200"/>
            <w:shd w:fill="E9EDF5" w:val="clear"/>
            <w:tcMar>
              <w:top w:type="dxa" w:w="80"/>
              <w:left w:type="dxa" w:w="100"/>
              <w:bottom w:type="dxa" w:w="80"/>
              <w:right w:type="dxa" w:w="100"/>
            </w:tcMar>
            <w:vAlign w:val="center"/>
          </w:tcPr>
          <w:p>
            <w:r>
              <w:rPr>
                <w:b/>
                <w:bCs/>
                <w:sz w:val="19"/>
                <w:szCs w:val="19"/>
              </w:rPr>
              <w:t xml:space="preserve">How it’s managed</w:t>
            </w:r>
          </w:p>
        </w:tc>
      </w:tr>
      <w:tr>
        <w:tc>
          <w:tcPr>
            <w:tcW w:type="dxa" w:w="3300"/>
            <w:tcMar>
              <w:top w:type="dxa" w:w="80"/>
              <w:left w:type="dxa" w:w="100"/>
              <w:bottom w:type="dxa" w:w="80"/>
              <w:right w:type="dxa" w:w="100"/>
            </w:tcMar>
            <w:vAlign w:val="center"/>
          </w:tcPr>
          <w:p>
            <w:r>
              <w:rPr>
                <w:b w:val="false"/>
                <w:bCs w:val="false"/>
                <w:sz w:val="19"/>
                <w:szCs w:val="19"/>
              </w:rPr>
              <w:t xml:space="preserve">Phase 1 master-data gaps still open</w:t>
            </w:r>
          </w:p>
        </w:tc>
        <w:tc>
          <w:tcPr>
            <w:tcW w:type="dxa" w:w="3200"/>
            <w:tcMar>
              <w:top w:type="dxa" w:w="80"/>
              <w:left w:type="dxa" w:w="100"/>
              <w:bottom w:type="dxa" w:w="80"/>
              <w:right w:type="dxa" w:w="100"/>
            </w:tcMar>
            <w:vAlign w:val="center"/>
          </w:tcPr>
          <w:p>
            <w:r>
              <w:rPr>
                <w:b w:val="false"/>
                <w:bCs w:val="false"/>
                <w:sz w:val="19"/>
                <w:szCs w:val="19"/>
              </w:rPr>
              <w:t xml:space="preserve">Creates noisy, unreliable results early in Phase 2</w:t>
            </w:r>
          </w:p>
        </w:tc>
        <w:tc>
          <w:tcPr>
            <w:tcW w:type="dxa" w:w="3200"/>
            <w:tcMar>
              <w:top w:type="dxa" w:w="80"/>
              <w:left w:type="dxa" w:w="100"/>
              <w:bottom w:type="dxa" w:w="80"/>
              <w:right w:type="dxa" w:w="100"/>
            </w:tcMar>
            <w:vAlign w:val="center"/>
          </w:tcPr>
          <w:p>
            <w:r>
              <w:rPr>
                <w:b w:val="false"/>
                <w:bCs w:val="false"/>
                <w:sz w:val="19"/>
                <w:szCs w:val="19"/>
              </w:rPr>
              <w:t xml:space="preserve">Keep the Exception Report active; agree a residual allow-list before each gate</w:t>
            </w:r>
          </w:p>
        </w:tc>
      </w:tr>
      <w:tr>
        <w:tc>
          <w:tcPr>
            <w:tcW w:type="dxa" w:w="3300"/>
            <w:tcMar>
              <w:top w:type="dxa" w:w="80"/>
              <w:left w:type="dxa" w:w="100"/>
              <w:bottom w:type="dxa" w:w="80"/>
              <w:right w:type="dxa" w:w="100"/>
            </w:tcMar>
            <w:vAlign w:val="center"/>
          </w:tcPr>
          <w:p>
            <w:r>
              <w:rPr>
                <w:b w:val="false"/>
                <w:bCs w:val="false"/>
                <w:sz w:val="19"/>
                <w:szCs w:val="19"/>
              </w:rPr>
              <w:t xml:space="preserve">Ambiguous “point in time”</w:t>
            </w:r>
          </w:p>
        </w:tc>
        <w:tc>
          <w:tcPr>
            <w:tcW w:type="dxa" w:w="3200"/>
            <w:tcMar>
              <w:top w:type="dxa" w:w="80"/>
              <w:left w:type="dxa" w:w="100"/>
              <w:bottom w:type="dxa" w:w="80"/>
              <w:right w:type="dxa" w:w="100"/>
            </w:tcMar>
            <w:vAlign w:val="center"/>
          </w:tcPr>
          <w:p>
            <w:r>
              <w:rPr>
                <w:b w:val="false"/>
                <w:bCs w:val="false"/>
                <w:sz w:val="19"/>
                <w:szCs w:val="19"/>
              </w:rPr>
              <w:t xml:space="preserve">Leads to ongoing disputes over what should match</w:t>
            </w:r>
          </w:p>
        </w:tc>
        <w:tc>
          <w:tcPr>
            <w:tcW w:type="dxa" w:w="3200"/>
            <w:tcMar>
              <w:top w:type="dxa" w:w="80"/>
              <w:left w:type="dxa" w:w="100"/>
              <w:bottom w:type="dxa" w:w="80"/>
              <w:right w:type="dxa" w:w="100"/>
            </w:tcMar>
            <w:vAlign w:val="center"/>
          </w:tcPr>
          <w:p>
            <w:r>
              <w:rPr>
                <w:b w:val="false"/>
                <w:bCs w:val="false"/>
                <w:sz w:val="19"/>
                <w:szCs w:val="19"/>
              </w:rPr>
              <w:t xml:space="preserve">Lock down as-of rules before Area 1 begins</w:t>
            </w:r>
          </w:p>
        </w:tc>
      </w:tr>
      <w:tr>
        <w:tc>
          <w:tcPr>
            <w:tcW w:type="dxa" w:w="3300"/>
            <w:tcMar>
              <w:top w:type="dxa" w:w="80"/>
              <w:left w:type="dxa" w:w="100"/>
              <w:bottom w:type="dxa" w:w="80"/>
              <w:right w:type="dxa" w:w="100"/>
            </w:tcMar>
            <w:vAlign w:val="center"/>
          </w:tcPr>
          <w:p>
            <w:r>
              <w:rPr>
                <w:b w:val="false"/>
                <w:bCs w:val="false"/>
                <w:sz w:val="19"/>
                <w:szCs w:val="19"/>
              </w:rPr>
              <w:t xml:space="preserve">Re-building FIFO incorrectly</w:t>
            </w:r>
          </w:p>
        </w:tc>
        <w:tc>
          <w:tcPr>
            <w:tcW w:type="dxa" w:w="3200"/>
            <w:tcMar>
              <w:top w:type="dxa" w:w="80"/>
              <w:left w:type="dxa" w:w="100"/>
              <w:bottom w:type="dxa" w:w="80"/>
              <w:right w:type="dxa" w:w="100"/>
            </w:tcMar>
            <w:vAlign w:val="center"/>
          </w:tcPr>
          <w:p>
            <w:r>
              <w:rPr>
                <w:b w:val="false"/>
                <w:bCs w:val="false"/>
                <w:sz w:val="19"/>
                <w:szCs w:val="19"/>
              </w:rPr>
              <w:t xml:space="preserve">Risk of wrong valuation or COGS figures</w:t>
            </w:r>
          </w:p>
        </w:tc>
        <w:tc>
          <w:tcPr>
            <w:tcW w:type="dxa" w:w="3200"/>
            <w:tcMar>
              <w:top w:type="dxa" w:w="80"/>
              <w:left w:type="dxa" w:w="100"/>
              <w:bottom w:type="dxa" w:w="80"/>
              <w:right w:type="dxa" w:w="100"/>
            </w:tcMar>
            <w:vAlign w:val="center"/>
          </w:tcPr>
          <w:p>
            <w:r>
              <w:rPr>
                <w:b w:val="false"/>
                <w:bCs w:val="false"/>
                <w:sz w:val="19"/>
                <w:szCs w:val="19"/>
              </w:rPr>
              <w:t xml:space="preserve">Mirror Cin7’s FIFO outcomes rather than recalculating independently</w:t>
            </w:r>
          </w:p>
        </w:tc>
      </w:tr>
      <w:tr>
        <w:tc>
          <w:tcPr>
            <w:tcW w:type="dxa" w:w="3300"/>
            <w:tcMar>
              <w:top w:type="dxa" w:w="80"/>
              <w:left w:type="dxa" w:w="100"/>
              <w:bottom w:type="dxa" w:w="80"/>
              <w:right w:type="dxa" w:w="100"/>
            </w:tcMar>
            <w:vAlign w:val="center"/>
          </w:tcPr>
          <w:p>
            <w:r>
              <w:rPr>
                <w:b w:val="false"/>
                <w:bCs w:val="false"/>
                <w:sz w:val="19"/>
                <w:szCs w:val="19"/>
              </w:rPr>
              <w:t xml:space="preserve">Starting Xero reconciliation too early</w:t>
            </w:r>
          </w:p>
        </w:tc>
        <w:tc>
          <w:tcPr>
            <w:tcW w:type="dxa" w:w="3200"/>
            <w:tcMar>
              <w:top w:type="dxa" w:w="80"/>
              <w:left w:type="dxa" w:w="100"/>
              <w:bottom w:type="dxa" w:w="80"/>
              <w:right w:type="dxa" w:w="100"/>
            </w:tcMar>
            <w:vAlign w:val="center"/>
          </w:tcPr>
          <w:p>
            <w:r>
              <w:rPr>
                <w:b w:val="false"/>
                <w:bCs w:val="false"/>
                <w:sz w:val="19"/>
                <w:szCs w:val="19"/>
              </w:rPr>
              <w:t xml:space="preserve">Produces false failures and wasted effort</w:t>
            </w:r>
          </w:p>
        </w:tc>
        <w:tc>
          <w:tcPr>
            <w:tcW w:type="dxa" w:w="3200"/>
            <w:tcMar>
              <w:top w:type="dxa" w:w="80"/>
              <w:left w:type="dxa" w:w="100"/>
              <w:bottom w:type="dxa" w:w="80"/>
              <w:right w:type="dxa" w:w="100"/>
            </w:tcMar>
            <w:vAlign w:val="center"/>
          </w:tcPr>
          <w:p>
            <w:r>
              <w:rPr>
                <w:b w:val="false"/>
                <w:bCs w:val="false"/>
                <w:sz w:val="19"/>
                <w:szCs w:val="19"/>
              </w:rPr>
              <w:t xml:space="preserve">Xero work only starts once Areas 2 and 4 are signed off</w:t>
            </w:r>
          </w:p>
        </w:tc>
      </w:tr>
      <w:tr>
        <w:tc>
          <w:tcPr>
            <w:tcW w:type="dxa" w:w="3300"/>
            <w:tcMar>
              <w:top w:type="dxa" w:w="80"/>
              <w:left w:type="dxa" w:w="100"/>
              <w:bottom w:type="dxa" w:w="80"/>
              <w:right w:type="dxa" w:w="100"/>
            </w:tcMar>
            <w:vAlign w:val="center"/>
          </w:tcPr>
          <w:p>
            <w:r>
              <w:rPr>
                <w:b w:val="false"/>
                <w:bCs w:val="false"/>
                <w:sz w:val="19"/>
                <w:szCs w:val="19"/>
              </w:rPr>
              <w:t xml:space="preserve">Scope creep into new features</w:t>
            </w:r>
          </w:p>
        </w:tc>
        <w:tc>
          <w:tcPr>
            <w:tcW w:type="dxa" w:w="3200"/>
            <w:tcMar>
              <w:top w:type="dxa" w:w="80"/>
              <w:left w:type="dxa" w:w="100"/>
              <w:bottom w:type="dxa" w:w="80"/>
              <w:right w:type="dxa" w:w="100"/>
            </w:tcMar>
            <w:vAlign w:val="center"/>
          </w:tcPr>
          <w:p>
            <w:r>
              <w:rPr>
                <w:b w:val="false"/>
                <w:bCs w:val="false"/>
                <w:sz w:val="19"/>
                <w:szCs w:val="19"/>
              </w:rPr>
              <w:t xml:space="preserve">Delays the core trust-building outcomes</w:t>
            </w:r>
          </w:p>
        </w:tc>
        <w:tc>
          <w:tcPr>
            <w:tcW w:type="dxa" w:w="3200"/>
            <w:tcMar>
              <w:top w:type="dxa" w:w="80"/>
              <w:left w:type="dxa" w:w="100"/>
              <w:bottom w:type="dxa" w:w="80"/>
              <w:right w:type="dxa" w:w="100"/>
            </w:tcMar>
            <w:vAlign w:val="center"/>
          </w:tcPr>
          <w:p>
            <w:r>
              <w:rPr>
                <w:b w:val="false"/>
                <w:bCs w:val="false"/>
                <w:sz w:val="19"/>
                <w:szCs w:val="19"/>
              </w:rPr>
              <w:t xml:space="preserve">Any expansion beyond reconciliation requires Toby’s sign-off</w:t>
            </w:r>
          </w:p>
        </w:tc>
      </w:tr>
      <w:tr>
        <w:tc>
          <w:tcPr>
            <w:tcW w:type="dxa" w:w="3300"/>
            <w:tcMar>
              <w:top w:type="dxa" w:w="80"/>
              <w:left w:type="dxa" w:w="100"/>
              <w:bottom w:type="dxa" w:w="80"/>
              <w:right w:type="dxa" w:w="100"/>
            </w:tcMar>
            <w:vAlign w:val="center"/>
          </w:tcPr>
          <w:p>
            <w:r>
              <w:rPr>
                <w:b w:val="false"/>
                <w:bCs w:val="false"/>
                <w:sz w:val="19"/>
                <w:szCs w:val="19"/>
              </w:rPr>
              <w:t xml:space="preserve">In-transit / timing stock differences</w:t>
            </w:r>
          </w:p>
        </w:tc>
        <w:tc>
          <w:tcPr>
            <w:tcW w:type="dxa" w:w="3200"/>
            <w:tcMar>
              <w:top w:type="dxa" w:w="80"/>
              <w:left w:type="dxa" w:w="100"/>
              <w:bottom w:type="dxa" w:w="80"/>
              <w:right w:type="dxa" w:w="100"/>
            </w:tcMar>
            <w:vAlign w:val="center"/>
          </w:tcPr>
          <w:p>
            <w:r>
              <w:rPr>
                <w:b w:val="false"/>
                <w:bCs w:val="false"/>
                <w:sz w:val="19"/>
                <w:szCs w:val="19"/>
              </w:rPr>
              <w:t xml:space="preserve">Can look like a genuine quantity mismatch</w:t>
            </w:r>
          </w:p>
        </w:tc>
        <w:tc>
          <w:tcPr>
            <w:tcW w:type="dxa" w:w="3200"/>
            <w:tcMar>
              <w:top w:type="dxa" w:w="80"/>
              <w:left w:type="dxa" w:w="100"/>
              <w:bottom w:type="dxa" w:w="80"/>
              <w:right w:type="dxa" w:w="100"/>
            </w:tcMar>
            <w:vAlign w:val="center"/>
          </w:tcPr>
          <w:p>
            <w:r>
              <w:rPr>
                <w:b w:val="false"/>
                <w:bCs w:val="false"/>
                <w:sz w:val="19"/>
                <w:szCs w:val="19"/>
              </w:rPr>
              <w:t xml:space="preserve">Clear timing classification and agreed freeze windows</w:t>
            </w:r>
          </w:p>
        </w:tc>
      </w:tr>
      <w:tr>
        <w:tc>
          <w:tcPr>
            <w:tcW w:type="dxa" w:w="3300"/>
            <w:tcMar>
              <w:top w:type="dxa" w:w="80"/>
              <w:left w:type="dxa" w:w="100"/>
              <w:bottom w:type="dxa" w:w="80"/>
              <w:right w:type="dxa" w:w="100"/>
            </w:tcMar>
            <w:vAlign w:val="center"/>
          </w:tcPr>
          <w:p>
            <w:r>
              <w:rPr>
                <w:b w:val="false"/>
                <w:bCs w:val="false"/>
                <w:sz w:val="19"/>
                <w:szCs w:val="19"/>
              </w:rPr>
              <w:t xml:space="preserve">Rounding &amp; GST differences</w:t>
            </w:r>
          </w:p>
        </w:tc>
        <w:tc>
          <w:tcPr>
            <w:tcW w:type="dxa" w:w="3200"/>
            <w:tcMar>
              <w:top w:type="dxa" w:w="80"/>
              <w:left w:type="dxa" w:w="100"/>
              <w:bottom w:type="dxa" w:w="80"/>
              <w:right w:type="dxa" w:w="100"/>
            </w:tcMar>
            <w:vAlign w:val="center"/>
          </w:tcPr>
          <w:p>
            <w:r>
              <w:rPr>
                <w:b w:val="false"/>
                <w:bCs w:val="false"/>
                <w:sz w:val="19"/>
                <w:szCs w:val="19"/>
              </w:rPr>
              <w:t xml:space="preserve">Ongoing small-dollar noise</w:t>
            </w:r>
          </w:p>
        </w:tc>
        <w:tc>
          <w:tcPr>
            <w:tcW w:type="dxa" w:w="3200"/>
            <w:tcMar>
              <w:top w:type="dxa" w:w="80"/>
              <w:left w:type="dxa" w:w="100"/>
              <w:bottom w:type="dxa" w:w="80"/>
              <w:right w:type="dxa" w:w="100"/>
            </w:tcMar>
            <w:vAlign w:val="center"/>
          </w:tcPr>
          <w:p>
            <w:r>
              <w:rPr>
                <w:b w:val="false"/>
                <w:bCs w:val="false"/>
                <w:sz w:val="19"/>
                <w:szCs w:val="19"/>
              </w:rPr>
              <w:t xml:space="preserve">Document rounding rules and agree materiality upfront</w:t>
            </w:r>
          </w:p>
        </w:tc>
      </w:tr>
    </w:tbl>
    <w:p>
      <w:pPr>
        <w:pStyle w:val="Heading1"/>
        <w:pBdr>
          <w:bottom w:val="single" w:color="BFBFBF" w:sz="6" w:space="4"/>
        </w:pBdr>
        <w:spacing w:after="160" w:before="420"/>
      </w:pPr>
      <w:r>
        <w:rPr>
          <w:b/>
          <w:bCs/>
          <w:color w:val="1F3864"/>
          <w:sz w:val="28"/>
          <w:szCs w:val="28"/>
        </w:rPr>
        <w:t xml:space="preserve">14. Expected Business Outcomes</w:t>
      </w:r>
    </w:p>
    <w:p>
      <w:pPr>
        <w:pStyle w:val="ListParagraph"/>
        <w:numPr>
          <w:ilvl w:val="0"/>
          <w:numId w:val="2"/>
        </w:numPr>
        <w:spacing w:after="55"/>
      </w:pPr>
      <w:r>
        <w:rPr>
          <w:sz w:val="21"/>
          <w:szCs w:val="21"/>
        </w:rPr>
        <w:t xml:space="preserve">Leadership can trust Optix numbers for day-to-day decisions without cross-checking Cin7.</w:t>
      </w:r>
    </w:p>
    <w:p>
      <w:pPr>
        <w:pStyle w:val="ListParagraph"/>
        <w:numPr>
          <w:ilvl w:val="0"/>
          <w:numId w:val="2"/>
        </w:numPr>
        <w:spacing w:after="55"/>
      </w:pPr>
      <w:r>
        <w:rPr>
          <w:sz w:val="21"/>
          <w:szCs w:val="21"/>
        </w:rPr>
        <w:t xml:space="preserve">Stock, sales, and margin questions get fast, consistent answers from a single system.</w:t>
      </w:r>
    </w:p>
    <w:p>
      <w:pPr>
        <w:pStyle w:val="ListParagraph"/>
        <w:numPr>
          <w:ilvl w:val="0"/>
          <w:numId w:val="2"/>
        </w:numPr>
        <w:spacing w:after="55"/>
      </w:pPr>
      <w:r>
        <w:rPr>
          <w:sz w:val="21"/>
          <w:szCs w:val="21"/>
        </w:rPr>
        <w:t xml:space="preserve">Any future discrepancy is quickly identified and explained rather than causing uncertainty.</w:t>
      </w:r>
    </w:p>
    <w:p>
      <w:pPr>
        <w:pStyle w:val="ListParagraph"/>
        <w:numPr>
          <w:ilvl w:val="0"/>
          <w:numId w:val="2"/>
        </w:numPr>
        <w:spacing w:after="55"/>
      </w:pPr>
      <w:r>
        <w:rPr>
          <w:sz w:val="21"/>
          <w:szCs w:val="21"/>
        </w:rPr>
        <w:t xml:space="preserve">A clear, audit-ready trail supports finance and compliance conversations.</w:t>
      </w:r>
    </w:p>
    <w:p>
      <w:pPr>
        <w:pStyle w:val="ListParagraph"/>
        <w:numPr>
          <w:ilvl w:val="0"/>
          <w:numId w:val="2"/>
        </w:numPr>
        <w:spacing w:after="55"/>
      </w:pPr>
      <w:r>
        <w:rPr>
          <w:sz w:val="21"/>
          <w:szCs w:val="21"/>
        </w:rPr>
        <w:t xml:space="preserve">A proven foundation for confidently expanding Optix further down the line.</w:t>
      </w:r>
    </w:p>
    <w:p>
      <w:pPr>
        <w:pStyle w:val="Heading1"/>
        <w:pBdr>
          <w:bottom w:val="single" w:color="BFBFBF" w:sz="6" w:space="4"/>
        </w:pBdr>
        <w:spacing w:after="160" w:before="420"/>
      </w:pPr>
      <w:r>
        <w:rPr>
          <w:b/>
          <w:bCs/>
          <w:color w:val="1F3864"/>
          <w:sz w:val="28"/>
          <w:szCs w:val="28"/>
        </w:rPr>
        <w:t xml:space="preserve">15. Open Items for Client Confirmation</w:t>
      </w:r>
    </w:p>
    <w:p>
      <w:pPr>
        <w:spacing w:after="120"/>
      </w:pPr>
      <w:r>
        <w:rPr>
          <w:i w:val="false"/>
          <w:iCs w:val="false"/>
          <w:sz w:val="21"/>
          <w:szCs w:val="21"/>
        </w:rPr>
        <w:t xml:space="preserve">Before development starts, we need Toby’s confirmation on the following:</w:t>
      </w:r>
    </w:p>
    <w:p>
      <w:pPr>
        <w:pStyle w:val="ListParagraph"/>
        <w:numPr>
          <w:ilvl w:val="0"/>
          <w:numId w:val="2"/>
        </w:numPr>
        <w:spacing w:after="55"/>
      </w:pPr>
      <w:r>
        <w:rPr>
          <w:sz w:val="21"/>
          <w:szCs w:val="21"/>
        </w:rPr>
        <w:t xml:space="preserve">Exact quantity and dollar materiality tolerances.</w:t>
      </w:r>
    </w:p>
    <w:p>
      <w:pPr>
        <w:pStyle w:val="ListParagraph"/>
        <w:numPr>
          <w:ilvl w:val="0"/>
          <w:numId w:val="2"/>
        </w:numPr>
        <w:spacing w:after="55"/>
      </w:pPr>
      <w:r>
        <w:rPr>
          <w:sz w:val="21"/>
          <w:szCs w:val="21"/>
        </w:rPr>
        <w:t xml:space="preserve">How far back historical invoices, movements, and purchase orders need to reconcile.</w:t>
      </w:r>
    </w:p>
    <w:p>
      <w:pPr>
        <w:pStyle w:val="ListParagraph"/>
        <w:numPr>
          <w:ilvl w:val="0"/>
          <w:numId w:val="2"/>
        </w:numPr>
        <w:spacing w:after="55"/>
      </w:pPr>
      <w:r>
        <w:rPr>
          <w:sz w:val="21"/>
          <w:szCs w:val="21"/>
        </w:rPr>
        <w:t xml:space="preserve">The full list of warehouses in scope, or any exclusions.</w:t>
      </w:r>
    </w:p>
    <w:p>
      <w:pPr>
        <w:pStyle w:val="ListParagraph"/>
        <w:numPr>
          <w:ilvl w:val="0"/>
          <w:numId w:val="2"/>
        </w:numPr>
        <w:spacing w:after="55"/>
      </w:pPr>
      <w:r>
        <w:rPr>
          <w:sz w:val="21"/>
          <w:szCs w:val="21"/>
        </w:rPr>
        <w:t xml:space="preserve">The specific “same answer” questions or reports that define success for Anne.</w:t>
      </w:r>
    </w:p>
    <w:p>
      <w:pPr>
        <w:pStyle w:val="ListParagraph"/>
        <w:numPr>
          <w:ilvl w:val="0"/>
          <w:numId w:val="2"/>
        </w:numPr>
        <w:spacing w:after="55"/>
      </w:pPr>
      <w:r>
        <w:rPr>
          <w:sz w:val="21"/>
          <w:szCs w:val="21"/>
        </w:rPr>
        <w:t xml:space="preserve">Which Xero accounts must agree as part of Area 8.</w:t>
      </w:r>
    </w:p>
    <w:p>
      <w:pPr>
        <w:pStyle w:val="ListParagraph"/>
        <w:numPr>
          <w:ilvl w:val="0"/>
          <w:numId w:val="2"/>
        </w:numPr>
        <w:spacing w:after="55"/>
      </w:pPr>
      <w:r>
        <w:rPr>
          <w:sz w:val="21"/>
          <w:szCs w:val="21"/>
        </w:rPr>
        <w:t xml:space="preserve">How credit notes and returns should be treated in the invoice, COGS, and movement areas.</w:t>
      </w:r>
    </w:p>
    <w:p>
      <w:pPr>
        <w:pStyle w:val="ListParagraph"/>
        <w:numPr>
          <w:ilvl w:val="0"/>
          <w:numId w:val="2"/>
        </w:numPr>
        <w:spacing w:after="55"/>
      </w:pPr>
      <w:r>
        <w:rPr>
          <w:sz w:val="21"/>
          <w:szCs w:val="21"/>
        </w:rPr>
        <w:t xml:space="preserve">Target date for Phase 2 kickoff.</w:t>
      </w:r>
    </w:p>
    <w:p>
      <w:pPr>
        <w:pStyle w:val="Heading1"/>
        <w:pBdr>
          <w:bottom w:val="single" w:color="BFBFBF" w:sz="6" w:space="4"/>
        </w:pBdr>
        <w:spacing w:after="160" w:before="420"/>
      </w:pPr>
      <w:r>
        <w:rPr>
          <w:b/>
          <w:bCs/>
          <w:color w:val="1F3864"/>
          <w:sz w:val="28"/>
          <w:szCs w:val="28"/>
        </w:rPr>
        <w:t xml:space="preserve">16. Next Steps</w:t>
      </w:r>
    </w:p>
    <w:p>
      <w:pPr>
        <w:pStyle w:val="ListParagraph"/>
        <w:numPr>
          <w:ilvl w:val="0"/>
          <w:numId w:val="2"/>
        </w:numPr>
        <w:spacing w:after="55"/>
      </w:pPr>
      <w:r>
        <w:rPr>
          <w:sz w:val="21"/>
          <w:szCs w:val="21"/>
        </w:rPr>
        <w:t xml:space="preserve">Toby to confirm materiality tolerances, historical window, warehouse list, and in-scope Xero accounts.</w:t>
      </w:r>
    </w:p>
    <w:p>
      <w:pPr>
        <w:pStyle w:val="ListParagraph"/>
        <w:numPr>
          <w:ilvl w:val="0"/>
          <w:numId w:val="2"/>
        </w:numPr>
        <w:spacing w:after="55"/>
      </w:pPr>
      <w:r>
        <w:rPr>
          <w:sz w:val="21"/>
          <w:szCs w:val="21"/>
        </w:rPr>
        <w:t xml:space="preserve">Written approval of this scope document.</w:t>
      </w:r>
    </w:p>
    <w:p>
      <w:pPr>
        <w:pStyle w:val="ListParagraph"/>
        <w:numPr>
          <w:ilvl w:val="0"/>
          <w:numId w:val="2"/>
        </w:numPr>
        <w:spacing w:after="55"/>
      </w:pPr>
      <w:r>
        <w:rPr>
          <w:sz w:val="21"/>
          <w:szCs w:val="21"/>
        </w:rPr>
        <w:t xml:space="preserve">Kick-off of Area 1 — Inventory Quantity Reconciliation.</w:t>
      </w:r>
    </w:p>
    <w:p>
      <w:pPr>
        <w:pStyle w:val="Heading1"/>
        <w:pBdr>
          <w:bottom w:val="single" w:color="BFBFBF" w:sz="6" w:space="4"/>
        </w:pBdr>
        <w:spacing w:after="160" w:before="420"/>
      </w:pPr>
      <w:r>
        <w:rPr>
          <w:b/>
          <w:bCs/>
          <w:color w:val="1F3864"/>
          <w:sz w:val="28"/>
          <w:szCs w:val="28"/>
        </w:rPr>
        <w:t xml:space="preserve">17. Document Control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500"/>
        <w:gridCol w:w="4000"/>
      </w:tblGrid>
      <w:tr>
        <w:tc>
          <w:tcPr>
            <w:tcW w:type="dxa" w:w="1400"/>
            <w:shd w:fill="E9EDF5" w:val="clear"/>
            <w:tcMar>
              <w:top w:type="dxa" w:w="80"/>
              <w:left w:type="dxa" w:w="100"/>
              <w:bottom w:type="dxa" w:w="80"/>
              <w:right w:type="dxa" w:w="100"/>
            </w:tcMar>
            <w:vAlign w:val="center"/>
          </w:tcPr>
          <w:p>
            <w:r>
              <w:rPr>
                <w:b/>
                <w:bCs/>
                <w:sz w:val="19"/>
                <w:szCs w:val="19"/>
              </w:rPr>
              <w:t xml:space="preserve">Version</w:t>
            </w:r>
          </w:p>
        </w:tc>
        <w:tc>
          <w:tcPr>
            <w:tcW w:type="dxa" w:w="1800"/>
            <w:shd w:fill="E9EDF5" w:val="clear"/>
            <w:tcMar>
              <w:top w:type="dxa" w:w="80"/>
              <w:left w:type="dxa" w:w="100"/>
              <w:bottom w:type="dxa" w:w="80"/>
              <w:right w:type="dxa" w:w="100"/>
            </w:tcMar>
            <w:vAlign w:val="center"/>
          </w:tcPr>
          <w:p>
            <w:r>
              <w:rPr>
                <w:b/>
                <w:bCs/>
                <w:sz w:val="19"/>
                <w:szCs w:val="19"/>
              </w:rPr>
              <w:t xml:space="preserve">Date</w:t>
            </w:r>
          </w:p>
        </w:tc>
        <w:tc>
          <w:tcPr>
            <w:tcW w:type="dxa" w:w="2500"/>
            <w:shd w:fill="E9EDF5" w:val="clear"/>
            <w:tcMar>
              <w:top w:type="dxa" w:w="80"/>
              <w:left w:type="dxa" w:w="100"/>
              <w:bottom w:type="dxa" w:w="80"/>
              <w:right w:type="dxa" w:w="100"/>
            </w:tcMar>
            <w:vAlign w:val="center"/>
          </w:tcPr>
          <w:p>
            <w:r>
              <w:rPr>
                <w:b/>
                <w:bCs/>
                <w:sz w:val="19"/>
                <w:szCs w:val="19"/>
              </w:rPr>
              <w:t xml:space="preserve">Prepared by</w:t>
            </w:r>
          </w:p>
        </w:tc>
        <w:tc>
          <w:tcPr>
            <w:tcW w:type="dxa" w:w="4000"/>
            <w:shd w:fill="E9EDF5" w:val="clear"/>
            <w:tcMar>
              <w:top w:type="dxa" w:w="80"/>
              <w:left w:type="dxa" w:w="100"/>
              <w:bottom w:type="dxa" w:w="80"/>
              <w:right w:type="dxa" w:w="100"/>
            </w:tcMar>
            <w:vAlign w:val="center"/>
          </w:tcPr>
          <w:p>
            <w:r>
              <w:rPr>
                <w:b/>
                <w:bCs/>
                <w:sz w:val="19"/>
                <w:szCs w:val="19"/>
              </w:rPr>
              <w:t xml:space="preserve">Notes</w:t>
            </w:r>
          </w:p>
        </w:tc>
      </w:tr>
      <w:tr>
        <w:tc>
          <w:tcPr>
            <w:tcW w:type="dxa" w:w="1400"/>
            <w:tcMar>
              <w:top w:type="dxa" w:w="80"/>
              <w:left w:type="dxa" w:w="100"/>
              <w:bottom w:type="dxa" w:w="80"/>
              <w:right w:type="dxa" w:w="100"/>
            </w:tcMar>
            <w:vAlign w:val="center"/>
          </w:tcPr>
          <w:p>
            <w:r>
              <w:rPr>
                <w:b w:val="false"/>
                <w:bCs w:val="false"/>
                <w:sz w:val="19"/>
                <w:szCs w:val="19"/>
              </w:rPr>
              <w:t xml:space="preserve">1.0</w:t>
            </w:r>
          </w:p>
        </w:tc>
        <w:tc>
          <w:tcPr>
            <w:tcW w:type="dxa" w:w="1800"/>
            <w:tcMar>
              <w:top w:type="dxa" w:w="80"/>
              <w:left w:type="dxa" w:w="100"/>
              <w:bottom w:type="dxa" w:w="80"/>
              <w:right w:type="dxa" w:w="100"/>
            </w:tcMar>
            <w:vAlign w:val="center"/>
          </w:tcPr>
          <w:p>
            <w:r>
              <w:rPr>
                <w:b w:val="false"/>
                <w:bCs w:val="false"/>
                <w:sz w:val="19"/>
                <w:szCs w:val="19"/>
              </w:rPr>
              <w:t xml:space="preserve">25 July 2026</w:t>
            </w:r>
          </w:p>
        </w:tc>
        <w:tc>
          <w:tcPr>
            <w:tcW w:type="dxa" w:w="2500"/>
            <w:tcMar>
              <w:top w:type="dxa" w:w="80"/>
              <w:left w:type="dxa" w:w="100"/>
              <w:bottom w:type="dxa" w:w="80"/>
              <w:right w:type="dxa" w:w="100"/>
            </w:tcMar>
            <w:vAlign w:val="center"/>
          </w:tcPr>
          <w:p>
            <w:r>
              <w:rPr>
                <w:b w:val="false"/>
                <w:bCs w:val="false"/>
                <w:sz w:val="19"/>
                <w:szCs w:val="19"/>
              </w:rPr>
              <w:t xml:space="preserve">Rana Muzamil</w:t>
            </w:r>
          </w:p>
        </w:tc>
        <w:tc>
          <w:tcPr>
            <w:tcW w:type="dxa" w:w="4000"/>
            <w:tcMar>
              <w:top w:type="dxa" w:w="80"/>
              <w:left w:type="dxa" w:w="100"/>
              <w:bottom w:type="dxa" w:w="80"/>
              <w:right w:type="dxa" w:w="100"/>
            </w:tcMar>
            <w:vAlign w:val="center"/>
          </w:tcPr>
          <w:p>
            <w:r>
              <w:rPr>
                <w:b w:val="false"/>
                <w:bCs w:val="false"/>
                <w:sz w:val="19"/>
                <w:szCs w:val="19"/>
              </w:rPr>
              <w:t xml:space="preserve">Initial detailed Phase 2 scope, prepared from agreed client direction (including FIFO costing approach)</w:t>
            </w:r>
          </w:p>
        </w:tc>
      </w:tr>
    </w:tbl>
    <w:p>
      <w:pPr>
        <w:spacing w:before="300"/>
      </w:pPr>
      <w:r>
        <w:rPr>
          <w:i/>
          <w:iCs/>
          <w:color w:val="595959"/>
          <w:sz w:val="20"/>
          <w:szCs w:val="20"/>
        </w:rPr>
        <w:t xml:space="preserve">Next step: client review and written approval of this scope, then implementation begins at Area 1.</w:t>
      </w:r>
    </w:p>
    <w:sectPr>
      <w:headerReference w:type="default" r:id="rId9"/>
      <w:footerReference w:type="default" r:id="rId10"/>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CCW — Phase 2 Scope of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2026-07-25T11:59:49.714Z</dcterms:created>
  <dcterms:modified xsi:type="dcterms:W3CDTF">2026-07-25T11:59:49.738Z</dcterms:modified>
</cp:coreProperties>
</file>

<file path=docProps/custom.xml><?xml version="1.0" encoding="utf-8"?>
<Properties xmlns="http://schemas.openxmlformats.org/officeDocument/2006/custom-properties" xmlns:vt="http://schemas.openxmlformats.org/officeDocument/2006/docPropsVTypes"/>
</file>