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w="http://schemas.openxmlformats.org/wordprocessingml/2006/main" ns1:Ignorable="w14 w15 wp14">
  <w:body>
    <w:p>
      <w:pPr>
        <w:spacing w:after="360" w:line="384" w:lineRule="auto"/>
        <w:jc w:val="center"/>
      </w:pPr>
      <w:r>
        <w:rPr>
          <w:rFonts w:ascii="Consolas" w:cs="Consolas" w:eastAsia="Consolas" w:hAnsi="Consolas"/>
          <w:b w:val="false"/>
          <w:bCs w:val="false"/>
          <w:i w:val="false"/>
          <w:iCs w:val="false"/>
          <w:strike w:val="false"/>
          <w:color w:val="666666"/>
          <w:spacing w:val="80"/>
          <w:sz w:val="18"/>
          <w:szCs w:val="18"/>
        </w:rPr>
        <w:t xml:space="preserve">ORIGINAL CONTENT SERIES  |  SEASON ONE</w:t>
      </w:r>
    </w:p>
    <w:p>
      <w:pPr>
        <w:spacing w:after="240" w:line="276" w:lineRule="auto"/>
        <w:jc w:val="center"/>
      </w:pPr>
      <w:r>
        <w:rPr>
          <w:rFonts w:ascii="Consolas" w:cs="Consolas" w:eastAsia="Consolas" w:hAnsi="Consolas"/>
          <w:b/>
          <w:bCs/>
          <w:i w:val="false"/>
          <w:iCs w:val="false"/>
          <w:strike w:val="false"/>
          <w:color w:val="007A8A"/>
          <w:sz w:val="72"/>
          <w:szCs w:val="72"/>
        </w:rPr>
        <w:t xml:space="preserve">CODICON</w:t>
      </w:r>
      <w:r>
        <w:rPr>
          <w:rFonts w:ascii="Consolas" w:cs="Consolas" w:eastAsia="Consolas" w:hAnsi="Consolas"/>
          <w:b/>
          <w:bCs/>
          <w:i w:val="false"/>
          <w:iCs w:val="false"/>
          <w:color w:val="0A0A0A"/>
          <w:sz w:val="72"/>
          <w:szCs w:val="72"/>
        </w:rPr>
        <w:br/>
      </w:r>
      <w:r>
        <w:rPr>
          <w:rFonts w:ascii="Consolas" w:cs="Consolas" w:eastAsia="Consolas" w:hAnsi="Consolas"/>
          <w:b/>
          <w:bCs/>
          <w:i w:val="false"/>
          <w:iCs w:val="false"/>
          <w:strike w:val="false"/>
          <w:color w:val="0A0A0A"/>
          <w:sz w:val="72"/>
          <w:szCs w:val="72"/>
        </w:rPr>
        <w:t xml:space="preserve">HACKING</w:t>
      </w:r>
    </w:p>
    <w:p>
      <w:pPr>
        <w:spacing w:after="720" w:line="384" w:lineRule="auto"/>
        <w:jc w:val="center"/>
      </w:pPr>
      <w:r>
        <w:rPr>
          <w:rFonts w:ascii="Consolas" w:cs="Consolas" w:eastAsia="Consolas" w:hAnsi="Consolas"/>
          <w:b/>
          <w:bCs/>
          <w:i w:val="false"/>
          <w:iCs w:val="false"/>
          <w:strike w:val="false"/>
          <w:color w:val="444444"/>
          <w:spacing w:val="40"/>
          <w:sz w:val="26"/>
          <w:szCs w:val="26"/>
        </w:rPr>
        <w:t xml:space="preserve">SEASON 1 — PRODUCTION BIBLE</w:t>
      </w:r>
    </w:p>
    <w:p>
      <w:pPr>
        <w:pBdr>
          <w:bottom w:val="single" w:color="1A1A1A" w:sz="6"/>
        </w:pBdr>
        <w:spacing w:after="240" w:before="240"/>
      </w:pPr>
    </w:p>
    <w:p>
      <w:pPr>
        <w:spacing w:after="240" w:line="480" w:lineRule="auto"/>
        <w:jc w:val="center"/>
      </w:pPr>
      <w:r>
        <w:rPr>
          <w:rFonts w:ascii="Calibri" w:cs="Calibri" w:eastAsia="Calibri" w:hAnsi="Calibri"/>
          <w:b/>
          <w:bCs/>
          <w:i w:val="false"/>
          <w:iCs w:val="false"/>
          <w:strike w:val="false"/>
          <w:color w:val="1A1A1A"/>
          <w:sz w:val="22"/>
          <w:szCs w:val="22"/>
        </w:rPr>
        <w:t xml:space="preserve">Document Type:</w:t>
      </w:r>
      <w:r>
        <w:rPr>
          <w:rFonts w:ascii="Calibri" w:cs="Calibri" w:eastAsia="Calibri" w:hAnsi="Calibri"/>
          <w:b w:val="false"/>
          <w:bCs w:val="false"/>
          <w:i w:val="false"/>
          <w:iCs w:val="false"/>
          <w:strike w:val="false"/>
          <w:color w:val="333333"/>
          <w:sz w:val="21"/>
          <w:szCs w:val="21"/>
        </w:rPr>
        <w:t xml:space="preserve"> Production Bible — Internal Use Only</w:t>
      </w:r>
      <w:r>
        <w:rPr>
          <w:rFonts w:ascii="Calibri" w:cs="Calibri" w:eastAsia="Calibri" w:hAnsi="Calibri"/>
          <w:b w:val="false"/>
          <w:bCs w:val="false"/>
          <w:i w:val="false"/>
          <w:iCs w:val="false"/>
          <w:color w:val="333333"/>
          <w:sz w:val="21"/>
          <w:szCs w:val="21"/>
        </w:rPr>
        <w:br/>
      </w:r>
      <w:r>
        <w:rPr>
          <w:rFonts w:ascii="Calibri" w:cs="Calibri" w:eastAsia="Calibri" w:hAnsi="Calibri"/>
          <w:b w:val="false"/>
          <w:bCs w:val="false"/>
          <w:i w:val="false"/>
          <w:iCs w:val="false"/>
          <w:strike w:val="false"/>
          <w:color w:val="333333"/>
          <w:sz w:val="21"/>
          <w:szCs w:val="21"/>
        </w:rPr>
        <w:t xml:space="preserve"> </w:t>
      </w:r>
      <w:r>
        <w:rPr>
          <w:rFonts w:ascii="Calibri" w:cs="Calibri" w:eastAsia="Calibri" w:hAnsi="Calibri"/>
          <w:b/>
          <w:bCs/>
          <w:i w:val="false"/>
          <w:iCs w:val="false"/>
          <w:strike w:val="false"/>
          <w:color w:val="1A1A1A"/>
          <w:sz w:val="22"/>
          <w:szCs w:val="22"/>
        </w:rPr>
        <w:t xml:space="preserve">Prepared For:</w:t>
      </w:r>
      <w:r>
        <w:rPr>
          <w:rFonts w:ascii="Calibri" w:cs="Calibri" w:eastAsia="Calibri" w:hAnsi="Calibri"/>
          <w:b w:val="false"/>
          <w:bCs w:val="false"/>
          <w:i w:val="false"/>
          <w:iCs w:val="false"/>
          <w:strike w:val="false"/>
          <w:color w:val="333333"/>
          <w:sz w:val="21"/>
          <w:szCs w:val="21"/>
        </w:rPr>
        <w:t xml:space="preserve"> Hosts • Producers • Writers • Editors • Brand Partners • Platform Managers</w:t>
      </w:r>
      <w:r>
        <w:rPr>
          <w:rFonts w:ascii="Calibri" w:cs="Calibri" w:eastAsia="Calibri" w:hAnsi="Calibri"/>
          <w:b w:val="false"/>
          <w:bCs w:val="false"/>
          <w:i w:val="false"/>
          <w:iCs w:val="false"/>
          <w:color w:val="333333"/>
          <w:sz w:val="21"/>
          <w:szCs w:val="21"/>
        </w:rPr>
        <w:br/>
      </w:r>
      <w:r>
        <w:rPr>
          <w:rFonts w:ascii="Calibri" w:cs="Calibri" w:eastAsia="Calibri" w:hAnsi="Calibri"/>
          <w:b w:val="false"/>
          <w:bCs w:val="false"/>
          <w:i w:val="false"/>
          <w:iCs w:val="false"/>
          <w:strike w:val="false"/>
          <w:color w:val="333333"/>
          <w:sz w:val="21"/>
          <w:szCs w:val="21"/>
        </w:rPr>
        <w:t xml:space="preserve"> </w:t>
      </w:r>
      <w:r>
        <w:rPr>
          <w:rFonts w:ascii="Calibri" w:cs="Calibri" w:eastAsia="Calibri" w:hAnsi="Calibri"/>
          <w:b/>
          <w:bCs/>
          <w:i w:val="false"/>
          <w:iCs w:val="false"/>
          <w:strike w:val="false"/>
          <w:color w:val="1A1A1A"/>
          <w:sz w:val="22"/>
          <w:szCs w:val="22"/>
        </w:rPr>
        <w:t xml:space="preserve">Series Creator / Executive Producer:</w:t>
      </w:r>
      <w:r>
        <w:rPr>
          <w:rFonts w:ascii="Calibri" w:cs="Calibri" w:eastAsia="Calibri" w:hAnsi="Calibri"/>
          <w:b w:val="false"/>
          <w:bCs w:val="false"/>
          <w:i w:val="false"/>
          <w:iCs w:val="false"/>
          <w:strike w:val="false"/>
          <w:color w:val="333333"/>
          <w:sz w:val="21"/>
          <w:szCs w:val="21"/>
        </w:rPr>
        <w:t xml:space="preserve"> Andrew</w:t>
      </w:r>
      <w:r>
        <w:rPr>
          <w:rFonts w:ascii="Calibri" w:cs="Calibri" w:eastAsia="Calibri" w:hAnsi="Calibri"/>
          <w:b w:val="false"/>
          <w:bCs w:val="false"/>
          <w:i w:val="false"/>
          <w:iCs w:val="false"/>
          <w:color w:val="333333"/>
          <w:sz w:val="21"/>
          <w:szCs w:val="21"/>
        </w:rPr>
        <w:br/>
      </w:r>
      <w:r>
        <w:rPr>
          <w:rFonts w:ascii="Calibri" w:cs="Calibri" w:eastAsia="Calibri" w:hAnsi="Calibri"/>
          <w:b w:val="false"/>
          <w:bCs w:val="false"/>
          <w:i w:val="false"/>
          <w:iCs w:val="false"/>
          <w:strike w:val="false"/>
          <w:color w:val="333333"/>
          <w:sz w:val="21"/>
          <w:szCs w:val="21"/>
        </w:rPr>
        <w:t xml:space="preserve"> </w:t>
      </w:r>
      <w:r>
        <w:rPr>
          <w:rFonts w:ascii="Calibri" w:cs="Calibri" w:eastAsia="Calibri" w:hAnsi="Calibri"/>
          <w:b/>
          <w:bCs/>
          <w:i w:val="false"/>
          <w:iCs w:val="false"/>
          <w:strike w:val="false"/>
          <w:color w:val="1A1A1A"/>
          <w:sz w:val="22"/>
          <w:szCs w:val="22"/>
        </w:rPr>
        <w:t xml:space="preserve">Production Territory:</w:t>
      </w:r>
      <w:r>
        <w:rPr>
          <w:rFonts w:ascii="Calibri" w:cs="Calibri" w:eastAsia="Calibri" w:hAnsi="Calibri"/>
          <w:b w:val="false"/>
          <w:bCs w:val="false"/>
          <w:i w:val="false"/>
          <w:iCs w:val="false"/>
          <w:strike w:val="false"/>
          <w:color w:val="333333"/>
          <w:sz w:val="21"/>
          <w:szCs w:val="21"/>
        </w:rPr>
        <w:t xml:space="preserve"> Durango, CO / Remote Production</w:t>
      </w:r>
    </w:p>
    <w:p>
      <w:pPr>
        <w:spacing w:after="240" w:line="384" w:lineRule="auto"/>
        <w:jc w:val="center"/>
      </w:pPr>
      <w:r>
        <w:rPr>
          <w:rFonts w:ascii="Consolas" w:cs="Consolas" w:eastAsia="Consolas" w:hAnsi="Consolas"/>
          <w:b w:val="false"/>
          <w:bCs w:val="false"/>
          <w:i w:val="false"/>
          <w:iCs w:val="false"/>
          <w:strike w:val="false"/>
          <w:color w:val="888888"/>
          <w:spacing w:val="20"/>
          <w:sz w:val="20"/>
          <w:szCs w:val="20"/>
        </w:rPr>
        <w:t xml:space="preserve">VERSION 1.0   |   ISSUED: JULY 2026   |   CLASSIFICATION: INTERNAL CONFIDENTIAL</w:t>
      </w:r>
    </w:p>
    <w:p>
      <w:pPr>
        <w:spacing w:after="240" w:line="384" w:lineRule="auto"/>
        <w:jc w:val="center"/>
      </w:pPr>
      <w:r>
        <w:rPr>
          <w:rFonts w:ascii="Consolas" w:cs="Consolas" w:eastAsia="Consolas" w:hAnsi="Consolas"/>
          <w:b w:val="false"/>
          <w:bCs w:val="false"/>
          <w:i w:val="false"/>
          <w:iCs w:val="false"/>
          <w:strike w:val="false"/>
          <w:color w:val="CCCCCC"/>
          <w:spacing w:val="40"/>
          <w:sz w:val="14"/>
          <w:szCs w:val="14"/>
        </w:rPr>
        <w:t xml:space="preserve">01001000 01000001 01000011 01001011   //   CODICON   //   S01   //   DO NOT DISTRIBUTE</w:t>
      </w:r>
    </w:p>
    <w:p>
      <w:pPr>
        <w:pBdr>
          <w:bottom w:val="single" w:color="0D3B4F"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D3B4F" w:sz="24"/>
              <w:bottom w:val="nil" w:color="FFFFFF" w:sz="0"/>
              <w:right w:val="nil" w:color="FFFFFF" w:sz="0"/>
            </w:tcBorders>
            <w:shd w:fill="F4F8FB" w:color="auto" w:val="clear"/>
            <w:tcMar>
              <w:top w:type="dxa" w:w="360"/>
              <w:left w:type="dxa" w:w="480"/>
              <w:bottom w:type="dxa" w:w="360"/>
              <w:right w:type="dxa" w:w="480"/>
            </w:tcMar>
          </w:tcPr>
          <w:p>
            <w:pPr>
              <w:spacing w:after="120" w:line="408" w:lineRule="auto"/>
            </w:pPr>
            <w:r>
              <w:rPr>
                <w:b/>
                <w:bCs/>
                <w:i w:val="false"/>
                <w:iCs w:val="false"/>
                <w:color w:val="0D3B4F"/>
              </w:rPr>
              <w:t xml:space="preserve">// TABLE OF CONTENTS</w:t>
            </w:r>
          </w:p>
          <w:p>
            <w:pPr>
              <w:spacing w:after="120" w:line="408" w:lineRule="auto"/>
            </w:pPr>
            <w:r>
              <w:rPr>
                <w:rFonts w:ascii="Consolas" w:cs="Consolas" w:eastAsia="Consolas" w:hAnsi="Consolas"/>
                <w:b/>
                <w:bCs/>
                <w:i w:val="false"/>
                <w:iCs w:val="false"/>
                <w:strike w:val="false"/>
                <w:color w:val="007A8A"/>
                <w:sz w:val="22"/>
                <w:szCs w:val="22"/>
              </w:rPr>
              <w:t xml:space="preserve">01.</w:t>
            </w:r>
            <w:r>
              <w:rPr>
                <w:rFonts w:ascii="Calibri" w:cs="Calibri" w:eastAsia="Calibri" w:hAnsi="Calibri"/>
                <w:b w:val="false"/>
                <w:bCs w:val="false"/>
                <w:i w:val="false"/>
                <w:iCs w:val="false"/>
                <w:strike w:val="false"/>
                <w:color w:val="1A1A1A"/>
                <w:sz w:val="21"/>
                <w:szCs w:val="21"/>
              </w:rPr>
              <w:t xml:space="preserve"> Series Overview</w:t>
            </w:r>
          </w:p>
          <w:p>
            <w:pPr>
              <w:spacing w:after="120" w:line="408" w:lineRule="auto"/>
            </w:pPr>
            <w:r>
              <w:rPr>
                <w:rFonts w:ascii="Consolas" w:cs="Consolas" w:eastAsia="Consolas" w:hAnsi="Consolas"/>
                <w:b/>
                <w:bCs/>
                <w:i w:val="false"/>
                <w:iCs w:val="false"/>
                <w:strike w:val="false"/>
                <w:color w:val="007A8A"/>
                <w:sz w:val="22"/>
                <w:szCs w:val="22"/>
              </w:rPr>
              <w:t xml:space="preserve">02.</w:t>
            </w:r>
            <w:r>
              <w:rPr>
                <w:rFonts w:ascii="Calibri" w:cs="Calibri" w:eastAsia="Calibri" w:hAnsi="Calibri"/>
                <w:b w:val="false"/>
                <w:bCs w:val="false"/>
                <w:i w:val="false"/>
                <w:iCs w:val="false"/>
                <w:strike w:val="false"/>
                <w:color w:val="1A1A1A"/>
                <w:sz w:val="21"/>
                <w:szCs w:val="21"/>
              </w:rPr>
              <w:t xml:space="preserve"> Tone &amp; Voice</w:t>
            </w:r>
          </w:p>
          <w:p>
            <w:pPr>
              <w:spacing w:after="120" w:line="408" w:lineRule="auto"/>
            </w:pPr>
            <w:r>
              <w:rPr>
                <w:rFonts w:ascii="Consolas" w:cs="Consolas" w:eastAsia="Consolas" w:hAnsi="Consolas"/>
                <w:b/>
                <w:bCs/>
                <w:i w:val="false"/>
                <w:iCs w:val="false"/>
                <w:strike w:val="false"/>
                <w:color w:val="007A8A"/>
                <w:sz w:val="22"/>
                <w:szCs w:val="22"/>
              </w:rPr>
              <w:t xml:space="preserve">03.</w:t>
            </w:r>
            <w:r>
              <w:rPr>
                <w:rFonts w:ascii="Calibri" w:cs="Calibri" w:eastAsia="Calibri" w:hAnsi="Calibri"/>
                <w:b w:val="false"/>
                <w:bCs w:val="false"/>
                <w:i w:val="false"/>
                <w:iCs w:val="false"/>
                <w:strike w:val="false"/>
                <w:color w:val="1A1A1A"/>
                <w:sz w:val="21"/>
                <w:szCs w:val="21"/>
              </w:rPr>
              <w:t xml:space="preserve"> Episode Structure</w:t>
            </w:r>
          </w:p>
          <w:p>
            <w:pPr>
              <w:spacing w:after="120" w:line="408" w:lineRule="auto"/>
            </w:pPr>
            <w:r>
              <w:rPr>
                <w:rFonts w:ascii="Consolas" w:cs="Consolas" w:eastAsia="Consolas" w:hAnsi="Consolas"/>
                <w:b/>
                <w:bCs/>
                <w:i w:val="false"/>
                <w:iCs w:val="false"/>
                <w:strike w:val="false"/>
                <w:color w:val="007A8A"/>
                <w:sz w:val="22"/>
                <w:szCs w:val="22"/>
              </w:rPr>
              <w:t xml:space="preserve">04.</w:t>
            </w:r>
            <w:r>
              <w:rPr>
                <w:rFonts w:ascii="Calibri" w:cs="Calibri" w:eastAsia="Calibri" w:hAnsi="Calibri"/>
                <w:b w:val="false"/>
                <w:bCs w:val="false"/>
                <w:i w:val="false"/>
                <w:iCs w:val="false"/>
                <w:strike w:val="false"/>
                <w:color w:val="1A1A1A"/>
                <w:sz w:val="21"/>
                <w:szCs w:val="21"/>
              </w:rPr>
              <w:t xml:space="preserve"> Narrative Arcs</w:t>
            </w:r>
          </w:p>
          <w:p>
            <w:pPr>
              <w:spacing w:after="120" w:line="408" w:lineRule="auto"/>
            </w:pPr>
            <w:r>
              <w:rPr>
                <w:rFonts w:ascii="Consolas" w:cs="Consolas" w:eastAsia="Consolas" w:hAnsi="Consolas"/>
                <w:b/>
                <w:bCs/>
                <w:i w:val="false"/>
                <w:iCs w:val="false"/>
                <w:strike w:val="false"/>
                <w:color w:val="007A8A"/>
                <w:sz w:val="22"/>
                <w:szCs w:val="22"/>
              </w:rPr>
              <w:t xml:space="preserve">05.</w:t>
            </w:r>
            <w:r>
              <w:rPr>
                <w:rFonts w:ascii="Calibri" w:cs="Calibri" w:eastAsia="Calibri" w:hAnsi="Calibri"/>
                <w:b w:val="false"/>
                <w:bCs w:val="false"/>
                <w:i w:val="false"/>
                <w:iCs w:val="false"/>
                <w:strike w:val="false"/>
                <w:color w:val="1A1A1A"/>
                <w:sz w:val="21"/>
                <w:szCs w:val="21"/>
              </w:rPr>
              <w:t xml:space="preserve"> Character &amp; Host Voice Guidelines</w:t>
            </w:r>
          </w:p>
          <w:p>
            <w:pPr>
              <w:spacing w:after="120" w:line="408" w:lineRule="auto"/>
            </w:pPr>
            <w:r>
              <w:rPr>
                <w:rFonts w:ascii="Consolas" w:cs="Consolas" w:eastAsia="Consolas" w:hAnsi="Consolas"/>
                <w:b/>
                <w:bCs/>
                <w:i w:val="false"/>
                <w:iCs w:val="false"/>
                <w:strike w:val="false"/>
                <w:color w:val="007A8A"/>
                <w:sz w:val="22"/>
                <w:szCs w:val="22"/>
              </w:rPr>
              <w:t xml:space="preserve">06.</w:t>
            </w:r>
            <w:r>
              <w:rPr>
                <w:rFonts w:ascii="Calibri" w:cs="Calibri" w:eastAsia="Calibri" w:hAnsi="Calibri"/>
                <w:b w:val="false"/>
                <w:bCs w:val="false"/>
                <w:i w:val="false"/>
                <w:iCs w:val="false"/>
                <w:strike w:val="false"/>
                <w:color w:val="1A1A1A"/>
                <w:sz w:val="21"/>
                <w:szCs w:val="21"/>
              </w:rPr>
              <w:t xml:space="preserve"> Technical Depth Requirements</w:t>
            </w:r>
          </w:p>
          <w:p>
            <w:pPr>
              <w:spacing w:after="120" w:line="408" w:lineRule="auto"/>
            </w:pPr>
            <w:r>
              <w:rPr>
                <w:rFonts w:ascii="Consolas" w:cs="Consolas" w:eastAsia="Consolas" w:hAnsi="Consolas"/>
                <w:b/>
                <w:bCs/>
                <w:i w:val="false"/>
                <w:iCs w:val="false"/>
                <w:strike w:val="false"/>
                <w:color w:val="007A8A"/>
                <w:sz w:val="22"/>
                <w:szCs w:val="22"/>
              </w:rPr>
              <w:t xml:space="preserve">07.</w:t>
            </w:r>
            <w:r>
              <w:rPr>
                <w:rFonts w:ascii="Calibri" w:cs="Calibri" w:eastAsia="Calibri" w:hAnsi="Calibri"/>
                <w:b w:val="false"/>
                <w:bCs w:val="false"/>
                <w:i w:val="false"/>
                <w:iCs w:val="false"/>
                <w:strike w:val="false"/>
                <w:color w:val="1A1A1A"/>
                <w:sz w:val="21"/>
                <w:szCs w:val="21"/>
              </w:rPr>
              <w:t xml:space="preserve"> Pacing Rules</w:t>
            </w:r>
          </w:p>
          <w:p>
            <w:pPr>
              <w:spacing w:after="120" w:line="408" w:lineRule="auto"/>
            </w:pPr>
            <w:r>
              <w:rPr>
                <w:rFonts w:ascii="Consolas" w:cs="Consolas" w:eastAsia="Consolas" w:hAnsi="Consolas"/>
                <w:b/>
                <w:bCs/>
                <w:i w:val="false"/>
                <w:iCs w:val="false"/>
                <w:strike w:val="false"/>
                <w:color w:val="007A8A"/>
                <w:sz w:val="22"/>
                <w:szCs w:val="22"/>
              </w:rPr>
              <w:t xml:space="preserve">08.</w:t>
            </w:r>
            <w:r>
              <w:rPr>
                <w:rFonts w:ascii="Calibri" w:cs="Calibri" w:eastAsia="Calibri" w:hAnsi="Calibri"/>
                <w:b w:val="false"/>
                <w:bCs w:val="false"/>
                <w:i w:val="false"/>
                <w:iCs w:val="false"/>
                <w:strike w:val="false"/>
                <w:color w:val="1A1A1A"/>
                <w:sz w:val="21"/>
                <w:szCs w:val="21"/>
              </w:rPr>
              <w:t xml:space="preserve"> Branding Elements</w:t>
            </w:r>
          </w:p>
          <w:p>
            <w:pPr>
              <w:spacing w:after="120" w:line="408" w:lineRule="auto"/>
            </w:pPr>
            <w:r>
              <w:rPr>
                <w:rFonts w:ascii="Consolas" w:cs="Consolas" w:eastAsia="Consolas" w:hAnsi="Consolas"/>
                <w:b/>
                <w:bCs/>
                <w:i w:val="false"/>
                <w:iCs w:val="false"/>
                <w:strike w:val="false"/>
                <w:color w:val="007A8A"/>
                <w:sz w:val="22"/>
                <w:szCs w:val="22"/>
              </w:rPr>
              <w:t xml:space="preserve">09.</w:t>
            </w:r>
            <w:r>
              <w:rPr>
                <w:rFonts w:ascii="Calibri" w:cs="Calibri" w:eastAsia="Calibri" w:hAnsi="Calibri"/>
                <w:b w:val="false"/>
                <w:bCs w:val="false"/>
                <w:i w:val="false"/>
                <w:iCs w:val="false"/>
                <w:strike w:val="false"/>
                <w:color w:val="1A1A1A"/>
                <w:sz w:val="21"/>
                <w:szCs w:val="21"/>
              </w:rPr>
              <w:t xml:space="preserve"> Content Standards &amp; Ethics</w:t>
            </w:r>
          </w:p>
          <w:p>
            <w:pPr>
              <w:spacing w:after="120" w:line="408" w:lineRule="auto"/>
            </w:pPr>
            <w:r>
              <w:rPr>
                <w:rFonts w:ascii="Consolas" w:cs="Consolas" w:eastAsia="Consolas" w:hAnsi="Consolas"/>
                <w:b/>
                <w:bCs/>
                <w:i w:val="false"/>
                <w:iCs w:val="false"/>
                <w:strike w:val="false"/>
                <w:color w:val="007A8A"/>
                <w:sz w:val="22"/>
                <w:szCs w:val="22"/>
              </w:rPr>
              <w:t xml:space="preserve">10.</w:t>
            </w:r>
            <w:r>
              <w:rPr>
                <w:rFonts w:ascii="Calibri" w:cs="Calibri" w:eastAsia="Calibri" w:hAnsi="Calibri"/>
                <w:b w:val="false"/>
                <w:bCs w:val="false"/>
                <w:i w:val="false"/>
                <w:iCs w:val="false"/>
                <w:strike w:val="false"/>
                <w:color w:val="1A1A1A"/>
                <w:sz w:val="21"/>
                <w:szCs w:val="21"/>
              </w:rPr>
              <w:t xml:space="preserve"> Multi-Platform Adaptation Notes</w:t>
            </w:r>
          </w:p>
          <w:p>
            <w:pPr>
              <w:spacing w:after="120" w:line="408" w:lineRule="auto"/>
            </w:pPr>
            <w:r>
              <w:rPr>
                <w:rFonts w:ascii="Consolas" w:cs="Consolas" w:eastAsia="Consolas" w:hAnsi="Consolas"/>
                <w:b/>
                <w:bCs/>
                <w:i w:val="false"/>
                <w:iCs w:val="false"/>
                <w:strike w:val="false"/>
                <w:color w:val="007A8A"/>
                <w:sz w:val="22"/>
                <w:szCs w:val="22"/>
              </w:rPr>
              <w:t xml:space="preserve">11.</w:t>
            </w:r>
            <w:r>
              <w:rPr>
                <w:rFonts w:ascii="Calibri" w:cs="Calibri" w:eastAsia="Calibri" w:hAnsi="Calibri"/>
                <w:b w:val="false"/>
                <w:bCs w:val="false"/>
                <w:i w:val="false"/>
                <w:iCs w:val="false"/>
                <w:strike w:val="false"/>
                <w:color w:val="1A1A1A"/>
                <w:sz w:val="21"/>
                <w:szCs w:val="21"/>
              </w:rPr>
              <w:t xml:space="preserve"> Production Workflow</w:t>
            </w:r>
          </w:p>
          <w:p>
            <w:pPr>
              <w:spacing w:after="120" w:line="408" w:lineRule="auto"/>
            </w:pPr>
            <w:r>
              <w:rPr>
                <w:rFonts w:ascii="Consolas" w:cs="Consolas" w:eastAsia="Consolas" w:hAnsi="Consolas"/>
                <w:b/>
                <w:bCs/>
                <w:i w:val="false"/>
                <w:iCs w:val="false"/>
                <w:strike w:val="false"/>
                <w:color w:val="007A8A"/>
                <w:sz w:val="22"/>
                <w:szCs w:val="22"/>
              </w:rPr>
              <w:t xml:space="preserve">12.</w:t>
            </w:r>
            <w:r>
              <w:rPr>
                <w:rFonts w:ascii="Calibri" w:cs="Calibri" w:eastAsia="Calibri" w:hAnsi="Calibri"/>
                <w:b w:val="false"/>
                <w:bCs w:val="false"/>
                <w:i w:val="false"/>
                <w:iCs w:val="false"/>
                <w:strike w:val="false"/>
                <w:color w:val="1A1A1A"/>
                <w:sz w:val="21"/>
                <w:szCs w:val="21"/>
              </w:rPr>
              <w:t xml:space="preserve"> Appendices</w:t>
            </w:r>
          </w:p>
        </w:tc>
      </w:tr>
    </w:tbl>
    <w:p>
      <w:pPr>
        <w:spacing w:after="240" w:before="0"/>
      </w:pPr>
    </w:p>
    <w:p>
      <w:pPr>
        <w:spacing w:after="240" w:line="408" w:lineRule="auto"/>
      </w:pPr>
      <w:r>
        <w:rPr>
          <w:b w:val="false"/>
          <w:bCs w:val="false"/>
          <w:i w:val="false"/>
          <w:iCs w:val="false"/>
          <w:color w:val="007A8A"/>
        </w:rPr>
        <w:t xml:space="preserve">// SECTION 01</w:t>
      </w:r>
    </w:p>
    <w:p>
      <w:pPr>
        <w:pStyle w:val="Heading2"/>
        <w:spacing w:after="100" w:before="440" w:line="384" w:lineRule="auto"/>
      </w:pPr>
      <w:r>
        <w:rPr>
          <w:rFonts w:ascii="Consolas" w:cs="Consolas" w:eastAsia="Consolas" w:hAnsi="Consolas"/>
          <w:color w:val="0D3B4F"/>
          <w:sz w:val="32"/>
          <w:szCs w:val="32"/>
        </w:rPr>
        <w:t xml:space="preserve">SERIES OVERVIEW</w:t>
      </w:r>
    </w:p>
    <w:p>
      <w:pPr>
        <w:pBdr>
          <w:top w:val="single" w:color="0D3B4F" w:sz="6"/>
        </w:pBdr>
        <w:spacing w:after="200" w:before="0"/>
      </w:pPr>
    </w:p>
    <w:p>
      <w:pPr>
        <w:pStyle w:val="Heading3"/>
        <w:spacing w:after="80" w:before="280" w:line="384" w:lineRule="auto"/>
      </w:pPr>
      <w:r>
        <w:rPr>
          <w:rFonts w:ascii="Calibri" w:cs="Calibri" w:eastAsia="Calibri" w:hAnsi="Calibri"/>
          <w:color w:val="0D3B4F"/>
          <w:sz w:val="26"/>
          <w:szCs w:val="26"/>
        </w:rPr>
        <w:t xml:space="preserve">Series Logline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7A8A" w:sz="24"/>
              <w:bottom w:val="nil" w:color="FFFFFF" w:sz="0"/>
              <w:right w:val="nil" w:color="FFFFFF" w:sz="0"/>
            </w:tcBorders>
            <w:shd w:fill="E8F4F8" w:color="auto" w:val="clear"/>
            <w:tcMar>
              <w:top w:type="dxa" w:w="200"/>
              <w:left w:type="dxa" w:w="280"/>
              <w:bottom w:type="dxa" w:w="200"/>
              <w:right w:type="dxa" w:w="280"/>
            </w:tcMar>
          </w:tcPr>
          <w:p>
            <w:pPr>
              <w:spacing w:after="120" w:line="408" w:lineRule="auto"/>
            </w:pPr>
            <w:r>
              <w:rPr>
                <w:b/>
                <w:bCs/>
                <w:i w:val="false"/>
                <w:iCs w:val="false"/>
                <w:color w:val="00C8D8"/>
              </w:rPr>
              <w:t xml:space="preserve">// LOGLINE</w:t>
            </w:r>
          </w:p>
          <w:p>
            <w:pPr>
              <w:spacing w:after="140" w:line="360" w:lineRule="auto"/>
            </w:pPr>
            <w:r>
              <w:rPr>
                <w:rFonts w:ascii="Calibri" w:cs="Calibri" w:eastAsia="Calibri" w:hAnsi="Calibri"/>
                <w:b w:val="false"/>
                <w:bCs w:val="false"/>
                <w:i/>
                <w:iCs/>
                <w:strike w:val="false"/>
                <w:color w:val="1A1A1A"/>
                <w:sz w:val="22"/>
                <w:szCs w:val="22"/>
              </w:rPr>
              <w:t xml:space="preserve">Every breach has a blueprint. Every coder has a reason. </w:t>
            </w:r>
            <w:r>
              <w:rPr>
                <w:rFonts w:ascii="Calibri" w:cs="Calibri" w:eastAsia="Calibri" w:hAnsi="Calibri"/>
                <w:b/>
                <w:bCs/>
                <w:i/>
                <w:iCs/>
                <w:strike w:val="false"/>
                <w:color w:val="1A1A1A"/>
                <w:sz w:val="22"/>
                <w:szCs w:val="22"/>
              </w:rPr>
              <w:t xml:space="preserve">Codicon Hacking</w:t>
            </w:r>
            <w:r>
              <w:rPr>
                <w:rFonts w:ascii="Calibri" w:cs="Calibri" w:eastAsia="Calibri" w:hAnsi="Calibri"/>
                <w:b w:val="false"/>
                <w:bCs w:val="false"/>
                <w:i/>
                <w:iCs/>
                <w:strike w:val="false"/>
                <w:color w:val="1A1A1A"/>
                <w:sz w:val="22"/>
                <w:szCs w:val="22"/>
              </w:rPr>
              <w:t xml:space="preserve"> goes inside the machines — and the minds — that define the digital age.</w:t>
            </w:r>
          </w:p>
        </w:tc>
      </w:tr>
    </w:tbl>
    <w:p>
      <w:pPr>
        <w:spacing w:after="240" w:before="0"/>
      </w:pPr>
    </w:p>
    <w:p>
      <w:pPr>
        <w:pStyle w:val="Heading3"/>
        <w:spacing w:after="80" w:before="280" w:line="384" w:lineRule="auto"/>
      </w:pPr>
      <w:r>
        <w:rPr>
          <w:rFonts w:ascii="Calibri" w:cs="Calibri" w:eastAsia="Calibri" w:hAnsi="Calibri"/>
          <w:color w:val="0D3B4F"/>
          <w:sz w:val="26"/>
          <w:szCs w:val="26"/>
        </w:rPr>
        <w:t xml:space="preserve">Mission Statement</w:t>
      </w: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Codicon Hacking exists to demystify the art, science, and culture of hacking for a generation that lives online but rarely understands the architecture beneath it. We believe technical literacy is a civic responsibility. We believe the stories of people who exploit, defend, and rebuild digital systems are among the most consequential narratives of our time — and that those stories deserve to be told with precision, respect, and an unblinking eye for complexity. This series does not choose sides between attacker and defender. It chooses truth.</w:t>
      </w:r>
    </w:p>
    <w:p>
      <w:pPr>
        <w:pStyle w:val="Heading3"/>
        <w:spacing w:after="80" w:before="280" w:line="384" w:lineRule="auto"/>
      </w:pPr>
      <w:r>
        <w:rPr>
          <w:rFonts w:ascii="Calibri" w:cs="Calibri" w:eastAsia="Calibri" w:hAnsi="Calibri"/>
          <w:color w:val="0D3B4F"/>
          <w:sz w:val="26"/>
          <w:szCs w:val="26"/>
        </w:rPr>
        <w:t xml:space="preserve">Core Premise</w:t>
      </w: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Codicon Hacking is a season-long, narrative-driven exploration of hacking culture, landmark cybersecurity breaches, the ethics of offensive and defensive security, and the human beings who populate this world. Each episode is an investigation — part documentary, part technical seminar, part cultural criticism. The series operates at the intersection of code and consequence: tracing the exact technical path of a breach while never losing sight of why it happened, who it affected, and what it revealed about systems — digital and human — that we all depend on.</w:t>
      </w: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Season 1 traces a deliberate arc: from the romanticized "lone wolf" hacker of the 1980s and 90s, through the professionalization of cybercrime, to the present era of nation-state actors, ransomware cartels, and the emerging battlefield of AI-assisted offense. By the season finale, the audience will understand not just what happened in history's defining breaches — but why the entire threat landscape is entering a new, more dangerous phase.</w:t>
      </w:r>
    </w:p>
    <w:p>
      <w:pPr>
        <w:pStyle w:val="Heading3"/>
        <w:spacing w:after="80" w:before="280" w:line="384" w:lineRule="auto"/>
      </w:pPr>
      <w:r>
        <w:rPr>
          <w:rFonts w:ascii="Calibri" w:cs="Calibri" w:eastAsia="Calibri" w:hAnsi="Calibri"/>
          <w:color w:val="0D3B4F"/>
          <w:sz w:val="26"/>
          <w:szCs w:val="26"/>
        </w:rPr>
        <w:t xml:space="preserve">Target Audience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1%"/>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Tier</w:t>
            </w:r>
          </w:p>
        </w:tc>
        <w:tc>
          <w:tcPr>
            <w:tcW w:type="pct" w:w="46%"/>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Audience</w:t>
            </w:r>
          </w:p>
        </w:tc>
        <w:tc>
          <w:tcPr>
            <w:tcW w:type="pct" w:w="9%"/>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Age Range</w:t>
            </w:r>
          </w:p>
        </w:tc>
        <w:tc>
          <w:tcPr>
            <w:tcW w:type="pct" w:w="34%"/>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Engagement Profile</w:t>
            </w:r>
          </w:p>
        </w:tc>
      </w:tr>
      <w:tr>
        <w:trPr>
          <w:tblHeader w:val="false"/>
        </w:trPr>
        <w:tc>
          <w:tcPr>
            <w:tcW w:type="pct" w:w="11%"/>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Primary</w:t>
            </w:r>
          </w:p>
        </w:tc>
        <w:tc>
          <w:tcPr>
            <w:tcW w:type="pct" w:w="46%"/>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Technically curious generalists — people who use technology daily, follow tech news, and want to understand security without becoming practitioners</w:t>
            </w:r>
          </w:p>
        </w:tc>
        <w:tc>
          <w:tcPr>
            <w:tcW w:type="pct" w:w="9%"/>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18–40</w:t>
            </w:r>
          </w:p>
        </w:tc>
        <w:tc>
          <w:tcPr>
            <w:tcW w:type="pct" w:w="34%"/>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High engagement with narrative content, YouTube long-form, podcast commuters, newsletter subscribers</w:t>
            </w:r>
          </w:p>
        </w:tc>
      </w:tr>
      <w:tr>
        <w:trPr>
          <w:tblHeader w:val="false"/>
        </w:trPr>
        <w:tc>
          <w:tcPr>
            <w:tcW w:type="pct" w:w="11%"/>
            <w:shd w:fill="F4F8FB" w:color="auto" w:val="clear"/>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Secondary A</w:t>
            </w:r>
          </w:p>
        </w:tc>
        <w:tc>
          <w:tcPr>
            <w:tcW w:type="pct" w:w="46%"/>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Security professionals, ethical hackers, CTF participants, penetration testers</w:t>
            </w:r>
          </w:p>
        </w:tc>
        <w:tc>
          <w:tcPr>
            <w:tcW w:type="pct" w:w="9%"/>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22–45</w:t>
            </w:r>
          </w:p>
        </w:tc>
        <w:tc>
          <w:tcPr>
            <w:tcW w:type="pct" w:w="34%"/>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Technical depth seekers, value accuracy and nuance over accessibility, strong community engagement</w:t>
            </w:r>
          </w:p>
        </w:tc>
      </w:tr>
      <w:tr>
        <w:trPr>
          <w:tblHeader w:val="false"/>
        </w:trPr>
        <w:tc>
          <w:tcPr>
            <w:tcW w:type="pct" w:w="11%"/>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Secondary B</w:t>
            </w:r>
          </w:p>
        </w:tc>
        <w:tc>
          <w:tcPr>
            <w:tcW w:type="pct" w:w="46%"/>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Software developers, DevOps engineers, IT administrators</w:t>
            </w:r>
          </w:p>
        </w:tc>
        <w:tc>
          <w:tcPr>
            <w:tcW w:type="pct" w:w="9%"/>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22–40</w:t>
            </w:r>
          </w:p>
        </w:tc>
        <w:tc>
          <w:tcPr>
            <w:tcW w:type="pct" w:w="34%"/>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Professional relevance seekers, will share on LinkedIn and in Slack communities</w:t>
            </w:r>
          </w:p>
        </w:tc>
      </w:tr>
      <w:tr>
        <w:trPr>
          <w:tblHeader w:val="false"/>
        </w:trPr>
        <w:tc>
          <w:tcPr>
            <w:tcW w:type="pct" w:w="11%"/>
            <w:shd w:fill="F4F8FB" w:color="auto" w:val="clear"/>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Secondary C</w:t>
            </w:r>
          </w:p>
        </w:tc>
        <w:tc>
          <w:tcPr>
            <w:tcW w:type="pct" w:w="46%"/>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Computer science and cybersecurity students</w:t>
            </w:r>
          </w:p>
        </w:tc>
        <w:tc>
          <w:tcPr>
            <w:tcW w:type="pct" w:w="9%"/>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18–26</w:t>
            </w:r>
          </w:p>
        </w:tc>
        <w:tc>
          <w:tcPr>
            <w:tcW w:type="pct" w:w="34%"/>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High-volume, high-repeat viewers; aspire to the culture being depicted</w:t>
            </w:r>
          </w:p>
        </w:tc>
      </w:tr>
    </w:tbl>
    <w:p>
      <w:pPr>
        <w:spacing w:after="200" w:before="0"/>
      </w:pPr>
    </w:p>
    <w:p>
      <w:pPr>
        <w:pStyle w:val="Heading3"/>
        <w:spacing w:after="80" w:before="280" w:line="384" w:lineRule="auto"/>
      </w:pPr>
      <w:r>
        <w:rPr>
          <w:rFonts w:ascii="Calibri" w:cs="Calibri" w:eastAsia="Calibri" w:hAnsi="Calibri"/>
          <w:color w:val="0D3B4F"/>
          <w:sz w:val="26"/>
          <w:szCs w:val="26"/>
        </w:rPr>
        <w:t xml:space="preserve">Series Format Overview</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7%"/>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Parameter</w:t>
            </w:r>
          </w:p>
        </w:tc>
        <w:tc>
          <w:tcPr>
            <w:tcW w:type="pct" w:w="73%"/>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Specification</w:t>
            </w:r>
          </w:p>
        </w:tc>
      </w:tr>
      <w:tr>
        <w:trPr>
          <w:tblHeader w:val="false"/>
        </w:trPr>
        <w:tc>
          <w:tcPr>
            <w:tcW w:type="pct" w:w="27%"/>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Episode Count (S1)</w:t>
            </w:r>
          </w:p>
        </w:tc>
        <w:tc>
          <w:tcPr>
            <w:tcW w:type="pct" w:w="73%"/>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12 standard episodes + 1 season finale special (45–60 min)</w:t>
            </w:r>
          </w:p>
        </w:tc>
      </w:tr>
      <w:tr>
        <w:trPr>
          <w:tblHeader w:val="false"/>
        </w:trPr>
        <w:tc>
          <w:tcPr>
            <w:tcW w:type="pct" w:w="27%"/>
            <w:shd w:fill="F4F8FB" w:color="auto" w:val="clear"/>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Standard Episode Duration</w:t>
            </w:r>
          </w:p>
        </w:tc>
        <w:tc>
          <w:tcPr>
            <w:tcW w:type="pct" w:w="73%"/>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42–48 minutes (video); 45–50 minutes (audio edit with added context)</w:t>
            </w:r>
          </w:p>
        </w:tc>
      </w:tr>
      <w:tr>
        <w:trPr>
          <w:tblHeader w:val="false"/>
        </w:trPr>
        <w:tc>
          <w:tcPr>
            <w:tcW w:type="pct" w:w="27%"/>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Release Cadence</w:t>
            </w:r>
          </w:p>
        </w:tc>
        <w:tc>
          <w:tcPr>
            <w:tcW w:type="pct" w:w="73%"/>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Weekly, every Tuesday at 06:00 MT / 08:00 ET / 13:00 UTC</w:t>
            </w:r>
          </w:p>
        </w:tc>
      </w:tr>
      <w:tr>
        <w:trPr>
          <w:tblHeader w:val="false"/>
        </w:trPr>
        <w:tc>
          <w:tcPr>
            <w:tcW w:type="pct" w:w="27%"/>
            <w:shd w:fill="F4F8FB" w:color="auto" w:val="clear"/>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Formats in Rotation</w:t>
            </w:r>
          </w:p>
        </w:tc>
        <w:tc>
          <w:tcPr>
            <w:tcW w:type="pct" w:w="73%"/>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Standard (8 eps), Deep Dive Solo (2 eps), Panel Debate (1 ep), Live CTF Coverage (1 ep)</w:t>
            </w:r>
          </w:p>
        </w:tc>
      </w:tr>
      <w:tr>
        <w:trPr>
          <w:tblHeader w:val="false"/>
        </w:trPr>
        <w:tc>
          <w:tcPr>
            <w:tcW w:type="pct" w:w="27%"/>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Primary Distribution</w:t>
            </w:r>
          </w:p>
        </w:tc>
        <w:tc>
          <w:tcPr>
            <w:tcW w:type="pct" w:w="73%"/>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YouTube (video), Spotify + Apple Podcasts (audio), RSS (podcast)</w:t>
            </w:r>
          </w:p>
        </w:tc>
      </w:tr>
      <w:tr>
        <w:trPr>
          <w:tblHeader w:val="false"/>
        </w:trPr>
        <w:tc>
          <w:tcPr>
            <w:tcW w:type="pct" w:w="27%"/>
            <w:shd w:fill="F4F8FB" w:color="auto" w:val="clear"/>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Season Window</w:t>
            </w:r>
          </w:p>
        </w:tc>
        <w:tc>
          <w:tcPr>
            <w:tcW w:type="pct" w:w="73%"/>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12 weeks; S1 premiere target: September 2026</w:t>
            </w:r>
          </w:p>
        </w:tc>
      </w:tr>
    </w:tbl>
    <w:p>
      <w:pPr>
        <w:spacing w:after="200" w:before="0"/>
      </w:pPr>
    </w:p>
    <w:p>
      <w:pPr>
        <w:pStyle w:val="Heading3"/>
        <w:spacing w:after="80" w:before="280" w:line="384" w:lineRule="auto"/>
      </w:pPr>
      <w:r>
        <w:rPr>
          <w:rFonts w:ascii="Calibri" w:cs="Calibri" w:eastAsia="Calibri" w:hAnsi="Calibri"/>
          <w:color w:val="0D3B4F"/>
          <w:sz w:val="26"/>
          <w:szCs w:val="26"/>
        </w:rPr>
        <w:t xml:space="preserve">Content Rating / Maturity Advisory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47A00" w:sz="24"/>
              <w:bottom w:val="nil" w:color="FFFFFF" w:sz="0"/>
              <w:right w:val="nil" w:color="FFFFFF" w:sz="0"/>
            </w:tcBorders>
            <w:shd w:fill="FFF8E6" w:color="auto" w:val="clear"/>
            <w:tcMar>
              <w:top w:type="dxa" w:w="200"/>
              <w:left w:type="dxa" w:w="280"/>
              <w:bottom w:type="dxa" w:w="200"/>
              <w:right w:type="dxa" w:w="280"/>
            </w:tcMar>
          </w:tcPr>
          <w:p>
            <w:pPr>
              <w:spacing w:after="120" w:line="408" w:lineRule="auto"/>
            </w:pPr>
            <w:r>
              <w:rPr>
                <w:b/>
                <w:bCs/>
                <w:i w:val="false"/>
                <w:iCs w:val="false"/>
                <w:color w:val="C47A00"/>
              </w:rPr>
              <w:t xml:space="preserve">// MATURITY ADVISORY</w:t>
            </w:r>
          </w:p>
          <w:p>
            <w:pPr>
              <w:spacing w:after="140" w:line="384" w:lineRule="auto"/>
            </w:pPr>
            <w:r>
              <w:rPr>
                <w:rFonts w:ascii="Calibri" w:cs="Calibri" w:eastAsia="Calibri" w:hAnsi="Calibri"/>
                <w:b/>
                <w:bCs/>
                <w:i w:val="false"/>
                <w:iCs w:val="false"/>
                <w:strike w:val="false"/>
                <w:color w:val="1A1A1A"/>
                <w:sz w:val="22"/>
                <w:szCs w:val="22"/>
              </w:rPr>
              <w:t xml:space="preserve">Rating: TV-14 / Podcast: Explicit (where applicable)</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Content includes: technical descriptions of criminal cyberattacks; discussion of real-world harm caused by data breaches; occasional strong language from host and guests; depiction of threat actor methodology. No gratuitous content. No step-by-step exploitation of active vulnerabilities. Parental guidance advised for audiences under 14. Episodes that include particularly sensitive content (e.g., attacks on healthcare or critical infrastructure) will carry an individual episode advisory in the description and first 30 seconds of audio.</w:t>
            </w:r>
          </w:p>
        </w:tc>
      </w:tr>
    </w:tbl>
    <w:p>
      <w:pPr>
        <w:spacing w:after="240" w:before="0"/>
      </w:pPr>
    </w:p>
    <w:p>
      <w:pPr>
        <w:spacing w:after="240" w:line="408" w:lineRule="auto"/>
      </w:pPr>
      <w:r>
        <w:rPr>
          <w:b w:val="false"/>
          <w:bCs w:val="false"/>
          <w:i w:val="false"/>
          <w:iCs w:val="false"/>
          <w:color w:val="007A8A"/>
        </w:rPr>
        <w:t xml:space="preserve">// SECTION 02</w:t>
      </w:r>
    </w:p>
    <w:p>
      <w:pPr>
        <w:pStyle w:val="Heading2"/>
        <w:spacing w:after="100" w:before="440" w:line="384" w:lineRule="auto"/>
      </w:pPr>
      <w:r>
        <w:rPr>
          <w:rFonts w:ascii="Consolas" w:cs="Consolas" w:eastAsia="Consolas" w:hAnsi="Consolas"/>
          <w:color w:val="0D3B4F"/>
          <w:sz w:val="32"/>
          <w:szCs w:val="32"/>
        </w:rPr>
        <w:t xml:space="preserve">TONE &amp; VOICE</w:t>
      </w:r>
    </w:p>
    <w:p>
      <w:pPr>
        <w:pBdr>
          <w:top w:val="single" w:color="0D3B4F" w:sz="6"/>
        </w:pBdr>
        <w:spacing w:after="200" w:before="0"/>
      </w:pPr>
    </w:p>
    <w:p>
      <w:pPr>
        <w:pStyle w:val="Heading3"/>
        <w:spacing w:after="80" w:before="280" w:line="384" w:lineRule="auto"/>
      </w:pPr>
      <w:r>
        <w:rPr>
          <w:rFonts w:ascii="Calibri" w:cs="Calibri" w:eastAsia="Calibri" w:hAnsi="Calibri"/>
          <w:color w:val="0D3B4F"/>
          <w:sz w:val="26"/>
          <w:szCs w:val="26"/>
        </w:rPr>
        <w:t xml:space="preserve">Overall Tone</w:t>
      </w: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Codicon Hacking is </w:t>
      </w:r>
      <w:r>
        <w:rPr>
          <w:rFonts w:ascii="Calibri" w:cs="Calibri" w:eastAsia="Calibri" w:hAnsi="Calibri"/>
          <w:b/>
          <w:bCs/>
          <w:i w:val="false"/>
          <w:iCs w:val="false"/>
          <w:strike w:val="false"/>
          <w:color w:val="1A1A1A"/>
          <w:sz w:val="22"/>
          <w:szCs w:val="22"/>
        </w:rPr>
        <w:t xml:space="preserve">intelligent, irreverent, authoritative, and occasionally darkly humorous</w:t>
      </w:r>
      <w:r>
        <w:rPr>
          <w:rFonts w:ascii="Calibri" w:cs="Calibri" w:eastAsia="Calibri" w:hAnsi="Calibri"/>
          <w:b w:val="false"/>
          <w:bCs w:val="false"/>
          <w:i w:val="false"/>
          <w:iCs w:val="false"/>
          <w:strike w:val="false"/>
          <w:color w:val="1A1A1A"/>
          <w:sz w:val="22"/>
          <w:szCs w:val="22"/>
        </w:rPr>
        <w:t xml:space="preserve">. We take the subject matter seriously without being solemn. We respect our audience enough to be direct, accurate, and unsparing — but we never lose sight of the fact that this is a story, and stories require pace, tension, release, and the occasional well-timed joke. Think of the tone as a documentary directed by someone who was also a former penetration tester: rigorous on the facts, loose on the collar.</w:t>
      </w:r>
    </w:p>
    <w:p>
      <w:pPr>
        <w:pStyle w:val="Heading3"/>
        <w:spacing w:after="80" w:before="280" w:line="384" w:lineRule="auto"/>
      </w:pPr>
      <w:r>
        <w:rPr>
          <w:rFonts w:ascii="Calibri" w:cs="Calibri" w:eastAsia="Calibri" w:hAnsi="Calibri"/>
          <w:color w:val="0D3B4F"/>
          <w:sz w:val="26"/>
          <w:szCs w:val="26"/>
        </w:rPr>
        <w:t xml:space="preserve">Voice Principles</w:t>
      </w:r>
    </w:p>
    <w:p>
      <w:pPr>
        <w:pStyle w:val="Heading4"/>
        <w:spacing w:after="60" w:before="200" w:line="384" w:lineRule="auto"/>
      </w:pPr>
      <w:r>
        <w:rPr>
          <w:rFonts w:ascii="Calibri" w:cs="Calibri" w:eastAsia="Calibri" w:hAnsi="Calibri"/>
          <w:color w:val="1A1A1A"/>
          <w:sz w:val="22"/>
          <w:szCs w:val="22"/>
        </w:rPr>
        <w:t xml:space="preserve">1. Precision Over Hype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7A8A" w:sz="24"/>
              <w:bottom w:val="nil" w:color="FFFFFF" w:sz="0"/>
              <w:right w:val="nil" w:color="FFFFFF" w:sz="0"/>
            </w:tcBorders>
            <w:shd w:fill="E8F4F8" w:color="auto" w:val="clear"/>
            <w:tcMar>
              <w:top w:type="dxa" w:w="200"/>
              <w:left w:type="dxa" w:w="280"/>
              <w:bottom w:type="dxa" w:w="200"/>
              <w:right w:type="dxa" w:w="280"/>
            </w:tcMar>
          </w:tcPr>
          <w:p>
            <w:pPr>
              <w:spacing w:after="120" w:line="408" w:lineRule="auto"/>
            </w:pPr>
            <w:r>
              <w:rPr>
                <w:b/>
                <w:bCs/>
                <w:i w:val="false"/>
                <w:iCs w:val="false"/>
                <w:color w:val="007A8A"/>
              </w:rPr>
              <w:t xml:space="preserve">// PRINCIPLE 01</w:t>
            </w:r>
          </w:p>
          <w:p>
            <w:pPr>
              <w:spacing w:after="140" w:line="384" w:lineRule="auto"/>
            </w:pPr>
            <w:r>
              <w:rPr>
                <w:rFonts w:ascii="Calibri" w:cs="Calibri" w:eastAsia="Calibri" w:hAnsi="Calibri"/>
                <w:b w:val="false"/>
                <w:bCs w:val="false"/>
                <w:i w:val="false"/>
                <w:iCs w:val="false"/>
                <w:strike w:val="false"/>
                <w:color w:val="1A1A1A"/>
                <w:sz w:val="22"/>
                <w:szCs w:val="22"/>
              </w:rPr>
              <w:t xml:space="preserve">We never overstate the severity of a vulnerability, the sophistication of an attacker, or the impact of a breach to generate excitement. Accuracy is the baseline; every technical claim is verifiable. When the real story is dramatic enough — and it usually is — we let it breathe. Amplification is a sign of insecurity in the material. We are not insecure in our material.</w:t>
            </w:r>
          </w:p>
        </w:tc>
      </w:tr>
    </w:tbl>
    <w:p>
      <w:pPr>
        <w:spacing w:after="240" w:before="0"/>
      </w:pPr>
    </w:p>
    <w:p>
      <w:pPr>
        <w:pStyle w:val="Heading4"/>
        <w:spacing w:after="60" w:before="200" w:line="384" w:lineRule="auto"/>
      </w:pPr>
      <w:r>
        <w:rPr>
          <w:rFonts w:ascii="Calibri" w:cs="Calibri" w:eastAsia="Calibri" w:hAnsi="Calibri"/>
          <w:color w:val="1A1A1A"/>
          <w:sz w:val="22"/>
          <w:szCs w:val="22"/>
        </w:rPr>
        <w:t xml:space="preserve">2. Respect the Craft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7A8A" w:sz="24"/>
              <w:bottom w:val="nil" w:color="FFFFFF" w:sz="0"/>
              <w:right w:val="nil" w:color="FFFFFF" w:sz="0"/>
            </w:tcBorders>
            <w:shd w:fill="E8F4F8" w:color="auto" w:val="clear"/>
            <w:tcMar>
              <w:top w:type="dxa" w:w="200"/>
              <w:left w:type="dxa" w:w="280"/>
              <w:bottom w:type="dxa" w:w="200"/>
              <w:right w:type="dxa" w:w="280"/>
            </w:tcMar>
          </w:tcPr>
          <w:p>
            <w:pPr>
              <w:spacing w:after="120" w:line="408" w:lineRule="auto"/>
            </w:pPr>
            <w:r>
              <w:rPr>
                <w:b/>
                <w:bCs/>
                <w:i w:val="false"/>
                <w:iCs w:val="false"/>
                <w:color w:val="007A8A"/>
              </w:rPr>
              <w:t xml:space="preserve">// PRINCIPLE 02</w:t>
            </w:r>
          </w:p>
          <w:p>
            <w:pPr>
              <w:spacing w:after="140" w:line="384" w:lineRule="auto"/>
            </w:pPr>
            <w:r>
              <w:rPr>
                <w:rFonts w:ascii="Calibri" w:cs="Calibri" w:eastAsia="Calibri" w:hAnsi="Calibri"/>
                <w:b w:val="false"/>
                <w:bCs w:val="false"/>
                <w:i w:val="false"/>
                <w:iCs w:val="false"/>
                <w:strike w:val="false"/>
                <w:color w:val="1A1A1A"/>
                <w:sz w:val="22"/>
                <w:szCs w:val="22"/>
              </w:rPr>
              <w:t xml:space="preserve">We treat hacking — even black-hat hacking — as a form of craft and intellectual pursuit. We do not sneer at attackers or write them off as criminals. We explain </w:t>
            </w:r>
            <w:r>
              <w:rPr>
                <w:rFonts w:ascii="Calibri" w:cs="Calibri" w:eastAsia="Calibri" w:hAnsi="Calibri"/>
                <w:b w:val="false"/>
                <w:bCs w:val="false"/>
                <w:i/>
                <w:iCs/>
                <w:strike w:val="false"/>
                <w:color w:val="1A1A1A"/>
                <w:sz w:val="22"/>
                <w:szCs w:val="22"/>
              </w:rPr>
              <w:t xml:space="preserve">how</w:t>
            </w:r>
            <w:r>
              <w:rPr>
                <w:rFonts w:ascii="Calibri" w:cs="Calibri" w:eastAsia="Calibri" w:hAnsi="Calibri"/>
                <w:b w:val="false"/>
                <w:bCs w:val="false"/>
                <w:i w:val="false"/>
                <w:iCs w:val="false"/>
                <w:strike w:val="false"/>
                <w:color w:val="1A1A1A"/>
                <w:sz w:val="22"/>
                <w:szCs w:val="22"/>
              </w:rPr>
              <w:t xml:space="preserve"> they did what they did with the same attention and admiration a sports broadcaster gives to an exceptional athlete's technique. Moral judgment, if it comes at all, belongs to the listener. We provide the facts and the frame; the audience renders a verdict.</w:t>
            </w:r>
          </w:p>
        </w:tc>
      </w:tr>
    </w:tbl>
    <w:p>
      <w:pPr>
        <w:spacing w:after="240" w:before="0"/>
      </w:pPr>
    </w:p>
    <w:p>
      <w:pPr>
        <w:pStyle w:val="Heading4"/>
        <w:spacing w:after="60" w:before="200" w:line="384" w:lineRule="auto"/>
      </w:pPr>
      <w:r>
        <w:rPr>
          <w:rFonts w:ascii="Calibri" w:cs="Calibri" w:eastAsia="Calibri" w:hAnsi="Calibri"/>
          <w:color w:val="1A1A1A"/>
          <w:sz w:val="22"/>
          <w:szCs w:val="22"/>
        </w:rPr>
        <w:t xml:space="preserve">3. Narrative Before Jargon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7A8A" w:sz="24"/>
              <w:bottom w:val="nil" w:color="FFFFFF" w:sz="0"/>
              <w:right w:val="nil" w:color="FFFFFF" w:sz="0"/>
            </w:tcBorders>
            <w:shd w:fill="E8F4F8" w:color="auto" w:val="clear"/>
            <w:tcMar>
              <w:top w:type="dxa" w:w="200"/>
              <w:left w:type="dxa" w:w="280"/>
              <w:bottom w:type="dxa" w:w="200"/>
              <w:right w:type="dxa" w:w="280"/>
            </w:tcMar>
          </w:tcPr>
          <w:p>
            <w:pPr>
              <w:spacing w:after="120" w:line="408" w:lineRule="auto"/>
            </w:pPr>
            <w:r>
              <w:rPr>
                <w:b/>
                <w:bCs/>
                <w:i w:val="false"/>
                <w:iCs w:val="false"/>
                <w:color w:val="007A8A"/>
              </w:rPr>
              <w:t xml:space="preserve">// PRINCIPLE 03</w:t>
            </w:r>
          </w:p>
          <w:p>
            <w:pPr>
              <w:spacing w:after="140" w:line="384" w:lineRule="auto"/>
            </w:pPr>
            <w:r>
              <w:rPr>
                <w:rFonts w:ascii="Calibri" w:cs="Calibri" w:eastAsia="Calibri" w:hAnsi="Calibri"/>
                <w:b w:val="false"/>
                <w:bCs w:val="false"/>
                <w:i w:val="false"/>
                <w:iCs w:val="false"/>
                <w:strike w:val="false"/>
                <w:color w:val="1A1A1A"/>
                <w:sz w:val="22"/>
                <w:szCs w:val="22"/>
              </w:rPr>
              <w:t xml:space="preserve">Every technical explanation is preceded by a human or narrative hook. We never open a technical explanation with a term. We open with a scene, a person, a consequence — and then we arrive at the term that describes it. Jargon earns its place in the sentence; it does not begin the sentence. This principle applies even in Tier 3 (deep) technical segments — the protocol details follow the story of why those details mattered.</w:t>
            </w:r>
          </w:p>
        </w:tc>
      </w:tr>
    </w:tbl>
    <w:p>
      <w:pPr>
        <w:spacing w:after="240" w:before="0"/>
      </w:pPr>
    </w:p>
    <w:p>
      <w:pPr>
        <w:pStyle w:val="Heading4"/>
        <w:spacing w:after="60" w:before="200" w:line="384" w:lineRule="auto"/>
      </w:pPr>
      <w:r>
        <w:rPr>
          <w:rFonts w:ascii="Calibri" w:cs="Calibri" w:eastAsia="Calibri" w:hAnsi="Calibri"/>
          <w:color w:val="1A1A1A"/>
          <w:sz w:val="22"/>
          <w:szCs w:val="22"/>
        </w:rPr>
        <w:t xml:space="preserve">4. Earned Complexity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7A8A" w:sz="24"/>
              <w:bottom w:val="nil" w:color="FFFFFF" w:sz="0"/>
              <w:right w:val="nil" w:color="FFFFFF" w:sz="0"/>
            </w:tcBorders>
            <w:shd w:fill="E8F4F8" w:color="auto" w:val="clear"/>
            <w:tcMar>
              <w:top w:type="dxa" w:w="200"/>
              <w:left w:type="dxa" w:w="280"/>
              <w:bottom w:type="dxa" w:w="200"/>
              <w:right w:type="dxa" w:w="280"/>
            </w:tcMar>
          </w:tcPr>
          <w:p>
            <w:pPr>
              <w:spacing w:after="120" w:line="408" w:lineRule="auto"/>
            </w:pPr>
            <w:r>
              <w:rPr>
                <w:b/>
                <w:bCs/>
                <w:i w:val="false"/>
                <w:iCs w:val="false"/>
                <w:color w:val="007A8A"/>
              </w:rPr>
              <w:t xml:space="preserve">// PRINCIPLE 04</w:t>
            </w:r>
          </w:p>
          <w:p>
            <w:pPr>
              <w:spacing w:after="140" w:line="384" w:lineRule="auto"/>
            </w:pPr>
            <w:r>
              <w:rPr>
                <w:rFonts w:ascii="Calibri" w:cs="Calibri" w:eastAsia="Calibri" w:hAnsi="Calibri"/>
                <w:b w:val="false"/>
                <w:bCs w:val="false"/>
                <w:i w:val="false"/>
                <w:iCs w:val="false"/>
                <w:strike w:val="false"/>
                <w:color w:val="1A1A1A"/>
                <w:sz w:val="22"/>
                <w:szCs w:val="22"/>
              </w:rPr>
              <w:t xml:space="preserve">Technical depth is a reward, not a gate. We earn the right to go deep by establishing context, building trust, and setting expectations. Within a single episode, complexity escalates from accessible to expert-level — but the escalation is deliberate, announced (in tone if not in words), and always tethered to a narrative reason. No complexity is introduced without a "therefore" — a reason it matters right now, in this story.</w:t>
            </w:r>
          </w:p>
        </w:tc>
      </w:tr>
    </w:tbl>
    <w:p>
      <w:pPr>
        <w:spacing w:after="240" w:before="0"/>
      </w:pPr>
    </w:p>
    <w:p>
      <w:pPr>
        <w:pStyle w:val="Heading4"/>
        <w:spacing w:after="60" w:before="200" w:line="384" w:lineRule="auto"/>
      </w:pPr>
      <w:r>
        <w:rPr>
          <w:rFonts w:ascii="Calibri" w:cs="Calibri" w:eastAsia="Calibri" w:hAnsi="Calibri"/>
          <w:color w:val="1A1A1A"/>
          <w:sz w:val="22"/>
          <w:szCs w:val="22"/>
        </w:rPr>
        <w:t xml:space="preserve">5. No Moralizing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7A8A" w:sz="24"/>
              <w:bottom w:val="nil" w:color="FFFFFF" w:sz="0"/>
              <w:right w:val="nil" w:color="FFFFFF" w:sz="0"/>
            </w:tcBorders>
            <w:shd w:fill="E8F4F8" w:color="auto" w:val="clear"/>
            <w:tcMar>
              <w:top w:type="dxa" w:w="200"/>
              <w:left w:type="dxa" w:w="280"/>
              <w:bottom w:type="dxa" w:w="200"/>
              <w:right w:type="dxa" w:w="280"/>
            </w:tcMar>
          </w:tcPr>
          <w:p>
            <w:pPr>
              <w:spacing w:after="120" w:line="408" w:lineRule="auto"/>
            </w:pPr>
            <w:r>
              <w:rPr>
                <w:b/>
                <w:bCs/>
                <w:i w:val="false"/>
                <w:iCs w:val="false"/>
                <w:color w:val="007A8A"/>
              </w:rPr>
              <w:t xml:space="preserve">// PRINCIPLE 05</w:t>
            </w:r>
          </w:p>
          <w:p>
            <w:pPr>
              <w:spacing w:after="140" w:line="384" w:lineRule="auto"/>
            </w:pPr>
            <w:r>
              <w:rPr>
                <w:rFonts w:ascii="Calibri" w:cs="Calibri" w:eastAsia="Calibri" w:hAnsi="Calibri"/>
                <w:b w:val="false"/>
                <w:bCs w:val="false"/>
                <w:i w:val="false"/>
                <w:iCs w:val="false"/>
                <w:strike w:val="false"/>
                <w:color w:val="1A1A1A"/>
                <w:sz w:val="22"/>
                <w:szCs w:val="22"/>
              </w:rPr>
              <w:t xml:space="preserve">We present facts and let the audience decide. We do not editorialize about whether a hacktivist was "right." We do not produce episodes that arrive at predetermined moral conclusions. The Editorial segment at episode's end is the host's personal POV — clearly framed as such, never presented as received wisdom. The audience is smart enough to form their own views; it is patronizing to hand them one.</w:t>
            </w:r>
          </w:p>
        </w:tc>
      </w:tr>
    </w:tbl>
    <w:p>
      <w:pPr>
        <w:spacing w:after="240" w:before="0"/>
      </w:pPr>
    </w:p>
    <w:p>
      <w:pPr>
        <w:pStyle w:val="Heading4"/>
        <w:spacing w:after="60" w:before="200" w:line="384" w:lineRule="auto"/>
      </w:pPr>
      <w:r>
        <w:rPr>
          <w:rFonts w:ascii="Calibri" w:cs="Calibri" w:eastAsia="Calibri" w:hAnsi="Calibri"/>
          <w:color w:val="1A1A1A"/>
          <w:sz w:val="22"/>
          <w:szCs w:val="22"/>
        </w:rPr>
        <w:t xml:space="preserve">6. Irreverence Without Nihilism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7A8A" w:sz="24"/>
              <w:bottom w:val="nil" w:color="FFFFFF" w:sz="0"/>
              <w:right w:val="nil" w:color="FFFFFF" w:sz="0"/>
            </w:tcBorders>
            <w:shd w:fill="E8F4F8" w:color="auto" w:val="clear"/>
            <w:tcMar>
              <w:top w:type="dxa" w:w="200"/>
              <w:left w:type="dxa" w:w="280"/>
              <w:bottom w:type="dxa" w:w="200"/>
              <w:right w:type="dxa" w:w="280"/>
            </w:tcMar>
          </w:tcPr>
          <w:p>
            <w:pPr>
              <w:spacing w:after="120" w:line="408" w:lineRule="auto"/>
            </w:pPr>
            <w:r>
              <w:rPr>
                <w:b/>
                <w:bCs/>
                <w:i w:val="false"/>
                <w:iCs w:val="false"/>
                <w:color w:val="007A8A"/>
              </w:rPr>
              <w:t xml:space="preserve">// PRINCIPLE 06</w:t>
            </w:r>
          </w:p>
          <w:p>
            <w:pPr>
              <w:spacing w:after="140" w:line="384" w:lineRule="auto"/>
            </w:pPr>
            <w:r>
              <w:rPr>
                <w:rFonts w:ascii="Calibri" w:cs="Calibri" w:eastAsia="Calibri" w:hAnsi="Calibri"/>
                <w:b w:val="false"/>
                <w:bCs w:val="false"/>
                <w:i w:val="false"/>
                <w:iCs w:val="false"/>
                <w:strike w:val="false"/>
                <w:color w:val="1A1A1A"/>
                <w:sz w:val="22"/>
                <w:szCs w:val="22"/>
              </w:rPr>
              <w:t xml:space="preserve">We are allowed to find the absurdity in corporate security theater, the dark comedy of predictable human error, and the irony of governments building the same tools they then warn citizens about. But irreverence has a floor: we never make light of victims, data subjects, or people whose lives were materially damaged by a breach. The joke is on the system; never on the people the system failed.</w:t>
            </w:r>
          </w:p>
        </w:tc>
      </w:tr>
    </w:tbl>
    <w:p>
      <w:pPr>
        <w:spacing w:after="240" w:before="0"/>
      </w:pPr>
    </w:p>
    <w:p>
      <w:pPr>
        <w:pStyle w:val="Heading3"/>
        <w:spacing w:after="80" w:before="280" w:line="384" w:lineRule="auto"/>
      </w:pPr>
      <w:r>
        <w:rPr>
          <w:rFonts w:ascii="Calibri" w:cs="Calibri" w:eastAsia="Calibri" w:hAnsi="Calibri"/>
          <w:color w:val="0D3B4F"/>
          <w:sz w:val="26"/>
          <w:szCs w:val="26"/>
        </w:rPr>
        <w:t xml:space="preserve">Forbidden Language and Framing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B92B27" w:sz="24"/>
              <w:bottom w:val="nil" w:color="FFFFFF" w:sz="0"/>
              <w:right w:val="nil" w:color="FFFFFF" w:sz="0"/>
            </w:tcBorders>
            <w:shd w:fill="FDECEA" w:color="auto" w:val="clear"/>
            <w:tcMar>
              <w:top w:type="dxa" w:w="200"/>
              <w:left w:type="dxa" w:w="280"/>
              <w:bottom w:type="dxa" w:w="200"/>
              <w:right w:type="dxa" w:w="280"/>
            </w:tcMar>
          </w:tcPr>
          <w:p>
            <w:pPr>
              <w:spacing w:after="120" w:line="408" w:lineRule="auto"/>
            </w:pPr>
            <w:r>
              <w:rPr>
                <w:b/>
                <w:bCs/>
                <w:i w:val="false"/>
                <w:iCs w:val="false"/>
                <w:color w:val="B92B27"/>
              </w:rPr>
              <w:t xml:space="preserve">// PROHIBITED — DO NOT USE</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"Terrifying" / "Shocking" / "Devastating"</w:t>
            </w:r>
            <w:r>
              <w:rPr>
                <w:rFonts w:ascii="Calibri" w:cs="Calibri" w:eastAsia="Calibri" w:hAnsi="Calibri"/>
                <w:b w:val="false"/>
                <w:bCs w:val="false"/>
                <w:i w:val="false"/>
                <w:iCs w:val="false"/>
                <w:strike w:val="false"/>
                <w:color w:val="1A1A1A"/>
                <w:sz w:val="22"/>
                <w:szCs w:val="22"/>
              </w:rPr>
              <w:t xml:space="preserve"> — Sensationalist adjectives that substitute emotion for analysis. Replace with specific factual descriptions of impact.</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"Hackers could bring down the entire internet"</w:t>
            </w:r>
            <w:r>
              <w:rPr>
                <w:rFonts w:ascii="Calibri" w:cs="Calibri" w:eastAsia="Calibri" w:hAnsi="Calibri"/>
                <w:b w:val="false"/>
                <w:bCs w:val="false"/>
                <w:i w:val="false"/>
                <w:iCs w:val="false"/>
                <w:strike w:val="false"/>
                <w:color w:val="1A1A1A"/>
                <w:sz w:val="22"/>
                <w:szCs w:val="22"/>
              </w:rPr>
              <w:t xml:space="preserve"> — Unfounded catastrophism. Scope claims must be precise and sourced.</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Unnamed "dark web"</w:t>
            </w:r>
            <w:r>
              <w:rPr>
                <w:rFonts w:ascii="Calibri" w:cs="Calibri" w:eastAsia="Calibri" w:hAnsi="Calibri"/>
                <w:b w:val="false"/>
                <w:bCs w:val="false"/>
                <w:i w:val="false"/>
                <w:iCs w:val="false"/>
                <w:strike w:val="false"/>
                <w:color w:val="1A1A1A"/>
                <w:sz w:val="22"/>
                <w:szCs w:val="22"/>
              </w:rPr>
              <w:t xml:space="preserve"> references without context — The dark web is an infrastructure, not a horror location. Explain what it is and why it matters.</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"The government/Big Tech is hiding this"</w:t>
            </w:r>
            <w:r>
              <w:rPr>
                <w:rFonts w:ascii="Calibri" w:cs="Calibri" w:eastAsia="Calibri" w:hAnsi="Calibri"/>
                <w:b w:val="false"/>
                <w:bCs w:val="false"/>
                <w:i w:val="false"/>
                <w:iCs w:val="false"/>
                <w:strike w:val="false"/>
                <w:color w:val="1A1A1A"/>
                <w:sz w:val="22"/>
                <w:szCs w:val="22"/>
              </w:rPr>
              <w:t xml:space="preserve"> — Conspiracy framing without evidence. If there is evidence of concealment, report it precisely.</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Glorifying criminal damage</w:t>
            </w:r>
            <w:r>
              <w:rPr>
                <w:rFonts w:ascii="Calibri" w:cs="Calibri" w:eastAsia="Calibri" w:hAnsi="Calibri"/>
                <w:b w:val="false"/>
                <w:bCs w:val="false"/>
                <w:i w:val="false"/>
                <w:iCs w:val="false"/>
                <w:strike w:val="false"/>
                <w:color w:val="1A1A1A"/>
                <w:sz w:val="22"/>
                <w:szCs w:val="22"/>
              </w:rPr>
              <w:t xml:space="preserve"> — Explanatory framing ("here's how it was done, here's why it worked") is never the same as celebratory framing ("sick hack, bro"). The former is journalism; the latter is PR for crime.</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Attributing attacks without sourcing</w:t>
            </w:r>
            <w:r>
              <w:rPr>
                <w:rFonts w:ascii="Calibri" w:cs="Calibri" w:eastAsia="Calibri" w:hAnsi="Calibri"/>
                <w:b w:val="false"/>
                <w:bCs w:val="false"/>
                <w:i w:val="false"/>
                <w:iCs w:val="false"/>
                <w:strike w:val="false"/>
                <w:color w:val="1A1A1A"/>
                <w:sz w:val="22"/>
                <w:szCs w:val="22"/>
              </w:rPr>
              <w:t xml:space="preserve"> — "Russia did this" requires sourcing to vetted threat intelligence. "A threat actor attributed to Russian state interests by [source] did this" is acceptable.</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Victim-blaming framing</w:t>
            </w:r>
            <w:r>
              <w:rPr>
                <w:rFonts w:ascii="Calibri" w:cs="Calibri" w:eastAsia="Calibri" w:hAnsi="Calibri"/>
                <w:b w:val="false"/>
                <w:bCs w:val="false"/>
                <w:i w:val="false"/>
                <w:iCs w:val="false"/>
                <w:strike w:val="false"/>
                <w:color w:val="1A1A1A"/>
                <w:sz w:val="22"/>
                <w:szCs w:val="22"/>
              </w:rPr>
              <w:t xml:space="preserve"> — Organizations and individuals who suffered breaches are not inherently stupid or negligent. Systemic failures are more often the cause.</w:t>
            </w:r>
          </w:p>
        </w:tc>
      </w:tr>
    </w:tbl>
    <w:p>
      <w:pPr>
        <w:spacing w:after="240" w:before="0"/>
      </w:pPr>
    </w:p>
    <w:p>
      <w:pPr>
        <w:pStyle w:val="Heading3"/>
        <w:spacing w:after="80" w:before="280" w:line="384" w:lineRule="auto"/>
      </w:pPr>
      <w:r>
        <w:rPr>
          <w:rFonts w:ascii="Calibri" w:cs="Calibri" w:eastAsia="Calibri" w:hAnsi="Calibri"/>
          <w:color w:val="0D3B4F"/>
          <w:sz w:val="26"/>
          <w:szCs w:val="26"/>
        </w:rPr>
        <w:t xml:space="preserve">Tone Calibration Per Segment Type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4%"/>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Segment</w:t>
            </w:r>
          </w:p>
        </w:tc>
        <w:tc>
          <w:tcPr>
            <w:tcW w:type="pct" w:w="22%"/>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Tone Target</w:t>
            </w:r>
          </w:p>
        </w:tc>
        <w:tc>
          <w:tcPr>
            <w:tcW w:type="pct" w:w="12%"/>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Energy Level</w:t>
            </w:r>
          </w:p>
        </w:tc>
        <w:tc>
          <w:tcPr>
            <w:tcW w:type="pct" w:w="52%"/>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Key Calibration Note</w:t>
            </w:r>
          </w:p>
        </w:tc>
      </w:tr>
      <w:tr>
        <w:trPr>
          <w:tblHeader w:val="false"/>
        </w:trPr>
        <w:tc>
          <w:tcPr>
            <w:tcW w:type="pct" w:w="14%"/>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Cold Open</w:t>
            </w:r>
          </w:p>
        </w:tc>
        <w:tc>
          <w:tcPr>
            <w:tcW w:type="pct" w:w="22%"/>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Cinematic, urgent, slightly ominous</w:t>
            </w:r>
          </w:p>
        </w:tc>
        <w:tc>
          <w:tcPr>
            <w:tcW w:type="pct" w:w="12%"/>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High</w:t>
            </w:r>
          </w:p>
        </w:tc>
        <w:tc>
          <w:tcPr>
            <w:tcW w:type="pct" w:w="52%"/>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Hook before name-dropping. The audience should feel something before they understand anything.</w:t>
            </w:r>
          </w:p>
        </w:tc>
      </w:tr>
      <w:tr>
        <w:trPr>
          <w:tblHeader w:val="false"/>
        </w:trPr>
        <w:tc>
          <w:tcPr>
            <w:tcW w:type="pct" w:w="14%"/>
            <w:shd w:fill="F4F8FB" w:color="auto" w:val="clear"/>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The Setup</w:t>
            </w:r>
          </w:p>
        </w:tc>
        <w:tc>
          <w:tcPr>
            <w:tcW w:type="pct" w:w="22%"/>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Warm, contextual, curious</w:t>
            </w:r>
          </w:p>
        </w:tc>
        <w:tc>
          <w:tcPr>
            <w:tcW w:type="pct" w:w="12%"/>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Medium</w:t>
            </w:r>
          </w:p>
        </w:tc>
        <w:tc>
          <w:tcPr>
            <w:tcW w:type="pct" w:w="52%"/>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This is the "let me tell you a story" moment. Slow down. Establish the world.</w:t>
            </w:r>
          </w:p>
        </w:tc>
      </w:tr>
      <w:tr>
        <w:trPr>
          <w:tblHeader w:val="false"/>
        </w:trPr>
        <w:tc>
          <w:tcPr>
            <w:tcW w:type="pct" w:w="14%"/>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Deep Dive</w:t>
            </w:r>
          </w:p>
        </w:tc>
        <w:tc>
          <w:tcPr>
            <w:tcW w:type="pct" w:w="22%"/>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Precise, methodical, fascinated</w:t>
            </w:r>
          </w:p>
        </w:tc>
        <w:tc>
          <w:tcPr>
            <w:tcW w:type="pct" w:w="12%"/>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Medium-High</w:t>
            </w:r>
          </w:p>
        </w:tc>
        <w:tc>
          <w:tcPr>
            <w:tcW w:type="pct" w:w="52%"/>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The host should sound like someone genuinely delighted by how something works, not like they're reading a report.</w:t>
            </w:r>
          </w:p>
        </w:tc>
      </w:tr>
      <w:tr>
        <w:trPr>
          <w:tblHeader w:val="false"/>
        </w:trPr>
        <w:tc>
          <w:tcPr>
            <w:tcW w:type="pct" w:w="14%"/>
            <w:shd w:fill="F4F8FB" w:color="auto" w:val="clear"/>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Human Layer</w:t>
            </w:r>
          </w:p>
        </w:tc>
        <w:tc>
          <w:tcPr>
            <w:tcW w:type="pct" w:w="22%"/>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Empathetic, curious, non-judgmental</w:t>
            </w:r>
          </w:p>
        </w:tc>
        <w:tc>
          <w:tcPr>
            <w:tcW w:type="pct" w:w="12%"/>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Medium-Low</w:t>
            </w:r>
          </w:p>
        </w:tc>
        <w:tc>
          <w:tcPr>
            <w:tcW w:type="pct" w:w="52%"/>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This is the emotional core. Drop the pace. Let interview audio breathe.</w:t>
            </w:r>
          </w:p>
        </w:tc>
      </w:tr>
      <w:tr>
        <w:trPr>
          <w:tblHeader w:val="false"/>
        </w:trPr>
        <w:tc>
          <w:tcPr>
            <w:tcW w:type="pct" w:w="14%"/>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Countermeasure</w:t>
            </w:r>
          </w:p>
        </w:tc>
        <w:tc>
          <w:tcPr>
            <w:tcW w:type="pct" w:w="22%"/>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Constructive, expert, grounded</w:t>
            </w:r>
          </w:p>
        </w:tc>
        <w:tc>
          <w:tcPr>
            <w:tcW w:type="pct" w:w="12%"/>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Medium</w:t>
            </w:r>
          </w:p>
        </w:tc>
        <w:tc>
          <w:tcPr>
            <w:tcW w:type="pct" w:w="52%"/>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This is not a sales pitch for security products. It's a craft discussion.</w:t>
            </w:r>
          </w:p>
        </w:tc>
      </w:tr>
      <w:tr>
        <w:trPr>
          <w:tblHeader w:val="false"/>
        </w:trPr>
        <w:tc>
          <w:tcPr>
            <w:tcW w:type="pct" w:w="14%"/>
            <w:shd w:fill="F4F8FB" w:color="auto" w:val="clear"/>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Editorial</w:t>
            </w:r>
          </w:p>
        </w:tc>
        <w:tc>
          <w:tcPr>
            <w:tcW w:type="pct" w:w="22%"/>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Personal, considered, provocative</w:t>
            </w:r>
          </w:p>
        </w:tc>
        <w:tc>
          <w:tcPr>
            <w:tcW w:type="pct" w:w="12%"/>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Medium-High</w:t>
            </w:r>
          </w:p>
        </w:tc>
        <w:tc>
          <w:tcPr>
            <w:tcW w:type="pct" w:w="52%"/>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The host takes a clear POV, but the framing must signal "this is my view" not "this is the truth."</w:t>
            </w:r>
          </w:p>
        </w:tc>
      </w:tr>
      <w:tr>
        <w:trPr>
          <w:tblHeader w:val="false"/>
        </w:trPr>
        <w:tc>
          <w:tcPr>
            <w:tcW w:type="pct" w:w="14%"/>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Outro / CTA</w:t>
            </w:r>
          </w:p>
        </w:tc>
        <w:tc>
          <w:tcPr>
            <w:tcW w:type="pct" w:w="22%"/>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Conversational, warm, anticipatory</w:t>
            </w:r>
          </w:p>
        </w:tc>
        <w:tc>
          <w:tcPr>
            <w:tcW w:type="pct" w:w="12%"/>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Medium-Low</w:t>
            </w:r>
          </w:p>
        </w:tc>
        <w:tc>
          <w:tcPr>
            <w:tcW w:type="pct" w:w="52%"/>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No hard sell. Tease, invite, and get out. Leave them wanting the next episode.</w:t>
            </w:r>
          </w:p>
        </w:tc>
      </w:tr>
    </w:tbl>
    <w:p>
      <w:pPr>
        <w:spacing w:after="200" w:before="0"/>
      </w:pPr>
    </w:p>
    <w:p>
      <w:pPr>
        <w:spacing w:after="240" w:line="408" w:lineRule="auto"/>
      </w:pPr>
      <w:r>
        <w:rPr>
          <w:b w:val="false"/>
          <w:bCs w:val="false"/>
          <w:i w:val="false"/>
          <w:iCs w:val="false"/>
          <w:color w:val="007A8A"/>
        </w:rPr>
        <w:t xml:space="preserve">// SECTION 03</w:t>
      </w:r>
    </w:p>
    <w:p>
      <w:pPr>
        <w:pStyle w:val="Heading2"/>
        <w:spacing w:after="100" w:before="440" w:line="384" w:lineRule="auto"/>
      </w:pPr>
      <w:r>
        <w:rPr>
          <w:rFonts w:ascii="Consolas" w:cs="Consolas" w:eastAsia="Consolas" w:hAnsi="Consolas"/>
          <w:color w:val="0D3B4F"/>
          <w:sz w:val="32"/>
          <w:szCs w:val="32"/>
        </w:rPr>
        <w:t xml:space="preserve">EPISODE STRUCTURE</w:t>
      </w:r>
    </w:p>
    <w:p>
      <w:pPr>
        <w:pBdr>
          <w:top w:val="single" w:color="0D3B4F" w:sz="6"/>
        </w:pBdr>
        <w:spacing w:after="200" w:before="0"/>
      </w:pPr>
    </w:p>
    <w:p>
      <w:pPr>
        <w:pStyle w:val="Heading3"/>
        <w:spacing w:after="80" w:before="280" w:line="384" w:lineRule="auto"/>
      </w:pPr>
      <w:r>
        <w:rPr>
          <w:rFonts w:ascii="Calibri" w:cs="Calibri" w:eastAsia="Calibri" w:hAnsi="Calibri"/>
          <w:color w:val="0D3B4F"/>
          <w:sz w:val="26"/>
          <w:szCs w:val="26"/>
        </w:rPr>
        <w:t xml:space="preserve">Standard Episode Blueprint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0D3B4F" w:color="auto" w:val="clear"/>
            <w:tcMar>
              <w:top w:type="dxa" w:w="80"/>
              <w:left w:type="dxa" w:w="200"/>
              <w:bottom w:type="dxa" w:w="80"/>
              <w:right w:type="dxa" w:w="200"/>
            </w:tcMar>
          </w:tcPr>
          <w:p>
            <w:pPr>
              <w:spacing w:after="120" w:line="408" w:lineRule="auto"/>
            </w:pPr>
            <w:r>
              <w:t xml:space="preserve">// COLD OPEN — 0:00 – 2:00</w:t>
            </w:r>
          </w:p>
        </w:tc>
      </w:tr>
    </w:tbl>
    <w:p>
      <w:pPr>
        <w:spacing w:after="240" w:before="0"/>
      </w:pPr>
    </w:p>
    <w:p>
      <w:pPr>
        <w:spacing w:after="240" w:before="60" w:line="384" w:lineRule="auto"/>
      </w:pPr>
      <w:r>
        <w:rPr>
          <w:rFonts w:ascii="Calibri" w:cs="Calibri" w:eastAsia="Calibri" w:hAnsi="Calibri"/>
          <w:b/>
          <w:bCs/>
          <w:i w:val="false"/>
          <w:iCs w:val="false"/>
          <w:strike w:val="false"/>
          <w:color w:val="1A1A1A"/>
          <w:sz w:val="22"/>
          <w:szCs w:val="22"/>
        </w:rPr>
        <w:t xml:space="preserve">Purpose:</w:t>
      </w:r>
      <w:r>
        <w:rPr>
          <w:rFonts w:ascii="Calibri" w:cs="Calibri" w:eastAsia="Calibri" w:hAnsi="Calibri"/>
          <w:b w:val="false"/>
          <w:bCs w:val="false"/>
          <w:i w:val="false"/>
          <w:iCs w:val="false"/>
          <w:strike w:val="false"/>
          <w:color w:val="1A1A1A"/>
          <w:sz w:val="22"/>
          <w:szCs w:val="22"/>
        </w:rPr>
        <w:t xml:space="preserve"> Create an immediate, visceral hook before any context is provided. The audience should be hooked before they know what the episode is about.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Open </w:t>
      </w:r>
      <w:r>
        <w:rPr>
          <w:rFonts w:ascii="Calibri" w:cs="Calibri" w:eastAsia="Calibri" w:hAnsi="Calibri"/>
          <w:b w:val="false"/>
          <w:bCs w:val="false"/>
          <w:i/>
          <w:iCs/>
          <w:strike w:val="false"/>
          <w:color w:val="1A1A1A"/>
          <w:sz w:val="22"/>
          <w:szCs w:val="22"/>
        </w:rPr>
        <w:t xml:space="preserve">in medias res</w:t>
      </w:r>
      <w:r>
        <w:rPr>
          <w:rFonts w:ascii="Calibri" w:cs="Calibri" w:eastAsia="Calibri" w:hAnsi="Calibri"/>
          <w:b w:val="false"/>
          <w:bCs w:val="false"/>
          <w:i w:val="false"/>
          <w:iCs w:val="false"/>
          <w:strike w:val="false"/>
          <w:color w:val="1A1A1A"/>
          <w:sz w:val="22"/>
          <w:szCs w:val="22"/>
        </w:rPr>
        <w:t xml:space="preserve">: a scene from the breach event, a transcript fragment, a single cryptic line of code, a real-world consequence moment.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No music with lyrics. Sound design and silence only in this segment.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Host does not appear on camera (or speaks only in voiceover) until the very end of the cold open.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Ends with a question, a paradox, or a line that demands the episode answer it.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Maximum 120 seconds. Under 90 preferred.</w:t>
      </w:r>
    </w:p>
    <w:p>
      <w:pPr>
        <w:spacing w:after="240" w:before="60" w:line="384" w:lineRule="auto"/>
      </w:pPr>
      <w:r>
        <w:rPr>
          <w:rFonts w:ascii="Calibri" w:cs="Calibri" w:eastAsia="Calibri" w:hAnsi="Calibri"/>
          <w:b/>
          <w:bCs/>
          <w:i w:val="false"/>
          <w:iCs w:val="false"/>
          <w:strike w:val="false"/>
          <w:color w:val="1A1A1A"/>
          <w:sz w:val="22"/>
          <w:szCs w:val="22"/>
        </w:rPr>
        <w:t xml:space="preserve">Example structure:</w:t>
      </w:r>
      <w:r>
        <w:rPr>
          <w:rFonts w:ascii="Calibri" w:cs="Calibri" w:eastAsia="Calibri" w:hAnsi="Calibri"/>
          <w:b w:val="false"/>
          <w:bCs w:val="false"/>
          <w:i w:val="false"/>
          <w:iCs w:val="false"/>
          <w:strike w:val="false"/>
          <w:color w:val="1A1A1A"/>
          <w:sz w:val="22"/>
          <w:szCs w:val="22"/>
        </w:rPr>
        <w:t xml:space="preserve"> [30 sec — re-enactment audio/visual] → [45 sec — voiceover narration, no names yet] → [15 sec — host on camera, one sentence hook] → [TITLE CARD + THEME]</w:t>
      </w:r>
    </w:p>
    <w:p>
      <w:pPr>
        <w:pBdr>
          <w:bottom w:val="single" w:color="0D3B4F"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0D3B4F" w:color="auto" w:val="clear"/>
            <w:tcMar>
              <w:top w:type="dxa" w:w="80"/>
              <w:left w:type="dxa" w:w="200"/>
              <w:bottom w:type="dxa" w:w="80"/>
              <w:right w:type="dxa" w:w="200"/>
            </w:tcMar>
          </w:tcPr>
          <w:p>
            <w:pPr>
              <w:spacing w:after="120" w:line="408" w:lineRule="auto"/>
            </w:pPr>
            <w:r>
              <w:t xml:space="preserve">// THE SETUP — 2:00 – 8:00</w:t>
            </w:r>
          </w:p>
        </w:tc>
      </w:tr>
    </w:tbl>
    <w:p>
      <w:pPr>
        <w:spacing w:after="240" w:before="0"/>
      </w:pPr>
    </w:p>
    <w:p>
      <w:pPr>
        <w:spacing w:after="240" w:before="60" w:line="384" w:lineRule="auto"/>
      </w:pPr>
      <w:r>
        <w:rPr>
          <w:rFonts w:ascii="Calibri" w:cs="Calibri" w:eastAsia="Calibri" w:hAnsi="Calibri"/>
          <w:b/>
          <w:bCs/>
          <w:i w:val="false"/>
          <w:iCs w:val="false"/>
          <w:strike w:val="false"/>
          <w:color w:val="1A1A1A"/>
          <w:sz w:val="22"/>
          <w:szCs w:val="22"/>
        </w:rPr>
        <w:t xml:space="preserve">Purpose:</w:t>
      </w:r>
      <w:r>
        <w:rPr>
          <w:rFonts w:ascii="Calibri" w:cs="Calibri" w:eastAsia="Calibri" w:hAnsi="Calibri"/>
          <w:b w:val="false"/>
          <w:bCs w:val="false"/>
          <w:i w:val="false"/>
          <w:iCs w:val="false"/>
          <w:strike w:val="false"/>
          <w:color w:val="1A1A1A"/>
          <w:sz w:val="22"/>
          <w:szCs w:val="22"/>
        </w:rPr>
        <w:t xml:space="preserve"> Establish the who, where, when, and what before any technical content. This is the world-building segment.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Host on camera, sitting or standing — not pacing. Grounded presence.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Introduce the primary subject entity (company, agency, individual) and their context.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Establish the time period and technological environment of the breach/event.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Introduce any guest expert(s) with brief narrative integration (not a title card introduction).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First use of all major jargon terms — defined immediately (Tier 1 depth).</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Ends with the "inciting incident" — the moment everything went wrong.</w:t>
      </w:r>
    </w:p>
    <w:p>
      <w:pPr>
        <w:pBdr>
          <w:bottom w:val="single" w:color="0D3B4F"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0D3B4F" w:color="auto" w:val="clear"/>
            <w:tcMar>
              <w:top w:type="dxa" w:w="80"/>
              <w:left w:type="dxa" w:w="200"/>
              <w:bottom w:type="dxa" w:w="80"/>
              <w:right w:type="dxa" w:w="200"/>
            </w:tcMar>
          </w:tcPr>
          <w:p>
            <w:pPr>
              <w:spacing w:after="120" w:line="408" w:lineRule="auto"/>
            </w:pPr>
            <w:r>
              <w:t xml:space="preserve">// THE DEEP DIVE — 8:00 – 22:00</w:t>
            </w:r>
          </w:p>
        </w:tc>
      </w:tr>
    </w:tbl>
    <w:p>
      <w:pPr>
        <w:spacing w:after="240" w:before="0"/>
      </w:pPr>
    </w:p>
    <w:p>
      <w:pPr>
        <w:spacing w:after="240" w:before="60" w:line="384" w:lineRule="auto"/>
      </w:pPr>
      <w:r>
        <w:rPr>
          <w:rFonts w:ascii="Calibri" w:cs="Calibri" w:eastAsia="Calibri" w:hAnsi="Calibri"/>
          <w:b/>
          <w:bCs/>
          <w:i w:val="false"/>
          <w:iCs w:val="false"/>
          <w:strike w:val="false"/>
          <w:color w:val="1A1A1A"/>
          <w:sz w:val="22"/>
          <w:szCs w:val="22"/>
        </w:rPr>
        <w:t xml:space="preserve">Purpose:</w:t>
      </w:r>
      <w:r>
        <w:rPr>
          <w:rFonts w:ascii="Calibri" w:cs="Calibri" w:eastAsia="Calibri" w:hAnsi="Calibri"/>
          <w:b w:val="false"/>
          <w:bCs w:val="false"/>
          <w:i w:val="false"/>
          <w:iCs w:val="false"/>
          <w:strike w:val="false"/>
          <w:color w:val="1A1A1A"/>
          <w:sz w:val="22"/>
          <w:szCs w:val="22"/>
        </w:rPr>
        <w:t xml:space="preserve"> The technical core of the episode. Chronological reconstruction of the attack vector, exploit chain, propagation, and detection.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Escalates from Tier 1 to Tier 2 (and occasionally Tier 3 for secondary audience segments).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B-roll of screen recordings, animated diagrams, code snippets required throughout.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Guest expert audio woven in as </w:t>
      </w:r>
      <w:r>
        <w:rPr>
          <w:rFonts w:ascii="Calibri" w:cs="Calibri" w:eastAsia="Calibri" w:hAnsi="Calibri"/>
          <w:b w:val="false"/>
          <w:bCs w:val="false"/>
          <w:i/>
          <w:iCs/>
          <w:strike w:val="false"/>
          <w:color w:val="1A1A1A"/>
          <w:sz w:val="22"/>
          <w:szCs w:val="22"/>
        </w:rPr>
        <w:t xml:space="preserve">narrators</w:t>
      </w:r>
      <w:r>
        <w:rPr>
          <w:rFonts w:ascii="Calibri" w:cs="Calibri" w:eastAsia="Calibri" w:hAnsi="Calibri"/>
          <w:b w:val="false"/>
          <w:bCs w:val="false"/>
          <w:i w:val="false"/>
          <w:iCs w:val="false"/>
          <w:strike w:val="false"/>
          <w:color w:val="1A1A1A"/>
          <w:sz w:val="22"/>
          <w:szCs w:val="22"/>
        </w:rPr>
        <w:t xml:space="preserve">, not talking heads — their words should feel like part of the story.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Structured in clear sub-acts: </w:t>
      </w:r>
      <w:r>
        <w:rPr>
          <w:rFonts w:ascii="Calibri" w:cs="Calibri" w:eastAsia="Calibri" w:hAnsi="Calibri"/>
          <w:b w:val="false"/>
          <w:bCs w:val="false"/>
          <w:i/>
          <w:iCs/>
          <w:strike w:val="false"/>
          <w:color w:val="1A1A1A"/>
          <w:sz w:val="22"/>
          <w:szCs w:val="22"/>
        </w:rPr>
        <w:t xml:space="preserve">Initial Access → Lateral Movement → Exfiltration/Impact</w:t>
      </w:r>
      <w:r>
        <w:rPr>
          <w:rFonts w:ascii="Calibri" w:cs="Calibri" w:eastAsia="Calibri" w:hAnsi="Calibri"/>
          <w:b w:val="false"/>
          <w:bCs w:val="false"/>
          <w:i w:val="false"/>
          <w:iCs w:val="false"/>
          <w:strike w:val="false"/>
          <w:color w:val="1A1A1A"/>
          <w:sz w:val="22"/>
          <w:szCs w:val="22"/>
        </w:rPr>
        <w:t xml:space="preserve"> (or equivalent).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All technical claims verified and sourced before production.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Minimum 1 on-screen code or tool visualization per major phase.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47A00" w:sz="24"/>
              <w:bottom w:val="nil" w:color="FFFFFF" w:sz="0"/>
              <w:right w:val="nil" w:color="FFFFFF" w:sz="0"/>
            </w:tcBorders>
            <w:shd w:fill="FFF8E6" w:color="auto" w:val="clear"/>
            <w:tcMar>
              <w:top w:type="dxa" w:w="200"/>
              <w:left w:type="dxa" w:w="280"/>
              <w:bottom w:type="dxa" w:w="200"/>
              <w:right w:type="dxa" w:w="280"/>
            </w:tcMar>
          </w:tcPr>
          <w:p>
            <w:pPr>
              <w:spacing w:after="120" w:line="408" w:lineRule="auto"/>
            </w:pPr>
            <w:r>
              <w:rPr>
                <w:b/>
                <w:bCs/>
                <w:i w:val="false"/>
                <w:iCs w:val="false"/>
                <w:color w:val="C47A00"/>
              </w:rPr>
              <w:t xml:space="preserve">// EDITOR'S NOTE</w:t>
            </w:r>
          </w:p>
          <w:p>
            <w:pPr>
              <w:spacing w:after="140" w:line="384" w:lineRule="auto"/>
            </w:pPr>
            <w:r>
              <w:rPr>
                <w:rFonts w:ascii="Calibri" w:cs="Calibri" w:eastAsia="Calibri" w:hAnsi="Calibri"/>
                <w:b w:val="false"/>
                <w:bCs w:val="false"/>
                <w:i w:val="false"/>
                <w:iCs w:val="false"/>
                <w:strike w:val="false"/>
                <w:color w:val="1A1A1A"/>
                <w:sz w:val="22"/>
                <w:szCs w:val="22"/>
              </w:rPr>
              <w:t xml:space="preserve">This is the longest segment. Pacing is critical. Use chapter-style chapter transitions (text-on-screen beat, brief musical sting) every 3–4 minutes to signal phase shifts and prevent attention drop-off.</w:t>
            </w:r>
          </w:p>
        </w:tc>
      </w:tr>
    </w:tbl>
    <w:p>
      <w:pPr>
        <w:spacing w:after="240" w:before="0"/>
      </w:pPr>
    </w:p>
    <w:p>
      <w:pPr>
        <w:pBdr>
          <w:bottom w:val="single" w:color="0D3B4F"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0D3B4F" w:color="auto" w:val="clear"/>
            <w:tcMar>
              <w:top w:type="dxa" w:w="80"/>
              <w:left w:type="dxa" w:w="200"/>
              <w:bottom w:type="dxa" w:w="80"/>
              <w:right w:type="dxa" w:w="200"/>
            </w:tcMar>
          </w:tcPr>
          <w:p>
            <w:pPr>
              <w:spacing w:after="120" w:line="408" w:lineRule="auto"/>
            </w:pPr>
            <w:r>
              <w:t xml:space="preserve">// THE HUMAN LAYER — 22:00 – 30:00</w:t>
            </w:r>
          </w:p>
        </w:tc>
      </w:tr>
    </w:tbl>
    <w:p>
      <w:pPr>
        <w:spacing w:after="240" w:before="0"/>
      </w:pPr>
    </w:p>
    <w:p>
      <w:pPr>
        <w:spacing w:after="240" w:before="60" w:line="384" w:lineRule="auto"/>
      </w:pPr>
      <w:r>
        <w:rPr>
          <w:rFonts w:ascii="Calibri" w:cs="Calibri" w:eastAsia="Calibri" w:hAnsi="Calibri"/>
          <w:b/>
          <w:bCs/>
          <w:i w:val="false"/>
          <w:iCs w:val="false"/>
          <w:strike w:val="false"/>
          <w:color w:val="1A1A1A"/>
          <w:sz w:val="22"/>
          <w:szCs w:val="22"/>
        </w:rPr>
        <w:t xml:space="preserve">Purpose:</w:t>
      </w:r>
      <w:r>
        <w:rPr>
          <w:rFonts w:ascii="Calibri" w:cs="Calibri" w:eastAsia="Calibri" w:hAnsi="Calibri"/>
          <w:b w:val="false"/>
          <w:bCs w:val="false"/>
          <w:i w:val="false"/>
          <w:iCs w:val="false"/>
          <w:strike w:val="false"/>
          <w:color w:val="1A1A1A"/>
          <w:sz w:val="22"/>
          <w:szCs w:val="22"/>
        </w:rPr>
        <w:t xml:space="preserve"> Shift from technical reconstruction to human consequence — the motivations of threat actors, the experience of victims, the culture and subculture context.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Primary use of interview audio/video from actual subjects (where available) or carefully sourced court documents, chat logs, and public statements.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Threat actors are presented with complexity — their motivations, backgrounds, and the subcultures that produced them.</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Victim experience is represented with empathy and specificity — not as abstract data points.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This segment is the emotional center of the episode. Editing rhythm slows noticeably.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Host narration in this segment is warm and restrained — less analytical, more present.</w:t>
      </w:r>
    </w:p>
    <w:p>
      <w:pPr>
        <w:pBdr>
          <w:bottom w:val="single" w:color="0D3B4F"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0D3B4F" w:color="auto" w:val="clear"/>
            <w:tcMar>
              <w:top w:type="dxa" w:w="80"/>
              <w:left w:type="dxa" w:w="200"/>
              <w:bottom w:type="dxa" w:w="80"/>
              <w:right w:type="dxa" w:w="200"/>
            </w:tcMar>
          </w:tcPr>
          <w:p>
            <w:pPr>
              <w:spacing w:after="120" w:line="408" w:lineRule="auto"/>
            </w:pPr>
            <w:r>
              <w:t xml:space="preserve">// THE COUNTERMEASURE — 30:00 – 38:00</w:t>
            </w:r>
          </w:p>
        </w:tc>
      </w:tr>
    </w:tbl>
    <w:p>
      <w:pPr>
        <w:spacing w:after="240" w:before="0"/>
      </w:pPr>
    </w:p>
    <w:p>
      <w:pPr>
        <w:spacing w:after="240" w:before="60" w:line="384" w:lineRule="auto"/>
      </w:pPr>
      <w:r>
        <w:rPr>
          <w:rFonts w:ascii="Calibri" w:cs="Calibri" w:eastAsia="Calibri" w:hAnsi="Calibri"/>
          <w:b/>
          <w:bCs/>
          <w:i w:val="false"/>
          <w:iCs w:val="false"/>
          <w:strike w:val="false"/>
          <w:color w:val="1A1A1A"/>
          <w:sz w:val="22"/>
          <w:szCs w:val="22"/>
        </w:rPr>
        <w:t xml:space="preserve">Purpose:</w:t>
      </w:r>
      <w:r>
        <w:rPr>
          <w:rFonts w:ascii="Calibri" w:cs="Calibri" w:eastAsia="Calibri" w:hAnsi="Calibri"/>
          <w:b w:val="false"/>
          <w:bCs w:val="false"/>
          <w:i w:val="false"/>
          <w:iCs w:val="false"/>
          <w:strike w:val="false"/>
          <w:color w:val="1A1A1A"/>
          <w:sz w:val="22"/>
          <w:szCs w:val="22"/>
        </w:rPr>
        <w:t xml:space="preserve"> The defensive perspective — how the breach could have been prevented, how it was ultimately detected/contained, and what lessons the security community took from it.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Guest expert (defender side) takes a larger role in this segment.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Covers: patch/vulnerability lifecycle, detection gaps, incident response, post-breach remediation.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Introduces ethical hacking or red team context where relevant.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Avoids product placement framing — no sponsored security tools mentioned by name without disclosure.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Ends with a clear "lesson statement" — one or two sentences the entire episode has been building toward.</w:t>
      </w:r>
    </w:p>
    <w:p>
      <w:pPr>
        <w:pBdr>
          <w:bottom w:val="single" w:color="0D3B4F"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0D3B4F" w:color="auto" w:val="clear"/>
            <w:tcMar>
              <w:top w:type="dxa" w:w="80"/>
              <w:left w:type="dxa" w:w="200"/>
              <w:bottom w:type="dxa" w:w="80"/>
              <w:right w:type="dxa" w:w="200"/>
            </w:tcMar>
          </w:tcPr>
          <w:p>
            <w:pPr>
              <w:spacing w:after="120" w:line="408" w:lineRule="auto"/>
            </w:pPr>
            <w:r>
              <w:t xml:space="preserve">// THE EDITORIAL — 38:00 – 42:00</w:t>
            </w:r>
          </w:p>
        </w:tc>
      </w:tr>
    </w:tbl>
    <w:p>
      <w:pPr>
        <w:spacing w:after="240" w:before="0"/>
      </w:pPr>
    </w:p>
    <w:p>
      <w:pPr>
        <w:spacing w:after="240" w:before="60" w:line="384" w:lineRule="auto"/>
      </w:pPr>
      <w:r>
        <w:rPr>
          <w:rFonts w:ascii="Calibri" w:cs="Calibri" w:eastAsia="Calibri" w:hAnsi="Calibri"/>
          <w:b/>
          <w:bCs/>
          <w:i w:val="false"/>
          <w:iCs w:val="false"/>
          <w:strike w:val="false"/>
          <w:color w:val="1A1A1A"/>
          <w:sz w:val="22"/>
          <w:szCs w:val="22"/>
        </w:rPr>
        <w:t xml:space="preserve">Purpose:</w:t>
      </w:r>
      <w:r>
        <w:rPr>
          <w:rFonts w:ascii="Calibri" w:cs="Calibri" w:eastAsia="Calibri" w:hAnsi="Calibri"/>
          <w:b w:val="false"/>
          <w:bCs w:val="false"/>
          <w:i w:val="false"/>
          <w:iCs w:val="false"/>
          <w:strike w:val="false"/>
          <w:color w:val="1A1A1A"/>
          <w:sz w:val="22"/>
          <w:szCs w:val="22"/>
        </w:rPr>
        <w:t xml:space="preserve"> The host's personal analysis and the broader implications of this episode's events for the digital world at large.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Host on camera, direct address to audience. No cuts to other voices in this segment.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Clearly framed as the host's view: "Here's what I think this means..." not "Here's what this means."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Connects to the season arc — this episode's story as one chapter in a larger narrative.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May pose open questions without answering them (by design).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Plants at least one seed for the next episode or season arc development.</w:t>
      </w:r>
    </w:p>
    <w:p>
      <w:pPr>
        <w:pBdr>
          <w:bottom w:val="single" w:color="0D3B4F"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0D3B4F" w:color="auto" w:val="clear"/>
            <w:tcMar>
              <w:top w:type="dxa" w:w="80"/>
              <w:left w:type="dxa" w:w="200"/>
              <w:bottom w:type="dxa" w:w="80"/>
              <w:right w:type="dxa" w:w="200"/>
            </w:tcMar>
          </w:tcPr>
          <w:p>
            <w:pPr>
              <w:spacing w:after="120" w:line="408" w:lineRule="auto"/>
            </w:pPr>
            <w:r>
              <w:t xml:space="preserve">// OUTRO / CTA — 42:00 – 45:00</w:t>
            </w:r>
          </w:p>
        </w:tc>
      </w:tr>
    </w:tbl>
    <w:p>
      <w:pPr>
        <w:spacing w:after="240" w:before="0"/>
      </w:pPr>
    </w:p>
    <w:p>
      <w:pPr>
        <w:spacing w:after="240" w:before="60" w:line="384" w:lineRule="auto"/>
      </w:pPr>
      <w:r>
        <w:rPr>
          <w:rFonts w:ascii="Calibri" w:cs="Calibri" w:eastAsia="Calibri" w:hAnsi="Calibri"/>
          <w:b/>
          <w:bCs/>
          <w:i w:val="false"/>
          <w:iCs w:val="false"/>
          <w:strike w:val="false"/>
          <w:color w:val="1A1A1A"/>
          <w:sz w:val="22"/>
          <w:szCs w:val="22"/>
        </w:rPr>
        <w:t xml:space="preserve">Purpose:</w:t>
      </w:r>
      <w:r>
        <w:rPr>
          <w:rFonts w:ascii="Calibri" w:cs="Calibri" w:eastAsia="Calibri" w:hAnsi="Calibri"/>
          <w:b w:val="false"/>
          <w:bCs w:val="false"/>
          <w:i w:val="false"/>
          <w:iCs w:val="false"/>
          <w:strike w:val="false"/>
          <w:color w:val="1A1A1A"/>
          <w:sz w:val="22"/>
          <w:szCs w:val="22"/>
        </w:rPr>
        <w:t xml:space="preserve"> Close the episode, build community, and create forward momentum.</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Episode recap in 2–3 sentences max (for podcast listeners who need re-anchoring).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Resources mentioned (links provided in show notes / description — not read aloud).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Community question or discussion prompt for Discord/comments.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Next episode tease: 20–30 seconds — curious, not spoiler-heavy.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Consistent sign-off phrase (TBD by host in production — must feel authentic, not scripted).</w:t>
      </w:r>
    </w:p>
    <w:p>
      <w:pPr>
        <w:pBdr>
          <w:bottom w:val="single" w:color="0D3B4F" w:sz="6"/>
        </w:pBdr>
        <w:spacing w:after="240" w:before="240"/>
      </w:pPr>
    </w:p>
    <w:p>
      <w:pPr>
        <w:pStyle w:val="Heading3"/>
        <w:spacing w:after="80" w:before="280" w:line="384" w:lineRule="auto"/>
      </w:pPr>
      <w:r>
        <w:rPr>
          <w:rFonts w:ascii="Calibri" w:cs="Calibri" w:eastAsia="Calibri" w:hAnsi="Calibri"/>
          <w:color w:val="0D3B4F"/>
          <w:sz w:val="26"/>
          <w:szCs w:val="26"/>
        </w:rPr>
        <w:t xml:space="preserve">Special Episode Formats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1%"/>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Format</w:t>
            </w:r>
          </w:p>
        </w:tc>
        <w:tc>
          <w:tcPr>
            <w:tcW w:type="pct" w:w="47%"/>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Structure</w:t>
            </w:r>
          </w:p>
        </w:tc>
        <w:tc>
          <w:tcPr>
            <w:tcW w:type="pct" w:w="10%"/>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Duration</w:t>
            </w:r>
          </w:p>
        </w:tc>
        <w:tc>
          <w:tcPr>
            <w:tcW w:type="pct" w:w="32%"/>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When to Deploy</w:t>
            </w:r>
          </w:p>
        </w:tc>
      </w:tr>
      <w:tr>
        <w:trPr>
          <w:tblHeader w:val="false"/>
        </w:trPr>
        <w:tc>
          <w:tcPr>
            <w:tcW w:type="pct" w:w="11%"/>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Deep Dive Solo</w:t>
            </w:r>
          </w:p>
        </w:tc>
        <w:tc>
          <w:tcPr>
            <w:tcW w:type="pct" w:w="47%"/>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Host only. No guests. Extended Deep Dive segment (up to 28 min). Removes Human Layer and Countermeasure as standalone segments — integrates both into the narrative. Requires stronger scripting.</w:t>
            </w:r>
          </w:p>
        </w:tc>
        <w:tc>
          <w:tcPr>
            <w:tcW w:type="pct" w:w="10%"/>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40–45 min</w:t>
            </w:r>
          </w:p>
        </w:tc>
        <w:tc>
          <w:tcPr>
            <w:tcW w:type="pct" w:w="32%"/>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For well-documented historical events where interview sourcing is impractical. Best for technical elegance stories.</w:t>
            </w:r>
          </w:p>
        </w:tc>
      </w:tr>
      <w:tr>
        <w:trPr>
          <w:tblHeader w:val="false"/>
        </w:trPr>
        <w:tc>
          <w:tcPr>
            <w:tcW w:type="pct" w:w="11%"/>
            <w:shd w:fill="F4F8FB" w:color="auto" w:val="clear"/>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Panel Debate</w:t>
            </w:r>
          </w:p>
        </w:tc>
        <w:tc>
          <w:tcPr>
            <w:tcW w:type="pct" w:w="47%"/>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Host + 2–3 expert guests. Structured debate format around a contested ethical or technical question. Setup and Editorial are retained; Deep Dive is replaced with moderated discussion.</w:t>
            </w:r>
          </w:p>
        </w:tc>
        <w:tc>
          <w:tcPr>
            <w:tcW w:type="pct" w:w="10%"/>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45–50 min</w:t>
            </w:r>
          </w:p>
        </w:tc>
        <w:tc>
          <w:tcPr>
            <w:tcW w:type="pct" w:w="32%"/>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Once per season. Topics: responsible disclosure, offensive security ethics, AI-assisted hacking.</w:t>
            </w:r>
          </w:p>
        </w:tc>
      </w:tr>
      <w:tr>
        <w:trPr>
          <w:tblHeader w:val="false"/>
        </w:trPr>
        <w:tc>
          <w:tcPr>
            <w:tcW w:type="pct" w:w="11%"/>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Live CTF Coverage</w:t>
            </w:r>
          </w:p>
        </w:tc>
        <w:tc>
          <w:tcPr>
            <w:tcW w:type="pct" w:w="47%"/>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Real-time or near-real-time coverage of a CTF (Capture the Flag) competition. Play-by-play commentary on challenges. Post-event walkthrough of key solutions.</w:t>
            </w:r>
          </w:p>
        </w:tc>
        <w:tc>
          <w:tcPr>
            <w:tcW w:type="pct" w:w="10%"/>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60–90 min</w:t>
            </w:r>
          </w:p>
        </w:tc>
        <w:tc>
          <w:tcPr>
            <w:tcW w:type="pct" w:w="32%"/>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Once per season. Airs live or within 24 hrs of event. High community engagement format.</w:t>
            </w:r>
          </w:p>
        </w:tc>
      </w:tr>
      <w:tr>
        <w:trPr>
          <w:tblHeader w:val="false"/>
        </w:trPr>
        <w:tc>
          <w:tcPr>
            <w:tcW w:type="pct" w:w="11%"/>
            <w:shd w:fill="F4F8FB" w:color="auto" w:val="clear"/>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Field Report</w:t>
            </w:r>
          </w:p>
        </w:tc>
        <w:tc>
          <w:tcPr>
            <w:tcW w:type="pct" w:w="47%"/>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Host reporting from a location — a conference (DEF CON, Black Hat), a data center, a courthouse. On-location B-roll heavy. Interview-forward. Reduced scripting.</w:t>
            </w:r>
          </w:p>
        </w:tc>
        <w:tc>
          <w:tcPr>
            <w:tcW w:type="pct" w:w="10%"/>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35–45 min</w:t>
            </w:r>
          </w:p>
        </w:tc>
        <w:tc>
          <w:tcPr>
            <w:tcW w:type="pct" w:w="32%"/>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When on-location access is available and adds genuine narrative value.</w:t>
            </w:r>
          </w:p>
        </w:tc>
      </w:tr>
    </w:tbl>
    <w:p>
      <w:pPr>
        <w:spacing w:after="200" w:before="0"/>
      </w:pPr>
    </w:p>
    <w:p>
      <w:pPr>
        <w:pStyle w:val="Heading3"/>
        <w:spacing w:after="80" w:before="280" w:line="384" w:lineRule="auto"/>
      </w:pPr>
      <w:r>
        <w:rPr>
          <w:rFonts w:ascii="Calibri" w:cs="Calibri" w:eastAsia="Calibri" w:hAnsi="Calibri"/>
          <w:color w:val="0D3B4F"/>
          <w:sz w:val="26"/>
          <w:szCs w:val="26"/>
        </w:rPr>
        <w:t xml:space="preserve">Episode Naming Convention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7A8A" w:sz="24"/>
              <w:bottom w:val="nil" w:color="FFFFFF" w:sz="0"/>
              <w:right w:val="nil" w:color="FFFFFF" w:sz="0"/>
            </w:tcBorders>
            <w:shd w:fill="E8F4F8" w:color="auto" w:val="clear"/>
            <w:tcMar>
              <w:top w:type="dxa" w:w="200"/>
              <w:left w:type="dxa" w:w="280"/>
              <w:bottom w:type="dxa" w:w="200"/>
              <w:right w:type="dxa" w:w="280"/>
            </w:tcMar>
          </w:tcPr>
          <w:p>
            <w:pPr>
              <w:spacing w:after="120" w:line="408" w:lineRule="auto"/>
            </w:pPr>
            <w:r>
              <w:rPr>
                <w:b/>
                <w:bCs/>
                <w:i w:val="false"/>
                <w:iCs w:val="false"/>
                <w:color w:val="007A8A"/>
              </w:rPr>
              <w:t xml:space="preserve">// NAMING FORMAT</w:t>
            </w:r>
          </w:p>
          <w:p>
            <w:pPr>
              <w:spacing w:after="140" w:line="384" w:lineRule="auto"/>
            </w:pPr>
            <w:r>
              <w:rPr>
                <w:rFonts w:ascii="Consolas" w:cs="Consolas" w:eastAsia="Consolas" w:hAnsi="Consolas"/>
                <w:b w:val="false"/>
                <w:bCs w:val="false"/>
                <w:i w:val="false"/>
                <w:iCs w:val="false"/>
                <w:strike w:val="false"/>
                <w:color w:val="1A1A1A"/>
                <w:sz w:val="20"/>
                <w:szCs w:val="20"/>
                <w:shd w:fill="F0F0F0" w:color="auto" w:val="clear"/>
              </w:rPr>
              <w:t xml:space="preserve">[CODICON-S01E##] — Episode Title in Title Case</w:t>
            </w:r>
          </w:p>
          <w:p>
            <w:pPr>
              <w:spacing w:after="140" w:line="384" w:lineRule="auto"/>
            </w:pPr>
            <w:r>
              <w:rPr>
                <w:rFonts w:ascii="Calibri" w:cs="Calibri" w:eastAsia="Calibri" w:hAnsi="Calibri"/>
                <w:b/>
                <w:bCs/>
                <w:i w:val="false"/>
                <w:iCs w:val="false"/>
                <w:strike w:val="false"/>
                <w:color w:val="1A1A1A"/>
                <w:sz w:val="22"/>
                <w:szCs w:val="22"/>
              </w:rPr>
              <w:t xml:space="preserve">Examples:</w:t>
            </w:r>
          </w:p>
          <w:p>
            <w:pPr>
              <w:spacing w:after="100" w:line="408" w:lineRule="auto"/>
              <w:ind w:left="240"/>
            </w:pPr>
            <w:r>
              <w:t xml:space="preserve">•  </w:t>
            </w:r>
            <w:r>
              <w:rPr>
                <w:rFonts w:ascii="Consolas" w:cs="Consolas" w:eastAsia="Consolas" w:hAnsi="Consolas"/>
                <w:b w:val="false"/>
                <w:bCs w:val="false"/>
                <w:i w:val="false"/>
                <w:iCs w:val="false"/>
                <w:strike w:val="false"/>
                <w:color w:val="1A1A1A"/>
                <w:sz w:val="20"/>
                <w:szCs w:val="20"/>
                <w:shd w:fill="F0F0F0" w:color="auto" w:val="clear"/>
              </w:rPr>
              <w:t xml:space="preserve">CODICON-S01E01 — Zero Day</w:t>
            </w:r>
          </w:p>
          <w:p>
            <w:pPr>
              <w:spacing w:after="100" w:line="408" w:lineRule="auto"/>
              <w:ind w:left="240"/>
            </w:pPr>
            <w:r>
              <w:t xml:space="preserve">•  </w:t>
            </w:r>
            <w:r>
              <w:rPr>
                <w:rFonts w:ascii="Consolas" w:cs="Consolas" w:eastAsia="Consolas" w:hAnsi="Consolas"/>
                <w:b w:val="false"/>
                <w:bCs w:val="false"/>
                <w:i w:val="false"/>
                <w:iCs w:val="false"/>
                <w:strike w:val="false"/>
                <w:color w:val="1A1A1A"/>
                <w:sz w:val="20"/>
                <w:szCs w:val="20"/>
                <w:shd w:fill="F0F0F0" w:color="auto" w:val="clear"/>
              </w:rPr>
              <w:t xml:space="preserve">CODICON-S01E07 — The Ransomware Winter</w:t>
            </w:r>
          </w:p>
          <w:p>
            <w:pPr>
              <w:spacing w:after="100" w:line="408" w:lineRule="auto"/>
              <w:ind w:left="240"/>
            </w:pPr>
            <w:r>
              <w:t xml:space="preserve">•  </w:t>
            </w:r>
            <w:r>
              <w:rPr>
                <w:rFonts w:ascii="Consolas" w:cs="Consolas" w:eastAsia="Consolas" w:hAnsi="Consolas"/>
                <w:b w:val="false"/>
                <w:bCs w:val="false"/>
                <w:i w:val="false"/>
                <w:iCs w:val="false"/>
                <w:strike w:val="false"/>
                <w:color w:val="1A1A1A"/>
                <w:sz w:val="20"/>
                <w:szCs w:val="20"/>
                <w:shd w:fill="F0F0F0" w:color="auto" w:val="clear"/>
              </w:rPr>
              <w:t xml:space="preserve">CODICON-S01E12 — Ghost in the Supply Chain</w:t>
            </w:r>
          </w:p>
          <w:p>
            <w:pPr>
              <w:spacing w:after="100" w:line="408" w:lineRule="auto"/>
              <w:ind w:left="240"/>
            </w:pPr>
            <w:r>
              <w:t xml:space="preserve">•  </w:t>
            </w:r>
            <w:r>
              <w:rPr>
                <w:rFonts w:ascii="Consolas" w:cs="Consolas" w:eastAsia="Consolas" w:hAnsi="Consolas"/>
                <w:b w:val="false"/>
                <w:bCs w:val="false"/>
                <w:i w:val="false"/>
                <w:iCs w:val="false"/>
                <w:strike w:val="false"/>
                <w:color w:val="1A1A1A"/>
                <w:sz w:val="20"/>
                <w:szCs w:val="20"/>
                <w:shd w:fill="F0F0F0" w:color="auto" w:val="clear"/>
              </w:rPr>
              <w:t xml:space="preserve">CODICON-S01E13 — FINAL: The Next Attacker</w:t>
            </w:r>
            <w:r>
              <w:rPr>
                <w:rFonts w:ascii="Calibri" w:cs="Calibri" w:eastAsia="Calibri" w:hAnsi="Calibri"/>
                <w:b w:val="false"/>
                <w:bCs w:val="false"/>
                <w:i w:val="false"/>
                <w:iCs w:val="false"/>
                <w:strike w:val="false"/>
                <w:color w:val="1A1A1A"/>
                <w:sz w:val="22"/>
                <w:szCs w:val="22"/>
              </w:rPr>
              <w:t xml:space="preserve"> (Season Finale)</w:t>
            </w:r>
          </w:p>
          <w:p>
            <w:pPr>
              <w:spacing w:after="140" w:line="384" w:lineRule="auto"/>
            </w:pPr>
            <w:r>
              <w:rPr>
                <w:rFonts w:ascii="Calibri" w:cs="Calibri" w:eastAsia="Calibri" w:hAnsi="Calibri"/>
                <w:b w:val="false"/>
                <w:bCs w:val="false"/>
                <w:i w:val="false"/>
                <w:iCs w:val="false"/>
                <w:strike w:val="false"/>
                <w:color w:val="555555"/>
                <w:sz w:val="22"/>
                <w:szCs w:val="22"/>
              </w:rPr>
              <w:t xml:space="preserve">Internal slug used in all production documents, file naming, and project management. On-screen title cards use the episode title only (no code prefix). YouTube video title uses the code prefix for discoverability.</w:t>
            </w:r>
          </w:p>
        </w:tc>
      </w:tr>
    </w:tbl>
    <w:p>
      <w:pPr>
        <w:spacing w:after="240" w:before="0"/>
      </w:pPr>
    </w:p>
    <w:p>
      <w:pPr>
        <w:spacing w:after="240" w:line="408" w:lineRule="auto"/>
      </w:pPr>
      <w:r>
        <w:rPr>
          <w:b w:val="false"/>
          <w:bCs w:val="false"/>
          <w:i w:val="false"/>
          <w:iCs w:val="false"/>
          <w:color w:val="007A8A"/>
        </w:rPr>
        <w:t xml:space="preserve">// SECTION 04</w:t>
      </w:r>
    </w:p>
    <w:p>
      <w:pPr>
        <w:pStyle w:val="Heading2"/>
        <w:spacing w:after="100" w:before="440" w:line="384" w:lineRule="auto"/>
      </w:pPr>
      <w:r>
        <w:rPr>
          <w:rFonts w:ascii="Consolas" w:cs="Consolas" w:eastAsia="Consolas" w:hAnsi="Consolas"/>
          <w:color w:val="0D3B4F"/>
          <w:sz w:val="32"/>
          <w:szCs w:val="32"/>
        </w:rPr>
        <w:t xml:space="preserve">NARRATIVE ARCS</w:t>
      </w:r>
    </w:p>
    <w:p>
      <w:pPr>
        <w:pBdr>
          <w:top w:val="single" w:color="0D3B4F" w:sz="6"/>
        </w:pBdr>
        <w:spacing w:after="200" w:before="0"/>
      </w:pPr>
    </w:p>
    <w:p>
      <w:pPr>
        <w:pStyle w:val="Heading3"/>
        <w:spacing w:after="80" w:before="280" w:line="384" w:lineRule="auto"/>
      </w:pPr>
      <w:r>
        <w:rPr>
          <w:rFonts w:ascii="Calibri" w:cs="Calibri" w:eastAsia="Calibri" w:hAnsi="Calibri"/>
          <w:color w:val="0D3B4F"/>
          <w:sz w:val="26"/>
          <w:szCs w:val="26"/>
        </w:rPr>
        <w:t xml:space="preserve">Season-Level Arc</w:t>
      </w: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Season 1 of Codicon Hacking is structured as a macro-narrative titled internally: </w:t>
      </w:r>
      <w:r>
        <w:rPr>
          <w:rFonts w:ascii="Calibri" w:cs="Calibri" w:eastAsia="Calibri" w:hAnsi="Calibri"/>
          <w:b/>
          <w:bCs/>
          <w:i w:val="false"/>
          <w:iCs w:val="false"/>
          <w:strike w:val="false"/>
          <w:color w:val="1A1A1A"/>
          <w:sz w:val="22"/>
          <w:szCs w:val="22"/>
        </w:rPr>
        <w:t xml:space="preserve">"The Evolution of the Attacker."</w:t>
      </w:r>
      <w:r>
        <w:rPr>
          <w:rFonts w:ascii="Calibri" w:cs="Calibri" w:eastAsia="Calibri" w:hAnsi="Calibri"/>
          <w:b w:val="false"/>
          <w:bCs w:val="false"/>
          <w:i w:val="false"/>
          <w:iCs w:val="false"/>
          <w:strike w:val="false"/>
          <w:color w:val="1A1A1A"/>
          <w:sz w:val="22"/>
          <w:szCs w:val="22"/>
        </w:rPr>
        <w:t xml:space="preserve"> Beneath each individual episode's story runs a season-wide throughline that tracks how the identity, motivation, and capability of cyber threat actors has transformed over four decades — from curious teenagers in bedrooms to coordinated nation-state operations, organized crime syndicates, and AI-augmented adversaries. The season does not tell this arc explicitly; it lets the evidence of each episode accumulate until the finale makes the arc undeniable.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7%"/>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Episode Block</w:t>
            </w:r>
          </w:p>
        </w:tc>
        <w:tc>
          <w:tcPr>
            <w:tcW w:type="pct" w:w="17%"/>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Arc Phase</w:t>
            </w:r>
          </w:p>
        </w:tc>
        <w:tc>
          <w:tcPr>
            <w:tcW w:type="pct" w:w="66%"/>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Thematic Thread</w:t>
            </w:r>
          </w:p>
        </w:tc>
      </w:tr>
      <w:tr>
        <w:trPr>
          <w:tblHeader w:val="false"/>
        </w:trPr>
        <w:tc>
          <w:tcPr>
            <w:tcW w:type="pct" w:w="17%"/>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Episodes 1–3</w:t>
            </w:r>
          </w:p>
        </w:tc>
        <w:tc>
          <w:tcPr>
            <w:tcW w:type="pct" w:w="17%"/>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Origins</w:t>
            </w:r>
          </w:p>
        </w:tc>
        <w:tc>
          <w:tcPr>
            <w:tcW w:type="pct" w:w="66%"/>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The hacker ethos — curiosity, counter-culture, early internet freedom ideology. The lone wolf as folk hero.</w:t>
            </w:r>
          </w:p>
        </w:tc>
      </w:tr>
      <w:tr>
        <w:trPr>
          <w:tblHeader w:val="false"/>
        </w:trPr>
        <w:tc>
          <w:tcPr>
            <w:tcW w:type="pct" w:w="17%"/>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Episodes 4–6</w:t>
            </w:r>
          </w:p>
        </w:tc>
        <w:tc>
          <w:tcPr>
            <w:tcW w:type="pct" w:w="17%"/>
            <w:shd w:fill="F4F8FB" w:color="auto" w:val="clear"/>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Professionalization</w:t>
            </w:r>
          </w:p>
        </w:tc>
        <w:tc>
          <w:tcPr>
            <w:tcW w:type="pct" w:w="66%"/>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The shift from hobbyists to mercenaries. The birth of cybercrime markets. The first government-sponsored operations.</w:t>
            </w:r>
          </w:p>
        </w:tc>
      </w:tr>
      <w:tr>
        <w:trPr>
          <w:tblHeader w:val="false"/>
        </w:trPr>
        <w:tc>
          <w:tcPr>
            <w:tcW w:type="pct" w:w="17%"/>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Episodes 7–9</w:t>
            </w:r>
          </w:p>
        </w:tc>
        <w:tc>
          <w:tcPr>
            <w:tcW w:type="pct" w:w="17%"/>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Industrialization</w:t>
            </w:r>
          </w:p>
        </w:tc>
        <w:tc>
          <w:tcPr>
            <w:tcW w:type="pct" w:w="66%"/>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Ransomware-as-a-Service. Supply chain attacks. Critical infrastructure targeting. The attacker becomes an industry.</w:t>
            </w:r>
          </w:p>
        </w:tc>
      </w:tr>
      <w:tr>
        <w:trPr>
          <w:tblHeader w:val="false"/>
        </w:trPr>
        <w:tc>
          <w:tcPr>
            <w:tcW w:type="pct" w:w="17%"/>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Episodes 10–12</w:t>
            </w:r>
          </w:p>
        </w:tc>
        <w:tc>
          <w:tcPr>
            <w:tcW w:type="pct" w:w="17%"/>
            <w:shd w:fill="F4F8FB" w:color="auto" w:val="clear"/>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Reckoning</w:t>
            </w:r>
          </w:p>
        </w:tc>
        <w:tc>
          <w:tcPr>
            <w:tcW w:type="pct" w:w="66%"/>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The ethical frontier — who gets to hack back? What does defense look like when offense is a nation-state? The question of AI.</w:t>
            </w:r>
          </w:p>
        </w:tc>
      </w:tr>
      <w:tr>
        <w:trPr>
          <w:tblHeader w:val="false"/>
        </w:trPr>
        <w:tc>
          <w:tcPr>
            <w:tcW w:type="pct" w:w="17%"/>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Episode 13 (Finale)</w:t>
            </w:r>
          </w:p>
        </w:tc>
        <w:tc>
          <w:tcPr>
            <w:tcW w:type="pct" w:w="17%"/>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The Next Attacker</w:t>
            </w:r>
          </w:p>
        </w:tc>
        <w:tc>
          <w:tcPr>
            <w:tcW w:type="pct" w:w="66%"/>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Synthesis: what the entire season's arc means for the next decade of cybersecurity. No clean resolution — only sharper questions.</w:t>
            </w:r>
          </w:p>
        </w:tc>
      </w:tr>
    </w:tbl>
    <w:p>
      <w:pPr>
        <w:spacing w:after="200" w:before="0"/>
      </w:pPr>
    </w:p>
    <w:p>
      <w:pPr>
        <w:pStyle w:val="Heading3"/>
        <w:spacing w:after="80" w:before="280" w:line="384" w:lineRule="auto"/>
      </w:pPr>
      <w:r>
        <w:rPr>
          <w:rFonts w:ascii="Calibri" w:cs="Calibri" w:eastAsia="Calibri" w:hAnsi="Calibri"/>
          <w:color w:val="0D3B4F"/>
          <w:sz w:val="26"/>
          <w:szCs w:val="26"/>
        </w:rPr>
        <w:t xml:space="preserve">Episode-Level Arc Requirements</w:t>
      </w: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Every standard episode must contain all four narrative beats, even if they overlap with the technical structure: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Setup:</w:t>
      </w:r>
      <w:r>
        <w:rPr>
          <w:rFonts w:ascii="Calibri" w:cs="Calibri" w:eastAsia="Calibri" w:hAnsi="Calibri"/>
          <w:b w:val="false"/>
          <w:bCs w:val="false"/>
          <w:i w:val="false"/>
          <w:iCs w:val="false"/>
          <w:strike w:val="false"/>
          <w:color w:val="1A1A1A"/>
          <w:sz w:val="22"/>
          <w:szCs w:val="22"/>
        </w:rPr>
        <w:t xml:space="preserve"> A world in a state of false security or ignorance. Establish what people believed was true.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Complication:</w:t>
      </w:r>
      <w:r>
        <w:rPr>
          <w:rFonts w:ascii="Calibri" w:cs="Calibri" w:eastAsia="Calibri" w:hAnsi="Calibri"/>
          <w:b w:val="false"/>
          <w:bCs w:val="false"/>
          <w:i w:val="false"/>
          <w:iCs w:val="false"/>
          <w:strike w:val="false"/>
          <w:color w:val="1A1A1A"/>
          <w:sz w:val="22"/>
          <w:szCs w:val="22"/>
        </w:rPr>
        <w:t xml:space="preserve"> The moment that belief is shattered. The intrusion, the vulnerability, the revelation.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Revelation:</w:t>
      </w:r>
      <w:r>
        <w:rPr>
          <w:rFonts w:ascii="Calibri" w:cs="Calibri" w:eastAsia="Calibri" w:hAnsi="Calibri"/>
          <w:b w:val="false"/>
          <w:bCs w:val="false"/>
          <w:i w:val="false"/>
          <w:iCs w:val="false"/>
          <w:strike w:val="false"/>
          <w:color w:val="1A1A1A"/>
          <w:sz w:val="22"/>
          <w:szCs w:val="22"/>
        </w:rPr>
        <w:t xml:space="preserve"> What the complication reveals — about the attacker, the defender, the system, the culture.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Implication:</w:t>
      </w:r>
      <w:r>
        <w:rPr>
          <w:rFonts w:ascii="Calibri" w:cs="Calibri" w:eastAsia="Calibri" w:hAnsi="Calibri"/>
          <w:b w:val="false"/>
          <w:bCs w:val="false"/>
          <w:i w:val="false"/>
          <w:iCs w:val="false"/>
          <w:strike w:val="false"/>
          <w:color w:val="1A1A1A"/>
          <w:sz w:val="22"/>
          <w:szCs w:val="22"/>
        </w:rPr>
        <w:t xml:space="preserve"> What this means going forward. Not a resolution — an opening. A door left ajar.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7A8A" w:sz="24"/>
              <w:bottom w:val="nil" w:color="FFFFFF" w:sz="0"/>
              <w:right w:val="nil" w:color="FFFFFF" w:sz="0"/>
            </w:tcBorders>
            <w:shd w:fill="E8F4F8" w:color="auto" w:val="clear"/>
            <w:tcMar>
              <w:top w:type="dxa" w:w="200"/>
              <w:left w:type="dxa" w:w="280"/>
              <w:bottom w:type="dxa" w:w="200"/>
              <w:right w:type="dxa" w:w="280"/>
            </w:tcMar>
          </w:tcPr>
          <w:p>
            <w:pPr>
              <w:spacing w:after="120" w:line="408" w:lineRule="auto"/>
            </w:pPr>
            <w:r>
              <w:rPr>
                <w:b/>
                <w:bCs/>
                <w:i w:val="false"/>
                <w:iCs w:val="false"/>
                <w:color w:val="007A8A"/>
              </w:rPr>
              <w:t xml:space="preserve">// WRITER'S NOTE</w:t>
            </w:r>
          </w:p>
          <w:p>
            <w:pPr>
              <w:spacing w:after="140" w:line="384" w:lineRule="auto"/>
            </w:pPr>
            <w:r>
              <w:rPr>
                <w:rFonts w:ascii="Calibri" w:cs="Calibri" w:eastAsia="Calibri" w:hAnsi="Calibri"/>
                <w:b w:val="false"/>
                <w:bCs w:val="false"/>
                <w:i w:val="false"/>
                <w:iCs w:val="false"/>
                <w:strike w:val="false"/>
                <w:color w:val="1A1A1A"/>
                <w:sz w:val="22"/>
                <w:szCs w:val="22"/>
              </w:rPr>
              <w:t xml:space="preserve">These four beats are the DNA of each episode, not its skeleton. They can be distributed non-linearly. The Cold Open may deliver the Complication; the Revelation may arrive during the Human Layer rather than the Deep Dive. What matters is that all four are present before the Editorial begins.</w:t>
            </w:r>
          </w:p>
        </w:tc>
      </w:tr>
    </w:tbl>
    <w:p>
      <w:pPr>
        <w:spacing w:after="240" w:before="0"/>
      </w:pPr>
    </w:p>
    <w:p>
      <w:pPr>
        <w:pStyle w:val="Heading3"/>
        <w:spacing w:after="80" w:before="280" w:line="384" w:lineRule="auto"/>
      </w:pPr>
      <w:r>
        <w:rPr>
          <w:rFonts w:ascii="Calibri" w:cs="Calibri" w:eastAsia="Calibri" w:hAnsi="Calibri"/>
          <w:color w:val="0D3B4F"/>
          <w:sz w:val="26"/>
          <w:szCs w:val="26"/>
        </w:rPr>
        <w:t xml:space="preserve">Character Arcs for Recurring Hosts/Analysts</w:t>
      </w: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In a non-fiction series, character arc belongs to the host's </w:t>
      </w:r>
      <w:r>
        <w:rPr>
          <w:rFonts w:ascii="Calibri" w:cs="Calibri" w:eastAsia="Calibri" w:hAnsi="Calibri"/>
          <w:b w:val="false"/>
          <w:bCs w:val="false"/>
          <w:i/>
          <w:iCs/>
          <w:strike w:val="false"/>
          <w:color w:val="1A1A1A"/>
          <w:sz w:val="22"/>
          <w:szCs w:val="22"/>
        </w:rPr>
        <w:t xml:space="preserve">understanding</w:t>
      </w:r>
      <w:r>
        <w:rPr>
          <w:rFonts w:ascii="Calibri" w:cs="Calibri" w:eastAsia="Calibri" w:hAnsi="Calibri"/>
          <w:b w:val="false"/>
          <w:bCs w:val="false"/>
          <w:i w:val="false"/>
          <w:iCs w:val="false"/>
          <w:strike w:val="false"/>
          <w:color w:val="1A1A1A"/>
          <w:sz w:val="22"/>
          <w:szCs w:val="22"/>
        </w:rPr>
        <w:t xml:space="preserve">, not their </w:t>
      </w:r>
      <w:r>
        <w:rPr>
          <w:rFonts w:ascii="Calibri" w:cs="Calibri" w:eastAsia="Calibri" w:hAnsi="Calibri"/>
          <w:b w:val="false"/>
          <w:bCs w:val="false"/>
          <w:i/>
          <w:iCs/>
          <w:strike w:val="false"/>
          <w:color w:val="1A1A1A"/>
          <w:sz w:val="22"/>
          <w:szCs w:val="22"/>
        </w:rPr>
        <w:t xml:space="preserve">personality</w:t>
      </w:r>
      <w:r>
        <w:rPr>
          <w:rFonts w:ascii="Calibri" w:cs="Calibri" w:eastAsia="Calibri" w:hAnsi="Calibri"/>
          <w:b w:val="false"/>
          <w:bCs w:val="false"/>
          <w:i w:val="false"/>
          <w:iCs w:val="false"/>
          <w:strike w:val="false"/>
          <w:color w:val="1A1A1A"/>
          <w:sz w:val="22"/>
          <w:szCs w:val="22"/>
        </w:rPr>
        <w:t xml:space="preserve">. Over the course of Season 1, the Lead Host should demonstrate a visible evolution: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Episodes 1–4:</w:t>
      </w:r>
      <w:r>
        <w:rPr>
          <w:rFonts w:ascii="Calibri" w:cs="Calibri" w:eastAsia="Calibri" w:hAnsi="Calibri"/>
          <w:b w:val="false"/>
          <w:bCs w:val="false"/>
          <w:i w:val="false"/>
          <w:iCs w:val="false"/>
          <w:strike w:val="false"/>
          <w:color w:val="1A1A1A"/>
          <w:sz w:val="22"/>
          <w:szCs w:val="22"/>
        </w:rPr>
        <w:t xml:space="preserve"> Confident and analytical. The host knows this world.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Episodes 5–8:</w:t>
      </w:r>
      <w:r>
        <w:rPr>
          <w:rFonts w:ascii="Calibri" w:cs="Calibri" w:eastAsia="Calibri" w:hAnsi="Calibri"/>
          <w:b w:val="false"/>
          <w:bCs w:val="false"/>
          <w:i w:val="false"/>
          <w:iCs w:val="false"/>
          <w:strike w:val="false"/>
          <w:color w:val="1A1A1A"/>
          <w:sz w:val="22"/>
          <w:szCs w:val="22"/>
        </w:rPr>
        <w:t xml:space="preserve"> The host is increasingly confronted with moral ambiguity they did not anticipate. Small moments of genuine uncertainty begin to surface in the Editorial.</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Episodes 9–12:</w:t>
      </w:r>
      <w:r>
        <w:rPr>
          <w:rFonts w:ascii="Calibri" w:cs="Calibri" w:eastAsia="Calibri" w:hAnsi="Calibri"/>
          <w:b w:val="false"/>
          <w:bCs w:val="false"/>
          <w:i w:val="false"/>
          <w:iCs w:val="false"/>
          <w:strike w:val="false"/>
          <w:color w:val="1A1A1A"/>
          <w:sz w:val="22"/>
          <w:szCs w:val="22"/>
        </w:rPr>
        <w:t xml:space="preserve"> The host is wrestling with the implications of what the season has revealed. The editorial voice becomes more personal, more urgent.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Finale:</w:t>
      </w:r>
      <w:r>
        <w:rPr>
          <w:rFonts w:ascii="Calibri" w:cs="Calibri" w:eastAsia="Calibri" w:hAnsi="Calibri"/>
          <w:b w:val="false"/>
          <w:bCs w:val="false"/>
          <w:i w:val="false"/>
          <w:iCs w:val="false"/>
          <w:strike w:val="false"/>
          <w:color w:val="1A1A1A"/>
          <w:sz w:val="22"/>
          <w:szCs w:val="22"/>
        </w:rPr>
        <w:t xml:space="preserve"> The host does not arrive at answers. They arrive at better questions. This is the arc's resolution.</w:t>
      </w:r>
    </w:p>
    <w:p>
      <w:pPr>
        <w:pStyle w:val="Heading3"/>
        <w:spacing w:after="80" w:before="280" w:line="384" w:lineRule="auto"/>
      </w:pPr>
      <w:r>
        <w:rPr>
          <w:rFonts w:ascii="Calibri" w:cs="Calibri" w:eastAsia="Calibri" w:hAnsi="Calibri"/>
          <w:color w:val="0D3B4F"/>
          <w:sz w:val="26"/>
          <w:szCs w:val="26"/>
        </w:rPr>
        <w:t xml:space="preserve">Guest Narrative Integration</w:t>
      </w: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Guests are not interviewees — they are witnesses and narrators. Their contributions should feel like first-person chapters of the episode's story, not talking-head commentary. The following integration model applies: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Guests are briefed with a narrative brief (see Appendix D), not just a topic list. They understand where their contribution falls in the episode's arc.</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Guest audio is edited into the body of the episode, not kept in a separate "interview" segment. The host's narration hands off to the guest's voice as a continuation of the story.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Guest statements that express opinion are clearly framed as such in the edit (e.g., pre-empted by host narration: "And [Guest], who spent six years inside that system, told us...").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No guest is introduced with a title card that reads like a resume line. Introduction happens through context: "The person who first discovered this wasn't a government analyst — it was [Name], a 26-year-old working a bug bounty in their apartment."</w:t>
      </w:r>
    </w:p>
    <w:p>
      <w:pPr>
        <w:pStyle w:val="Heading3"/>
        <w:spacing w:after="80" w:before="280" w:line="384" w:lineRule="auto"/>
      </w:pPr>
      <w:r>
        <w:rPr>
          <w:rFonts w:ascii="Calibri" w:cs="Calibri" w:eastAsia="Calibri" w:hAnsi="Calibri"/>
          <w:color w:val="0D3B4F"/>
          <w:sz w:val="26"/>
          <w:szCs w:val="26"/>
        </w:rPr>
        <w:t xml:space="preserve">Cliffhangers and Serialized Hooks</w:t>
      </w: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Codicon Hacking is a serialized series, not an anthology. Even episodes that tell complete, standalone stories must plant at least one narrative seed for subsequent episodes: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6%"/>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Hook Type</w:t>
            </w:r>
          </w:p>
        </w:tc>
        <w:tc>
          <w:tcPr>
            <w:tcW w:type="pct" w:w="69%"/>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Technique</w:t>
            </w:r>
          </w:p>
        </w:tc>
        <w:tc>
          <w:tcPr>
            <w:tcW w:type="pct" w:w="15%"/>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Frequency</w:t>
            </w:r>
          </w:p>
        </w:tc>
      </w:tr>
      <w:tr>
        <w:trPr>
          <w:tblHeader w:val="false"/>
        </w:trPr>
        <w:tc>
          <w:tcPr>
            <w:tcW w:type="pct" w:w="16%"/>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The Loose Thread</w:t>
            </w:r>
          </w:p>
        </w:tc>
        <w:tc>
          <w:tcPr>
            <w:tcW w:type="pct" w:w="69%"/>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Mention a related actor, vulnerability, or event in passing — without resolution. Return to it 2–3 episodes later as a major thread.</w:t>
            </w:r>
          </w:p>
        </w:tc>
        <w:tc>
          <w:tcPr>
            <w:tcW w:type="pct" w:w="15%"/>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Every episode</w:t>
            </w:r>
          </w:p>
        </w:tc>
      </w:tr>
      <w:tr>
        <w:trPr>
          <w:tblHeader w:val="false"/>
        </w:trPr>
        <w:tc>
          <w:tcPr>
            <w:tcW w:type="pct" w:w="16%"/>
            <w:shd w:fill="F4F8FB" w:color="auto" w:val="clear"/>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The Contradiction</w:t>
            </w:r>
          </w:p>
        </w:tc>
        <w:tc>
          <w:tcPr>
            <w:tcW w:type="pct" w:w="69%"/>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End an episode with a fact or quote that contradicts the conventional narrative — without explaining it. Let the next episode deliver the explanation.</w:t>
            </w:r>
          </w:p>
        </w:tc>
        <w:tc>
          <w:tcPr>
            <w:tcW w:type="pct" w:w="15%"/>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Every 3rd episode</w:t>
            </w:r>
          </w:p>
        </w:tc>
      </w:tr>
      <w:tr>
        <w:trPr>
          <w:tblHeader w:val="false"/>
        </w:trPr>
        <w:tc>
          <w:tcPr>
            <w:tcW w:type="pct" w:w="16%"/>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The Countdown</w:t>
            </w:r>
          </w:p>
        </w:tc>
        <w:tc>
          <w:tcPr>
            <w:tcW w:type="pct" w:w="69%"/>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Beginning at Episode 8, subtly reference that "something larger" is coming — without naming it. The season arc should feel like it's accelerating toward an endpoint.</w:t>
            </w:r>
          </w:p>
        </w:tc>
        <w:tc>
          <w:tcPr>
            <w:tcW w:type="pct" w:w="15%"/>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Episodes 8–12</w:t>
            </w:r>
          </w:p>
        </w:tc>
      </w:tr>
      <w:tr>
        <w:trPr>
          <w:tblHeader w:val="false"/>
        </w:trPr>
        <w:tc>
          <w:tcPr>
            <w:tcW w:type="pct" w:w="16%"/>
            <w:shd w:fill="F4F8FB" w:color="auto" w:val="clear"/>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The Season Cliffhanger</w:t>
            </w:r>
          </w:p>
        </w:tc>
        <w:tc>
          <w:tcPr>
            <w:tcW w:type="pct" w:w="69%"/>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The finale ends without resolving the season's central question. A final piece of information is revealed — or a new question is raised — that can only be answered in Season 2.</w:t>
            </w:r>
          </w:p>
        </w:tc>
        <w:tc>
          <w:tcPr>
            <w:tcW w:type="pct" w:w="15%"/>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Finale only (mandatory)</w:t>
            </w:r>
          </w:p>
        </w:tc>
      </w:tr>
    </w:tbl>
    <w:p>
      <w:pPr>
        <w:spacing w:after="200" w:before="0"/>
      </w:pPr>
    </w:p>
    <w:p>
      <w:pPr>
        <w:spacing w:after="240" w:line="408" w:lineRule="auto"/>
      </w:pPr>
      <w:r>
        <w:rPr>
          <w:b w:val="false"/>
          <w:bCs w:val="false"/>
          <w:i w:val="false"/>
          <w:iCs w:val="false"/>
          <w:color w:val="007A8A"/>
        </w:rPr>
        <w:t xml:space="preserve">// SECTION 05</w:t>
      </w:r>
    </w:p>
    <w:p>
      <w:pPr>
        <w:pStyle w:val="Heading2"/>
        <w:spacing w:after="100" w:before="440" w:line="384" w:lineRule="auto"/>
      </w:pPr>
      <w:r>
        <w:rPr>
          <w:rFonts w:ascii="Consolas" w:cs="Consolas" w:eastAsia="Consolas" w:hAnsi="Consolas"/>
          <w:color w:val="0D3B4F"/>
          <w:sz w:val="32"/>
          <w:szCs w:val="32"/>
        </w:rPr>
        <w:t xml:space="preserve">CHARACTER &amp; HOST VOICE GUIDELINES</w:t>
      </w:r>
    </w:p>
    <w:p>
      <w:pPr>
        <w:pBdr>
          <w:top w:val="single" w:color="0D3B4F" w:sz="6"/>
        </w:pBdr>
        <w:spacing w:after="200" w:before="0"/>
      </w:pPr>
    </w:p>
    <w:p>
      <w:pPr>
        <w:pStyle w:val="Heading3"/>
        <w:spacing w:after="80" w:before="280" w:line="384" w:lineRule="auto"/>
      </w:pPr>
      <w:r>
        <w:rPr>
          <w:rFonts w:ascii="Calibri" w:cs="Calibri" w:eastAsia="Calibri" w:hAnsi="Calibri"/>
          <w:color w:val="0D3B4F"/>
          <w:sz w:val="26"/>
          <w:szCs w:val="26"/>
        </w:rPr>
        <w:t xml:space="preserve">Lead Host Profile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8%"/>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Attribute</w:t>
            </w:r>
          </w:p>
        </w:tc>
        <w:tc>
          <w:tcPr>
            <w:tcW w:type="pct" w:w="82%"/>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Specification</w:t>
            </w:r>
          </w:p>
        </w:tc>
      </w:tr>
      <w:tr>
        <w:trPr>
          <w:tblHeader w:val="false"/>
        </w:trPr>
        <w:tc>
          <w:tcPr>
            <w:tcW w:type="pct" w:w="18%"/>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Archetype</w:t>
            </w:r>
          </w:p>
        </w:tc>
        <w:tc>
          <w:tcPr>
            <w:tcW w:type="pct" w:w="82%"/>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The Investigator — relentlessly curious, forensically precise, comfortable with ambiguity. Not a pundit. Not a performer. A person genuinely trying to understand something difficult.</w:t>
            </w:r>
          </w:p>
        </w:tc>
      </w:tr>
      <w:tr>
        <w:trPr>
          <w:tblHeader w:val="false"/>
        </w:trPr>
        <w:tc>
          <w:tcPr>
            <w:tcW w:type="pct" w:w="18%"/>
            <w:shd w:fill="F4F8FB" w:color="auto" w:val="clear"/>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Speaking Style</w:t>
            </w:r>
          </w:p>
        </w:tc>
        <w:tc>
          <w:tcPr>
            <w:tcW w:type="pct" w:w="82%"/>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Direct. Rhythmic. Occasional dry humor. Uses short declarative sentences during technical explanations; longer, more complex sentences during narrative. Never speeds through complexity.</w:t>
            </w:r>
          </w:p>
        </w:tc>
      </w:tr>
      <w:tr>
        <w:trPr>
          <w:tblHeader w:val="false"/>
        </w:trPr>
        <w:tc>
          <w:tcPr>
            <w:tcW w:type="pct" w:w="18%"/>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Areas of Authority</w:t>
            </w:r>
          </w:p>
        </w:tc>
        <w:tc>
          <w:tcPr>
            <w:tcW w:type="pct" w:w="82%"/>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Narrative structure, historical context, policy and cultural implications, ethical frameworks, interview technique.</w:t>
            </w:r>
          </w:p>
        </w:tc>
      </w:tr>
      <w:tr>
        <w:trPr>
          <w:tblHeader w:val="false"/>
        </w:trPr>
        <w:tc>
          <w:tcPr>
            <w:tcW w:type="pct" w:w="18%"/>
            <w:shd w:fill="F4F8FB" w:color="auto" w:val="clear"/>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Areas to Defer to Guests</w:t>
            </w:r>
          </w:p>
        </w:tc>
        <w:tc>
          <w:tcPr>
            <w:tcW w:type="pct" w:w="82%"/>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Active exploit mechanics, current threat intelligence, specific tool usage, operational security practices. The host does not pretend to know things they don't know.</w:t>
            </w:r>
          </w:p>
        </w:tc>
      </w:tr>
      <w:tr>
        <w:trPr>
          <w:tblHeader w:val="false"/>
        </w:trPr>
        <w:tc>
          <w:tcPr>
            <w:tcW w:type="pct" w:w="18%"/>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On-Camera Presence</w:t>
            </w:r>
          </w:p>
        </w:tc>
        <w:tc>
          <w:tcPr>
            <w:tcW w:type="pct" w:w="82%"/>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Still and deliberate. No pacing. Eye contact with camera (not at notes) during editorial moments. Notes are permitted during technical segments — this signals authenticity.</w:t>
            </w:r>
          </w:p>
        </w:tc>
      </w:tr>
      <w:tr>
        <w:trPr>
          <w:tblHeader w:val="false"/>
        </w:trPr>
        <w:tc>
          <w:tcPr>
            <w:tcW w:type="pct" w:w="18%"/>
            <w:shd w:fill="F4F8FB" w:color="auto" w:val="clear"/>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Humor Frequency</w:t>
            </w:r>
          </w:p>
        </w:tc>
        <w:tc>
          <w:tcPr>
            <w:tcW w:type="pct" w:w="82%"/>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Once per episode, maximum twice. Never at a victim's expense. Usually directed at the absurdity of institutional failure or the irony of a situation.</w:t>
            </w:r>
          </w:p>
        </w:tc>
      </w:tr>
    </w:tbl>
    <w:p>
      <w:pPr>
        <w:spacing w:after="200" w:before="0"/>
      </w:pPr>
    </w:p>
    <w:p>
      <w:pPr>
        <w:pStyle w:val="Heading3"/>
        <w:spacing w:after="80" w:before="280" w:line="384" w:lineRule="auto"/>
      </w:pPr>
      <w:r>
        <w:rPr>
          <w:rFonts w:ascii="Calibri" w:cs="Calibri" w:eastAsia="Calibri" w:hAnsi="Calibri"/>
          <w:color w:val="0D3B4F"/>
          <w:sz w:val="26"/>
          <w:szCs w:val="26"/>
        </w:rPr>
        <w:t xml:space="preserve">Co-Host / Analyst Profile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0%"/>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Attribute</w:t>
            </w:r>
          </w:p>
        </w:tc>
        <w:tc>
          <w:tcPr>
            <w:tcW w:type="pct" w:w="80%"/>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Specification</w:t>
            </w:r>
          </w:p>
        </w:tc>
      </w:tr>
      <w:tr>
        <w:trPr>
          <w:tblHeader w:val="false"/>
        </w:trPr>
        <w:tc>
          <w:tcPr>
            <w:tcW w:type="pct" w:w="20%"/>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Role</w:t>
            </w:r>
          </w:p>
        </w:tc>
        <w:tc>
          <w:tcPr>
            <w:tcW w:type="pct" w:w="80%"/>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The Technical Anchor. Appears in Deep Dive and Countermeasure segments. Provides ground-level expertise that the Lead Host can play against.</w:t>
            </w:r>
          </w:p>
        </w:tc>
      </w:tr>
      <w:tr>
        <w:trPr>
          <w:tblHeader w:val="false"/>
        </w:trPr>
        <w:tc>
          <w:tcPr>
            <w:tcW w:type="pct" w:w="20%"/>
            <w:shd w:fill="F4F8FB" w:color="auto" w:val="clear"/>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Voice Relationship to Lead Host</w:t>
            </w:r>
          </w:p>
        </w:tc>
        <w:tc>
          <w:tcPr>
            <w:tcW w:type="pct" w:w="80%"/>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Complementary, not competitive. If the Lead Host is the storyteller, the Analyst is the annotator. They are not in agreement by default — productive friction is scripted and welcomed.</w:t>
            </w:r>
          </w:p>
        </w:tc>
      </w:tr>
      <w:tr>
        <w:trPr>
          <w:tblHeader w:val="false"/>
        </w:trPr>
        <w:tc>
          <w:tcPr>
            <w:tcW w:type="pct" w:w="20%"/>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Technical Depth</w:t>
            </w:r>
          </w:p>
        </w:tc>
        <w:tc>
          <w:tcPr>
            <w:tcW w:type="pct" w:w="80%"/>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Comfortable at Tier 2–3. Responsible for translating Tier 3 back to Tier 2 when the Lead Host asks clarifying questions (which they do, on behalf of the audience).</w:t>
            </w:r>
          </w:p>
        </w:tc>
      </w:tr>
      <w:tr>
        <w:trPr>
          <w:tblHeader w:val="false"/>
        </w:trPr>
        <w:tc>
          <w:tcPr>
            <w:tcW w:type="pct" w:w="20%"/>
            <w:shd w:fill="F4F8FB" w:color="auto" w:val="clear"/>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Presence per Episode</w:t>
            </w:r>
          </w:p>
        </w:tc>
        <w:tc>
          <w:tcPr>
            <w:tcW w:type="pct" w:w="80%"/>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10–15 minutes of the standard episode. More in Deep Dive Solo formats (via pre-recorded technical breakdowns). Less in Panel formats.</w:t>
            </w:r>
          </w:p>
        </w:tc>
      </w:tr>
    </w:tbl>
    <w:p>
      <w:pPr>
        <w:spacing w:after="200" w:before="0"/>
      </w:pPr>
    </w:p>
    <w:p>
      <w:pPr>
        <w:pStyle w:val="Heading3"/>
        <w:spacing w:after="80" w:before="280" w:line="384" w:lineRule="auto"/>
      </w:pPr>
      <w:r>
        <w:rPr>
          <w:rFonts w:ascii="Calibri" w:cs="Calibri" w:eastAsia="Calibri" w:hAnsi="Calibri"/>
          <w:color w:val="0D3B4F"/>
          <w:sz w:val="26"/>
          <w:szCs w:val="26"/>
        </w:rPr>
        <w:t xml:space="preserve">Guest Expert Framework</w:t>
      </w: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Guests fall into one of four roles. Their briefing, integration, and editorial handling should reflect their role classification: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3%"/>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Guest Role</w:t>
            </w:r>
          </w:p>
        </w:tc>
        <w:tc>
          <w:tcPr>
            <w:tcW w:type="pct" w:w="38%"/>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Who They Are</w:t>
            </w:r>
          </w:p>
        </w:tc>
        <w:tc>
          <w:tcPr>
            <w:tcW w:type="pct" w:w="13%"/>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Primary Segment</w:t>
            </w:r>
          </w:p>
        </w:tc>
        <w:tc>
          <w:tcPr>
            <w:tcW w:type="pct" w:w="36%"/>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Briefing Emphasis</w:t>
            </w:r>
          </w:p>
        </w:tc>
      </w:tr>
      <w:tr>
        <w:trPr>
          <w:tblHeader w:val="false"/>
        </w:trPr>
        <w:tc>
          <w:tcPr>
            <w:tcW w:type="pct" w:w="13%"/>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The Witness</w:t>
            </w:r>
          </w:p>
        </w:tc>
        <w:tc>
          <w:tcPr>
            <w:tcW w:type="pct" w:w="38%"/>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Someone who was present — the incident responder, the insider, the journalist who broke the story</w:t>
            </w:r>
          </w:p>
        </w:tc>
        <w:tc>
          <w:tcPr>
            <w:tcW w:type="pct" w:w="13%"/>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Human Layer</w:t>
            </w:r>
          </w:p>
        </w:tc>
        <w:tc>
          <w:tcPr>
            <w:tcW w:type="pct" w:w="36%"/>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What they experienced, saw, felt. Not technical mechanics.</w:t>
            </w:r>
          </w:p>
        </w:tc>
      </w:tr>
      <w:tr>
        <w:trPr>
          <w:tblHeader w:val="false"/>
        </w:trPr>
        <w:tc>
          <w:tcPr>
            <w:tcW w:type="pct" w:w="13%"/>
            <w:shd w:fill="F4F8FB" w:color="auto" w:val="clear"/>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The Analyst</w:t>
            </w:r>
          </w:p>
        </w:tc>
        <w:tc>
          <w:tcPr>
            <w:tcW w:type="pct" w:w="38%"/>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Threat intelligence researcher, security engineer, academic</w:t>
            </w:r>
          </w:p>
        </w:tc>
        <w:tc>
          <w:tcPr>
            <w:tcW w:type="pct" w:w="13%"/>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Deep Dive</w:t>
            </w:r>
          </w:p>
        </w:tc>
        <w:tc>
          <w:tcPr>
            <w:tcW w:type="pct" w:w="36%"/>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Specific technical mechanism of the event. One or two specific technical points, not a survey.</w:t>
            </w:r>
          </w:p>
        </w:tc>
      </w:tr>
      <w:tr>
        <w:trPr>
          <w:tblHeader w:val="false"/>
        </w:trPr>
        <w:tc>
          <w:tcPr>
            <w:tcW w:type="pct" w:w="13%"/>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The Defender</w:t>
            </w:r>
          </w:p>
        </w:tc>
        <w:tc>
          <w:tcPr>
            <w:tcW w:type="pct" w:w="38%"/>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Red teamer, pentester, CISO, incident responder</w:t>
            </w:r>
          </w:p>
        </w:tc>
        <w:tc>
          <w:tcPr>
            <w:tcW w:type="pct" w:w="13%"/>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Countermeasure</w:t>
            </w:r>
          </w:p>
        </w:tc>
        <w:tc>
          <w:tcPr>
            <w:tcW w:type="pct" w:w="36%"/>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What could have been done differently. Lessons learned, not post-hoc criticism.</w:t>
            </w:r>
          </w:p>
        </w:tc>
      </w:tr>
      <w:tr>
        <w:trPr>
          <w:tblHeader w:val="false"/>
        </w:trPr>
        <w:tc>
          <w:tcPr>
            <w:tcW w:type="pct" w:w="13%"/>
            <w:shd w:fill="F4F8FB" w:color="auto" w:val="clear"/>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The Philosopher</w:t>
            </w:r>
          </w:p>
        </w:tc>
        <w:tc>
          <w:tcPr>
            <w:tcW w:type="pct" w:w="38%"/>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Policy expert, ethicist, civil liberties advocate, journalist</w:t>
            </w:r>
          </w:p>
        </w:tc>
        <w:tc>
          <w:tcPr>
            <w:tcW w:type="pct" w:w="13%"/>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Editorial / Panel</w:t>
            </w:r>
          </w:p>
        </w:tc>
        <w:tc>
          <w:tcPr>
            <w:tcW w:type="pct" w:w="36%"/>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Broader implications. Invited to take a strong position.</w:t>
            </w:r>
          </w:p>
        </w:tc>
      </w:tr>
    </w:tbl>
    <w:p>
      <w:pPr>
        <w:spacing w:after="200" w:before="0"/>
      </w:pPr>
    </w:p>
    <w:p>
      <w:pPr>
        <w:pStyle w:val="Heading3"/>
        <w:spacing w:after="80" w:before="280" w:line="384" w:lineRule="auto"/>
      </w:pPr>
      <w:r>
        <w:rPr>
          <w:rFonts w:ascii="Calibri" w:cs="Calibri" w:eastAsia="Calibri" w:hAnsi="Calibri"/>
          <w:color w:val="0D3B4F"/>
          <w:sz w:val="26"/>
          <w:szCs w:val="26"/>
        </w:rPr>
        <w:t xml:space="preserve">Antagonist Framing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7A8A" w:sz="24"/>
              <w:bottom w:val="nil" w:color="FFFFFF" w:sz="0"/>
              <w:right w:val="nil" w:color="FFFFFF" w:sz="0"/>
            </w:tcBorders>
            <w:shd w:fill="E8F4F8" w:color="auto" w:val="clear"/>
            <w:tcMar>
              <w:top w:type="dxa" w:w="200"/>
              <w:left w:type="dxa" w:w="280"/>
              <w:bottom w:type="dxa" w:w="200"/>
              <w:right w:type="dxa" w:w="280"/>
            </w:tcMar>
          </w:tcPr>
          <w:p>
            <w:pPr>
              <w:spacing w:after="120" w:line="408" w:lineRule="auto"/>
            </w:pPr>
            <w:r>
              <w:rPr>
                <w:b/>
                <w:bCs/>
                <w:i w:val="false"/>
                <w:iCs w:val="false"/>
                <w:color w:val="007A8A"/>
              </w:rPr>
              <w:t xml:space="preserve">// EDITORIAL POLICY</w:t>
            </w:r>
          </w:p>
          <w:p>
            <w:pPr>
              <w:spacing w:after="140" w:line="384" w:lineRule="auto"/>
            </w:pPr>
            <w:r>
              <w:rPr>
                <w:rFonts w:ascii="Calibri" w:cs="Calibri" w:eastAsia="Calibri" w:hAnsi="Calibri"/>
                <w:b w:val="false"/>
                <w:bCs w:val="false"/>
                <w:i w:val="false"/>
                <w:iCs w:val="false"/>
                <w:strike w:val="false"/>
                <w:color w:val="1A1A1A"/>
                <w:sz w:val="22"/>
                <w:szCs w:val="22"/>
              </w:rPr>
              <w:t xml:space="preserve">Threat actors — whether lone hackers, criminal cartels, or nation-state units — are presented as </w:t>
            </w:r>
            <w:r>
              <w:rPr>
                <w:rFonts w:ascii="Calibri" w:cs="Calibri" w:eastAsia="Calibri" w:hAnsi="Calibri"/>
                <w:b/>
                <w:bCs/>
                <w:i w:val="false"/>
                <w:iCs w:val="false"/>
                <w:strike w:val="false"/>
                <w:color w:val="1A1A1A"/>
                <w:sz w:val="22"/>
                <w:szCs w:val="22"/>
              </w:rPr>
              <w:t xml:space="preserve">complex agents operating within comprehensible motivations</w:t>
            </w:r>
            <w:r>
              <w:rPr>
                <w:rFonts w:ascii="Calibri" w:cs="Calibri" w:eastAsia="Calibri" w:hAnsi="Calibri"/>
                <w:b w:val="false"/>
                <w:bCs w:val="false"/>
                <w:i w:val="false"/>
                <w:iCs w:val="false"/>
                <w:strike w:val="false"/>
                <w:color w:val="1A1A1A"/>
                <w:sz w:val="22"/>
                <w:szCs w:val="22"/>
              </w:rPr>
              <w:t xml:space="preserve">, not as cartoon villains or misunderstood heroes. We explain their world: the economic incentives, the ideological frameworks, the technical environments that shaped them. We do not glorify their actions or minimize harm caused. The framing is: </w:t>
            </w:r>
            <w:r>
              <w:rPr>
                <w:rFonts w:ascii="Calibri" w:cs="Calibri" w:eastAsia="Calibri" w:hAnsi="Calibri"/>
                <w:b w:val="false"/>
                <w:bCs w:val="false"/>
                <w:i/>
                <w:iCs/>
                <w:strike w:val="false"/>
                <w:color w:val="1A1A1A"/>
                <w:sz w:val="22"/>
                <w:szCs w:val="22"/>
              </w:rPr>
              <w:t xml:space="preserve">"Here is what this person/group did, here is why they believed it was worth doing, here is what it cost."</w:t>
            </w:r>
            <w:r>
              <w:rPr>
                <w:rFonts w:ascii="Calibri" w:cs="Calibri" w:eastAsia="Calibri" w:hAnsi="Calibri"/>
                <w:b w:val="false"/>
                <w:bCs w:val="false"/>
                <w:i w:val="false"/>
                <w:iCs w:val="false"/>
                <w:strike w:val="false"/>
                <w:color w:val="1A1A1A"/>
                <w:sz w:val="22"/>
                <w:szCs w:val="22"/>
              </w:rPr>
              <w:t xml:space="preserve"> The moral weight of that cost is left to the audience.</w:t>
            </w:r>
          </w:p>
        </w:tc>
      </w:tr>
    </w:tbl>
    <w:p>
      <w:pPr>
        <w:spacing w:after="240" w:before="0"/>
      </w:pPr>
    </w:p>
    <w:p>
      <w:pPr>
        <w:pStyle w:val="Heading3"/>
        <w:spacing w:after="80" w:before="280" w:line="384" w:lineRule="auto"/>
      </w:pPr>
      <w:r>
        <w:rPr>
          <w:rFonts w:ascii="Calibri" w:cs="Calibri" w:eastAsia="Calibri" w:hAnsi="Calibri"/>
          <w:color w:val="0D3B4F"/>
          <w:sz w:val="26"/>
          <w:szCs w:val="26"/>
        </w:rPr>
        <w:t xml:space="preserve">Voice Consistency Rules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Pacing:</w:t>
      </w:r>
      <w:r>
        <w:rPr>
          <w:rFonts w:ascii="Calibri" w:cs="Calibri" w:eastAsia="Calibri" w:hAnsi="Calibri"/>
          <w:b w:val="false"/>
          <w:bCs w:val="false"/>
          <w:i w:val="false"/>
          <w:iCs w:val="false"/>
          <w:strike w:val="false"/>
          <w:color w:val="1A1A1A"/>
          <w:sz w:val="22"/>
          <w:szCs w:val="22"/>
        </w:rPr>
        <w:t xml:space="preserve"> Host speaking rate targets 140–160 WPM for narrative; 120–130 WPM for technical explanation. Never rush through a new concept. Silence after a technical term is a feature.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Vocabulary level:</w:t>
      </w:r>
      <w:r>
        <w:rPr>
          <w:rFonts w:ascii="Calibri" w:cs="Calibri" w:eastAsia="Calibri" w:hAnsi="Calibri"/>
          <w:b w:val="false"/>
          <w:bCs w:val="false"/>
          <w:i w:val="false"/>
          <w:iCs w:val="false"/>
          <w:strike w:val="false"/>
          <w:color w:val="1A1A1A"/>
          <w:sz w:val="22"/>
          <w:szCs w:val="22"/>
        </w:rPr>
        <w:t xml:space="preserve"> Default to the upper edge of general educated vocabulary. Do not use unnecessarily academic language; do not dumb down. The audience is smart.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Analogy use:</w:t>
      </w:r>
      <w:r>
        <w:rPr>
          <w:rFonts w:ascii="Calibri" w:cs="Calibri" w:eastAsia="Calibri" w:hAnsi="Calibri"/>
          <w:b w:val="false"/>
          <w:bCs w:val="false"/>
          <w:i w:val="false"/>
          <w:iCs w:val="false"/>
          <w:strike w:val="false"/>
          <w:color w:val="1A1A1A"/>
          <w:sz w:val="22"/>
          <w:szCs w:val="22"/>
        </w:rPr>
        <w:t xml:space="preserve"> One strong analogy per major technical concept. Analogies are bridges, not decorations — use one that creates genuine understanding, then move on. Do not over-analogize.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Humor frequency:</w:t>
      </w:r>
      <w:r>
        <w:rPr>
          <w:rFonts w:ascii="Calibri" w:cs="Calibri" w:eastAsia="Calibri" w:hAnsi="Calibri"/>
          <w:b w:val="false"/>
          <w:bCs w:val="false"/>
          <w:i w:val="false"/>
          <w:iCs w:val="false"/>
          <w:strike w:val="false"/>
          <w:color w:val="1A1A1A"/>
          <w:sz w:val="22"/>
          <w:szCs w:val="22"/>
        </w:rPr>
        <w:t xml:space="preserve"> Max 1–2 moments of levity per episode. Never forced. Never during victim narratives.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Technical acronyms:</w:t>
      </w:r>
      <w:r>
        <w:rPr>
          <w:rFonts w:ascii="Calibri" w:cs="Calibri" w:eastAsia="Calibri" w:hAnsi="Calibri"/>
          <w:b w:val="false"/>
          <w:bCs w:val="false"/>
          <w:i w:val="false"/>
          <w:iCs w:val="false"/>
          <w:strike w:val="false"/>
          <w:color w:val="1A1A1A"/>
          <w:sz w:val="22"/>
          <w:szCs w:val="22"/>
        </w:rPr>
        <w:t xml:space="preserve"> Spell out on first use, every episode (even recurring terms — not every listener started at Episode 1).</w:t>
      </w:r>
    </w:p>
    <w:p>
      <w:pPr>
        <w:pStyle w:val="Heading3"/>
        <w:spacing w:after="80" w:before="280" w:line="384" w:lineRule="auto"/>
      </w:pPr>
      <w:r>
        <w:rPr>
          <w:rFonts w:ascii="Calibri" w:cs="Calibri" w:eastAsia="Calibri" w:hAnsi="Calibri"/>
          <w:color w:val="0D3B4F"/>
          <w:sz w:val="26"/>
          <w:szCs w:val="26"/>
        </w:rPr>
        <w:t xml:space="preserve">Prohibited Characterizations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B92B27" w:sz="24"/>
              <w:bottom w:val="nil" w:color="FFFFFF" w:sz="0"/>
              <w:right w:val="nil" w:color="FFFFFF" w:sz="0"/>
            </w:tcBorders>
            <w:shd w:fill="FDECEA" w:color="auto" w:val="clear"/>
            <w:tcMar>
              <w:top w:type="dxa" w:w="200"/>
              <w:left w:type="dxa" w:w="280"/>
              <w:bottom w:type="dxa" w:w="200"/>
              <w:right w:type="dxa" w:w="280"/>
            </w:tcMar>
          </w:tcPr>
          <w:p>
            <w:pPr>
              <w:spacing w:after="120" w:line="408" w:lineRule="auto"/>
            </w:pPr>
            <w:r>
              <w:rPr>
                <w:b/>
                <w:bCs/>
                <w:i w:val="false"/>
                <w:iCs w:val="false"/>
                <w:color w:val="B92B27"/>
              </w:rPr>
              <w:t xml:space="preserve">// PROHIBITED FRAMINGS</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"Genius lone hacker" trope</w:t>
            </w:r>
            <w:r>
              <w:rPr>
                <w:rFonts w:ascii="Calibri" w:cs="Calibri" w:eastAsia="Calibri" w:hAnsi="Calibri"/>
                <w:b w:val="false"/>
                <w:bCs w:val="false"/>
                <w:i w:val="false"/>
                <w:iCs w:val="false"/>
                <w:strike w:val="false"/>
                <w:color w:val="1A1A1A"/>
                <w:sz w:val="22"/>
                <w:szCs w:val="22"/>
              </w:rPr>
              <w:t xml:space="preserve"> — Most significant attacks involve teams, prior research, and existing toolkits. The mythology of the lone prodigy is both factually inaccurate and narratively lazy.</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"Government is always the villain"</w:t>
            </w:r>
            <w:r>
              <w:rPr>
                <w:rFonts w:ascii="Calibri" w:cs="Calibri" w:eastAsia="Calibri" w:hAnsi="Calibri"/>
                <w:b w:val="false"/>
                <w:bCs w:val="false"/>
                <w:i w:val="false"/>
                <w:iCs w:val="false"/>
                <w:strike w:val="false"/>
                <w:color w:val="1A1A1A"/>
                <w:sz w:val="22"/>
                <w:szCs w:val="22"/>
              </w:rPr>
              <w:t xml:space="preserve"> — Government actors are presented with the same analytical rigor as all others. State-sponsored attacks are documented and contextualized; systemic critique must be sourced.</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"Corporations are inherently evil"</w:t>
            </w:r>
            <w:r>
              <w:rPr>
                <w:rFonts w:ascii="Calibri" w:cs="Calibri" w:eastAsia="Calibri" w:hAnsi="Calibri"/>
                <w:b w:val="false"/>
                <w:bCs w:val="false"/>
                <w:i w:val="false"/>
                <w:iCs w:val="false"/>
                <w:strike w:val="false"/>
                <w:color w:val="1A1A1A"/>
                <w:sz w:val="22"/>
                <w:szCs w:val="22"/>
              </w:rPr>
              <w:t xml:space="preserve"> — Security failures result from incentive structures, organizational complexity, and resourcing — not malice. Critique should be structural, not conspiratorial.</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"Hackers are always young, male, antisocial"</w:t>
            </w:r>
            <w:r>
              <w:rPr>
                <w:rFonts w:ascii="Calibri" w:cs="Calibri" w:eastAsia="Calibri" w:hAnsi="Calibri"/>
                <w:b w:val="false"/>
                <w:bCs w:val="false"/>
                <w:i w:val="false"/>
                <w:iCs w:val="false"/>
                <w:strike w:val="false"/>
                <w:color w:val="1A1A1A"/>
                <w:sz w:val="22"/>
                <w:szCs w:val="22"/>
              </w:rPr>
              <w:t xml:space="preserve"> — The actual demographics of the hacking community are far more diverse. Visual representation and narrative framing must reflect this.</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Redemption arcs imposed on subjects</w:t>
            </w:r>
            <w:r>
              <w:rPr>
                <w:rFonts w:ascii="Calibri" w:cs="Calibri" w:eastAsia="Calibri" w:hAnsi="Calibri"/>
                <w:b w:val="false"/>
                <w:bCs w:val="false"/>
                <w:i w:val="false"/>
                <w:iCs w:val="false"/>
                <w:strike w:val="false"/>
                <w:color w:val="1A1A1A"/>
                <w:sz w:val="22"/>
                <w:szCs w:val="22"/>
              </w:rPr>
              <w:t xml:space="preserve"> — If a subject did not express remorse or change, do not construct a redemption arc for them. Their complexity is not a problem to be solved.</w:t>
            </w:r>
          </w:p>
        </w:tc>
      </w:tr>
    </w:tbl>
    <w:p>
      <w:pPr>
        <w:spacing w:after="240" w:before="0"/>
      </w:pPr>
    </w:p>
    <w:p>
      <w:pPr>
        <w:spacing w:after="240" w:line="408" w:lineRule="auto"/>
      </w:pPr>
      <w:r>
        <w:rPr>
          <w:b w:val="false"/>
          <w:bCs w:val="false"/>
          <w:i w:val="false"/>
          <w:iCs w:val="false"/>
          <w:color w:val="007A8A"/>
        </w:rPr>
        <w:t xml:space="preserve">// SECTION 06</w:t>
      </w:r>
    </w:p>
    <w:p>
      <w:pPr>
        <w:pStyle w:val="Heading2"/>
        <w:spacing w:after="100" w:before="440" w:line="384" w:lineRule="auto"/>
      </w:pPr>
      <w:r>
        <w:rPr>
          <w:rFonts w:ascii="Consolas" w:cs="Consolas" w:eastAsia="Consolas" w:hAnsi="Consolas"/>
          <w:color w:val="0D3B4F"/>
          <w:sz w:val="32"/>
          <w:szCs w:val="32"/>
        </w:rPr>
        <w:t xml:space="preserve">TECHNICAL DEPTH REQUIREMENTS</w:t>
      </w:r>
    </w:p>
    <w:p>
      <w:pPr>
        <w:pBdr>
          <w:top w:val="single" w:color="0D3B4F" w:sz="6"/>
        </w:pBdr>
        <w:spacing w:after="200" w:before="0"/>
      </w:pPr>
    </w:p>
    <w:p>
      <w:pPr>
        <w:pStyle w:val="Heading3"/>
        <w:spacing w:after="80" w:before="280" w:line="384" w:lineRule="auto"/>
      </w:pPr>
      <w:r>
        <w:rPr>
          <w:rFonts w:ascii="Calibri" w:cs="Calibri" w:eastAsia="Calibri" w:hAnsi="Calibri"/>
          <w:color w:val="0D3B4F"/>
          <w:sz w:val="26"/>
          <w:szCs w:val="26"/>
        </w:rPr>
        <w:t xml:space="preserve">Technical Accuracy Standards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B92B27" w:sz="24"/>
              <w:bottom w:val="nil" w:color="FFFFFF" w:sz="0"/>
              <w:right w:val="nil" w:color="FFFFFF" w:sz="0"/>
            </w:tcBorders>
            <w:shd w:fill="FDECEA" w:color="auto" w:val="clear"/>
            <w:tcMar>
              <w:top w:type="dxa" w:w="200"/>
              <w:left w:type="dxa" w:w="280"/>
              <w:bottom w:type="dxa" w:w="200"/>
              <w:right w:type="dxa" w:w="280"/>
            </w:tcMar>
          </w:tcPr>
          <w:p>
            <w:pPr>
              <w:spacing w:after="120" w:line="408" w:lineRule="auto"/>
            </w:pPr>
            <w:r>
              <w:rPr>
                <w:b/>
                <w:bCs/>
                <w:i w:val="false"/>
                <w:iCs w:val="false"/>
                <w:color w:val="B92B27"/>
              </w:rPr>
              <w:t xml:space="preserve">// ZERO TOLERANCE STANDARD</w:t>
            </w:r>
          </w:p>
          <w:p>
            <w:pPr>
              <w:spacing w:after="140" w:line="384" w:lineRule="auto"/>
            </w:pPr>
            <w:r>
              <w:rPr>
                <w:rFonts w:ascii="Calibri" w:cs="Calibri" w:eastAsia="Calibri" w:hAnsi="Calibri"/>
                <w:b/>
                <w:bCs/>
                <w:i w:val="false"/>
                <w:iCs w:val="false"/>
                <w:strike w:val="false"/>
                <w:color w:val="1A1A1A"/>
                <w:sz w:val="22"/>
                <w:szCs w:val="22"/>
              </w:rPr>
              <w:t xml:space="preserve">All technical claims in Codicon Hacking must be verifiable by a qualified security professional against at least one primary source.</w:t>
            </w:r>
            <w:r>
              <w:rPr>
                <w:rFonts w:ascii="Calibri" w:cs="Calibri" w:eastAsia="Calibri" w:hAnsi="Calibri"/>
                <w:b w:val="false"/>
                <w:bCs w:val="false"/>
                <w:i w:val="false"/>
                <w:iCs w:val="false"/>
                <w:strike w:val="false"/>
                <w:color w:val="1A1A1A"/>
                <w:sz w:val="22"/>
                <w:szCs w:val="22"/>
              </w:rPr>
              <w:t xml:space="preserve"> Speculative attribution, unverified exploit details, or technical claims derived solely from journalism (without primary source corroboration) are not permitted without explicit disclosure. If we cannot verify a technical claim, we say so on air — and that acknowledgment becomes part of the story.</w:t>
            </w:r>
          </w:p>
        </w:tc>
      </w:tr>
    </w:tbl>
    <w:p>
      <w:pPr>
        <w:spacing w:after="240" w:before="0"/>
      </w:pPr>
    </w:p>
    <w:p>
      <w:pPr>
        <w:pStyle w:val="Heading3"/>
        <w:spacing w:after="80" w:before="280" w:line="384" w:lineRule="auto"/>
      </w:pPr>
      <w:r>
        <w:rPr>
          <w:rFonts w:ascii="Calibri" w:cs="Calibri" w:eastAsia="Calibri" w:hAnsi="Calibri"/>
          <w:color w:val="0D3B4F"/>
          <w:sz w:val="26"/>
          <w:szCs w:val="26"/>
        </w:rPr>
        <w:t xml:space="preserve">Depth Tiers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9%"/>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Tier</w:t>
            </w:r>
          </w:p>
        </w:tc>
        <w:tc>
          <w:tcPr>
            <w:tcW w:type="pct" w:w="9%"/>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Name</w:t>
            </w:r>
          </w:p>
        </w:tc>
        <w:tc>
          <w:tcPr>
            <w:tcW w:type="pct" w:w="14%"/>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Audience Target</w:t>
            </w:r>
          </w:p>
        </w:tc>
        <w:tc>
          <w:tcPr>
            <w:tcW w:type="pct" w:w="28%"/>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Technical Expectations</w:t>
            </w:r>
          </w:p>
        </w:tc>
        <w:tc>
          <w:tcPr>
            <w:tcW w:type="pct" w:w="40%"/>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Example</w:t>
            </w:r>
          </w:p>
        </w:tc>
      </w:tr>
      <w:tr>
        <w:trPr>
          <w:tblHeader w:val="false"/>
        </w:trPr>
        <w:tc>
          <w:tcPr>
            <w:tcW w:type="pct" w:w="9%"/>
            <w:tcMar>
              <w:top w:type="dxa" w:w="105"/>
              <w:left w:type="dxa" w:w="150"/>
              <w:bottom w:type="dxa" w:w="105"/>
              <w:right w:type="dxa" w:w="150"/>
            </w:tcMar>
          </w:tcPr>
          <w:p>
            <w:r>
              <w:rPr>
                <w:rFonts w:ascii="Consolas" w:cs="Consolas" w:eastAsia="Consolas" w:hAnsi="Consolas"/>
                <w:b w:val="false"/>
                <w:bCs w:val="false"/>
                <w:i w:val="false"/>
                <w:iCs w:val="false"/>
                <w:strike w:val="false"/>
                <w:color w:val="FFFFFF"/>
                <w:sz w:val="17"/>
                <w:szCs w:val="17"/>
                <w:shd w:fill="1A5C2A" w:color="auto" w:val="clear"/>
              </w:rPr>
              <w:t xml:space="preserve">TIER 1</w:t>
            </w:r>
          </w:p>
        </w:tc>
        <w:tc>
          <w:tcPr>
            <w:tcW w:type="pct" w:w="9%"/>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Surface</w:t>
            </w:r>
          </w:p>
        </w:tc>
        <w:tc>
          <w:tcPr>
            <w:tcW w:type="pct" w:w="14%"/>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General tech audience, primary audience</w:t>
            </w:r>
          </w:p>
        </w:tc>
        <w:tc>
          <w:tcPr>
            <w:tcW w:type="pct" w:w="28%"/>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All concepts explained using analogies. No unexplained acronyms. No assumed prior knowledge.</w:t>
            </w:r>
          </w:p>
        </w:tc>
        <w:tc>
          <w:tcPr>
            <w:tcW w:type="pct" w:w="40%"/>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"A SQL injection attack is like slipping a fake question into a form that the database answers honestly — because it doesn't know the question was forged."</w:t>
            </w:r>
          </w:p>
        </w:tc>
      </w:tr>
      <w:tr>
        <w:trPr>
          <w:tblHeader w:val="false"/>
        </w:trPr>
        <w:tc>
          <w:tcPr>
            <w:tcW w:type="pct" w:w="9%"/>
            <w:shd w:fill="F4F8FB" w:color="auto" w:val="clear"/>
            <w:tcMar>
              <w:top w:type="dxa" w:w="105"/>
              <w:left w:type="dxa" w:w="150"/>
              <w:bottom w:type="dxa" w:w="105"/>
              <w:right w:type="dxa" w:w="150"/>
            </w:tcMar>
          </w:tcPr>
          <w:p>
            <w:r>
              <w:rPr>
                <w:rFonts w:ascii="Consolas" w:cs="Consolas" w:eastAsia="Consolas" w:hAnsi="Consolas"/>
                <w:b w:val="false"/>
                <w:bCs w:val="false"/>
                <w:i w:val="false"/>
                <w:iCs w:val="false"/>
                <w:strike w:val="false"/>
                <w:color w:val="FFFFFF"/>
                <w:sz w:val="17"/>
                <w:szCs w:val="17"/>
                <w:shd w:fill="7A4700" w:color="auto" w:val="clear"/>
              </w:rPr>
              <w:t xml:space="preserve">TIER 2</w:t>
            </w:r>
          </w:p>
        </w:tc>
        <w:tc>
          <w:tcPr>
            <w:tcW w:type="pct" w:w="9%"/>
            <w:shd w:fill="F4F8FB" w:color="auto" w:val="clear"/>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Mid</w:t>
            </w:r>
          </w:p>
        </w:tc>
        <w:tc>
          <w:tcPr>
            <w:tcW w:type="pct" w:w="14%"/>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Developer / IT / sysadmin audience</w:t>
            </w:r>
          </w:p>
        </w:tc>
        <w:tc>
          <w:tcPr>
            <w:tcW w:type="pct" w:w="28%"/>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Proper terminology used without full definition. Assumes basic understanding of networking, authentication, and operating systems.</w:t>
            </w:r>
          </w:p>
        </w:tc>
        <w:tc>
          <w:tcPr>
            <w:tcW w:type="pct" w:w="40%"/>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"The attackers exploited an unsanitized input field to inject arbitrary SQL — bypassing the authentication check entirely and returning the users table."</w:t>
            </w:r>
          </w:p>
        </w:tc>
      </w:tr>
      <w:tr>
        <w:trPr>
          <w:tblHeader w:val="false"/>
        </w:trPr>
        <w:tc>
          <w:tcPr>
            <w:tcW w:type="pct" w:w="9%"/>
            <w:tcMar>
              <w:top w:type="dxa" w:w="105"/>
              <w:left w:type="dxa" w:w="150"/>
              <w:bottom w:type="dxa" w:w="105"/>
              <w:right w:type="dxa" w:w="150"/>
            </w:tcMar>
          </w:tcPr>
          <w:p>
            <w:r>
              <w:rPr>
                <w:rFonts w:ascii="Consolas" w:cs="Consolas" w:eastAsia="Consolas" w:hAnsi="Consolas"/>
                <w:b w:val="false"/>
                <w:bCs w:val="false"/>
                <w:i w:val="false"/>
                <w:iCs w:val="false"/>
                <w:strike w:val="false"/>
                <w:color w:val="FFFFFF"/>
                <w:sz w:val="17"/>
                <w:szCs w:val="17"/>
                <w:shd w:fill="8B1A1A" w:color="auto" w:val="clear"/>
              </w:rPr>
              <w:t xml:space="preserve">TIER 3</w:t>
            </w:r>
          </w:p>
        </w:tc>
        <w:tc>
          <w:tcPr>
            <w:tcW w:type="pct" w:w="9%"/>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Deep</w:t>
            </w:r>
          </w:p>
        </w:tc>
        <w:tc>
          <w:tcPr>
            <w:tcW w:type="pct" w:w="14%"/>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Security professionals, researchers</w:t>
            </w:r>
          </w:p>
        </w:tc>
        <w:tc>
          <w:tcPr>
            <w:tcW w:type="pct" w:w="28%"/>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Protocol-level detail, exploit mechanics, CVE references, tool names, MITRE ATT&amp;CK framework mappings where applicable.</w:t>
            </w:r>
          </w:p>
        </w:tc>
        <w:tc>
          <w:tcPr>
            <w:tcW w:type="pct" w:w="40%"/>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"The vulnerability — CVE-2021-44228, log4shell — allowed JNDI injection via crafted log messages. Exploitation triggered an outbound LDAP request to an attacker-controlled server, loading a malicious Java class."</w:t>
            </w:r>
          </w:p>
        </w:tc>
      </w:tr>
    </w:tbl>
    <w:p>
      <w:pPr>
        <w:spacing w:after="200" w:before="0"/>
      </w:pPr>
    </w:p>
    <w:p>
      <w:pPr>
        <w:pStyle w:val="Heading3"/>
        <w:spacing w:after="80" w:before="280" w:line="384" w:lineRule="auto"/>
      </w:pPr>
      <w:r>
        <w:rPr>
          <w:rFonts w:ascii="Calibri" w:cs="Calibri" w:eastAsia="Calibri" w:hAnsi="Calibri"/>
          <w:color w:val="0D3B4F"/>
          <w:sz w:val="26"/>
          <w:szCs w:val="26"/>
        </w:rPr>
        <w:t xml:space="preserve">Per-Segment Depth Mapping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8%"/>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Segment</w:t>
            </w:r>
          </w:p>
        </w:tc>
        <w:tc>
          <w:tcPr>
            <w:tcW w:type="pct" w:w="11%"/>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Primary Depth Tier</w:t>
            </w:r>
          </w:p>
        </w:tc>
        <w:tc>
          <w:tcPr>
            <w:tcW w:type="pct" w:w="18%"/>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Secondary Tier</w:t>
            </w:r>
          </w:p>
        </w:tc>
        <w:tc>
          <w:tcPr>
            <w:tcW w:type="pct" w:w="53%"/>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Notes</w:t>
            </w:r>
          </w:p>
        </w:tc>
      </w:tr>
      <w:tr>
        <w:trPr>
          <w:tblHeader w:val="false"/>
        </w:trPr>
        <w:tc>
          <w:tcPr>
            <w:tcW w:type="pct" w:w="18%"/>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Cold Open</w:t>
            </w:r>
          </w:p>
        </w:tc>
        <w:tc>
          <w:tcPr>
            <w:tcW w:type="pct" w:w="11%"/>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Tier 1</w:t>
            </w:r>
          </w:p>
        </w:tc>
        <w:tc>
          <w:tcPr>
            <w:tcW w:type="pct" w:w="18%"/>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w:t>
            </w:r>
          </w:p>
        </w:tc>
        <w:tc>
          <w:tcPr>
            <w:tcW w:type="pct" w:w="53%"/>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No technical detail in the cold open. Atmosphere and narrative only.</w:t>
            </w:r>
          </w:p>
        </w:tc>
      </w:tr>
      <w:tr>
        <w:trPr>
          <w:tblHeader w:val="false"/>
        </w:trPr>
        <w:tc>
          <w:tcPr>
            <w:tcW w:type="pct" w:w="18%"/>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The Setup</w:t>
            </w:r>
          </w:p>
        </w:tc>
        <w:tc>
          <w:tcPr>
            <w:tcW w:type="pct" w:w="11%"/>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Tier 1</w:t>
            </w:r>
          </w:p>
        </w:tc>
        <w:tc>
          <w:tcPr>
            <w:tcW w:type="pct" w:w="18%"/>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w:t>
            </w:r>
          </w:p>
        </w:tc>
        <w:tc>
          <w:tcPr>
            <w:tcW w:type="pct" w:w="53%"/>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All terms defined. Audience should feel informed, not tested.</w:t>
            </w:r>
          </w:p>
        </w:tc>
      </w:tr>
      <w:tr>
        <w:trPr>
          <w:tblHeader w:val="false"/>
        </w:trPr>
        <w:tc>
          <w:tcPr>
            <w:tcW w:type="pct" w:w="18%"/>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The Deep Dive (early)</w:t>
            </w:r>
          </w:p>
        </w:tc>
        <w:tc>
          <w:tcPr>
            <w:tcW w:type="pct" w:w="11%"/>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Tier 1–2</w:t>
            </w:r>
          </w:p>
        </w:tc>
        <w:tc>
          <w:tcPr>
            <w:tcW w:type="pct" w:w="18%"/>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w:t>
            </w:r>
          </w:p>
        </w:tc>
        <w:tc>
          <w:tcPr>
            <w:tcW w:type="pct" w:w="53%"/>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Transition from Tier 1 to Tier 2 should be gradual, not abrupt.</w:t>
            </w:r>
          </w:p>
        </w:tc>
      </w:tr>
      <w:tr>
        <w:trPr>
          <w:tblHeader w:val="false"/>
        </w:trPr>
        <w:tc>
          <w:tcPr>
            <w:tcW w:type="pct" w:w="18%"/>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The Deep Dive (mid/late)</w:t>
            </w:r>
          </w:p>
        </w:tc>
        <w:tc>
          <w:tcPr>
            <w:tcW w:type="pct" w:w="11%"/>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Tier 2</w:t>
            </w:r>
          </w:p>
        </w:tc>
        <w:tc>
          <w:tcPr>
            <w:tcW w:type="pct" w:w="18%"/>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Tier 3 (clearly signaled)</w:t>
            </w:r>
          </w:p>
        </w:tc>
        <w:tc>
          <w:tcPr>
            <w:tcW w:type="pct" w:w="53%"/>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Tier 3 moments should be brief, signaled ("for those of you who want to go deep here..."), and never gatekeeping.</w:t>
            </w:r>
          </w:p>
        </w:tc>
      </w:tr>
      <w:tr>
        <w:trPr>
          <w:tblHeader w:val="false"/>
        </w:trPr>
        <w:tc>
          <w:tcPr>
            <w:tcW w:type="pct" w:w="18%"/>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The Human Layer</w:t>
            </w:r>
          </w:p>
        </w:tc>
        <w:tc>
          <w:tcPr>
            <w:tcW w:type="pct" w:w="11%"/>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Tier 1</w:t>
            </w:r>
          </w:p>
        </w:tc>
        <w:tc>
          <w:tcPr>
            <w:tcW w:type="pct" w:w="18%"/>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w:t>
            </w:r>
          </w:p>
        </w:tc>
        <w:tc>
          <w:tcPr>
            <w:tcW w:type="pct" w:w="53%"/>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Technical terminology drops significantly. The human story is the priority.</w:t>
            </w:r>
          </w:p>
        </w:tc>
      </w:tr>
      <w:tr>
        <w:trPr>
          <w:tblHeader w:val="false"/>
        </w:trPr>
        <w:tc>
          <w:tcPr>
            <w:tcW w:type="pct" w:w="18%"/>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The Countermeasure</w:t>
            </w:r>
          </w:p>
        </w:tc>
        <w:tc>
          <w:tcPr>
            <w:tcW w:type="pct" w:w="11%"/>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Tier 2</w:t>
            </w:r>
          </w:p>
        </w:tc>
        <w:tc>
          <w:tcPr>
            <w:tcW w:type="pct" w:w="18%"/>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Tier 1</w:t>
            </w:r>
          </w:p>
        </w:tc>
        <w:tc>
          <w:tcPr>
            <w:tcW w:type="pct" w:w="53%"/>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Defensive concepts must be actionable for the secondary audience, comprehensible for the primary.</w:t>
            </w:r>
          </w:p>
        </w:tc>
      </w:tr>
      <w:tr>
        <w:trPr>
          <w:tblHeader w:val="false"/>
        </w:trPr>
        <w:tc>
          <w:tcPr>
            <w:tcW w:type="pct" w:w="18%"/>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The Editorial</w:t>
            </w:r>
          </w:p>
        </w:tc>
        <w:tc>
          <w:tcPr>
            <w:tcW w:type="pct" w:w="11%"/>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Tier 1</w:t>
            </w:r>
          </w:p>
        </w:tc>
        <w:tc>
          <w:tcPr>
            <w:tcW w:type="pct" w:w="18%"/>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w:t>
            </w:r>
          </w:p>
        </w:tc>
        <w:tc>
          <w:tcPr>
            <w:tcW w:type="pct" w:w="53%"/>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Editorial is accessible to everyone. No unexplained technical language.</w:t>
            </w:r>
          </w:p>
        </w:tc>
      </w:tr>
    </w:tbl>
    <w:p>
      <w:pPr>
        <w:spacing w:after="200" w:before="0"/>
      </w:pPr>
    </w:p>
    <w:p>
      <w:pPr>
        <w:pStyle w:val="Heading3"/>
        <w:spacing w:after="80" w:before="280" w:line="384" w:lineRule="auto"/>
      </w:pPr>
      <w:r>
        <w:rPr>
          <w:rFonts w:ascii="Calibri" w:cs="Calibri" w:eastAsia="Calibri" w:hAnsi="Calibri"/>
          <w:color w:val="0D3B4F"/>
          <w:sz w:val="26"/>
          <w:szCs w:val="26"/>
        </w:rPr>
        <w:t xml:space="preserve">Jargon Glossary Policy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First use:</w:t>
      </w:r>
      <w:r>
        <w:rPr>
          <w:rFonts w:ascii="Calibri" w:cs="Calibri" w:eastAsia="Calibri" w:hAnsi="Calibri"/>
          <w:b w:val="false"/>
          <w:bCs w:val="false"/>
          <w:i w:val="false"/>
          <w:iCs w:val="false"/>
          <w:strike w:val="false"/>
          <w:color w:val="1A1A1A"/>
          <w:sz w:val="22"/>
          <w:szCs w:val="22"/>
        </w:rPr>
        <w:t xml:space="preserve"> Define immediately, in plain language, inline. Do not relegate definitions to a glossary card. The definition belongs in the sentence or the sentence immediately following.</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Second use (same episode):</w:t>
      </w:r>
      <w:r>
        <w:rPr>
          <w:rFonts w:ascii="Calibri" w:cs="Calibri" w:eastAsia="Calibri" w:hAnsi="Calibri"/>
          <w:b w:val="false"/>
          <w:bCs w:val="false"/>
          <w:i w:val="false"/>
          <w:iCs w:val="false"/>
          <w:strike w:val="false"/>
          <w:color w:val="1A1A1A"/>
          <w:sz w:val="22"/>
          <w:szCs w:val="22"/>
        </w:rPr>
        <w:t xml:space="preserve"> Use freely, without redefinition. The audience has been trusted to retain it.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Recurrence across episodes:</w:t>
      </w:r>
      <w:r>
        <w:rPr>
          <w:rFonts w:ascii="Calibri" w:cs="Calibri" w:eastAsia="Calibri" w:hAnsi="Calibri"/>
          <w:b w:val="false"/>
          <w:bCs w:val="false"/>
          <w:i w:val="false"/>
          <w:iCs w:val="false"/>
          <w:strike w:val="false"/>
          <w:color w:val="1A1A1A"/>
          <w:sz w:val="22"/>
          <w:szCs w:val="22"/>
        </w:rPr>
        <w:t xml:space="preserve"> Core terms (e.g., zero-day, CVE, SQL injection) should be briefly re-defined in each episode where they feature prominently — not every episode, but whenever they are central. Not all listeners start at Episode 1.</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Show notes glossary:</w:t>
      </w:r>
      <w:r>
        <w:rPr>
          <w:rFonts w:ascii="Calibri" w:cs="Calibri" w:eastAsia="Calibri" w:hAnsi="Calibri"/>
          <w:b w:val="false"/>
          <w:bCs w:val="false"/>
          <w:i w:val="false"/>
          <w:iCs w:val="false"/>
          <w:strike w:val="false"/>
          <w:color w:val="1A1A1A"/>
          <w:sz w:val="22"/>
          <w:szCs w:val="22"/>
        </w:rPr>
        <w:t xml:space="preserve"> All Tier 2–3 terms used in an episode are listed in the show notes/video description with definitions and resource links.</w:t>
      </w:r>
    </w:p>
    <w:p>
      <w:pPr>
        <w:pStyle w:val="Heading3"/>
        <w:spacing w:after="80" w:before="280" w:line="384" w:lineRule="auto"/>
      </w:pPr>
      <w:r>
        <w:rPr>
          <w:rFonts w:ascii="Calibri" w:cs="Calibri" w:eastAsia="Calibri" w:hAnsi="Calibri"/>
          <w:color w:val="0D3B4F"/>
          <w:sz w:val="26"/>
          <w:szCs w:val="26"/>
        </w:rPr>
        <w:t xml:space="preserve">Demo and Visualization Guidelines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3%"/>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Visual Type</w:t>
            </w:r>
          </w:p>
        </w:tc>
        <w:tc>
          <w:tcPr>
            <w:tcW w:type="pct" w:w="50%"/>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Standard</w:t>
            </w:r>
          </w:p>
        </w:tc>
        <w:tc>
          <w:tcPr>
            <w:tcW w:type="pct" w:w="37%"/>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Prohibited</w:t>
            </w:r>
          </w:p>
        </w:tc>
      </w:tr>
      <w:tr>
        <w:trPr>
          <w:tblHeader w:val="false"/>
        </w:trPr>
        <w:tc>
          <w:tcPr>
            <w:tcW w:type="pct" w:w="13%"/>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Screen recordings</w:t>
            </w:r>
          </w:p>
        </w:tc>
        <w:tc>
          <w:tcPr>
            <w:tcW w:type="pct" w:w="50%"/>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High-resolution (1080p min), annotated with callouts. Audio narration synced. Must use sandboxed/lab environments — no live production systems.</w:t>
            </w:r>
          </w:p>
        </w:tc>
        <w:tc>
          <w:tcPr>
            <w:tcW w:type="pct" w:w="37%"/>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Live systems. Unedited terminal dumps without narration.</w:t>
            </w:r>
          </w:p>
        </w:tc>
      </w:tr>
      <w:tr>
        <w:trPr>
          <w:tblHeader w:val="false"/>
        </w:trPr>
        <w:tc>
          <w:tcPr>
            <w:tcW w:type="pct" w:w="13%"/>
            <w:shd w:fill="F4F8FB" w:color="auto" w:val="clear"/>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Code snippets</w:t>
            </w:r>
          </w:p>
        </w:tc>
        <w:tc>
          <w:tcPr>
            <w:tcW w:type="pct" w:w="50%"/>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Syntax-highlighted. Scrolling reveals paced with narration. Relevant lines highlighted in real time. Accompanied by plain-language explanation of what each block does.</w:t>
            </w:r>
          </w:p>
        </w:tc>
        <w:tc>
          <w:tcPr>
            <w:tcW w:type="pct" w:w="37%"/>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Full exploit code for unpatched vulnerabilities. Code that could be directly repurposed for attack.</w:t>
            </w:r>
          </w:p>
        </w:tc>
      </w:tr>
      <w:tr>
        <w:trPr>
          <w:tblHeader w:val="false"/>
        </w:trPr>
        <w:tc>
          <w:tcPr>
            <w:tcW w:type="pct" w:w="13%"/>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Animated diagrams</w:t>
            </w:r>
          </w:p>
        </w:tc>
        <w:tc>
          <w:tcPr>
            <w:tcW w:type="pct" w:w="50%"/>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Network diagrams showing attack flow. Clean, monochrome or minimal palette. Labeled clearly. Motion should track narration pacing.</w:t>
            </w:r>
          </w:p>
        </w:tc>
        <w:tc>
          <w:tcPr>
            <w:tcW w:type="pct" w:w="37%"/>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Stock "hacker montage" animations. Matrix-style decorative code rain used as a substitute for actual explanation.</w:t>
            </w:r>
          </w:p>
        </w:tc>
      </w:tr>
      <w:tr>
        <w:trPr>
          <w:tblHeader w:val="false"/>
        </w:trPr>
        <w:tc>
          <w:tcPr>
            <w:tcW w:type="pct" w:w="13%"/>
            <w:shd w:fill="F4F8FB" w:color="auto" w:val="clear"/>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Data visualizations</w:t>
            </w:r>
          </w:p>
        </w:tc>
        <w:tc>
          <w:tcPr>
            <w:tcW w:type="pct" w:w="50%"/>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Timeline infographics showing breach timeline, charts showing breach scale/impact, MITRE ATT&amp;CK technique mapping where applicable.</w:t>
            </w:r>
          </w:p>
        </w:tc>
        <w:tc>
          <w:tcPr>
            <w:tcW w:type="pct" w:w="37%"/>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Unlabeled or unsourced statistics. Visual scale manipulation.</w:t>
            </w:r>
          </w:p>
        </w:tc>
      </w:tr>
    </w:tbl>
    <w:p>
      <w:pPr>
        <w:spacing w:after="200" w:before="0"/>
      </w:pPr>
    </w:p>
    <w:p>
      <w:pPr>
        <w:pStyle w:val="Heading3"/>
        <w:spacing w:after="80" w:before="280" w:line="384" w:lineRule="auto"/>
      </w:pPr>
      <w:r>
        <w:rPr>
          <w:rFonts w:ascii="Calibri" w:cs="Calibri" w:eastAsia="Calibri" w:hAnsi="Calibri"/>
          <w:color w:val="0D3B4F"/>
          <w:sz w:val="26"/>
          <w:szCs w:val="26"/>
        </w:rPr>
        <w:t xml:space="preserve">Fact-Checking Workflow and Source Hierarchy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Primary Sources (Required for all technical claims):</w:t>
      </w:r>
      <w:r>
        <w:rPr>
          <w:rFonts w:ascii="Calibri" w:cs="Calibri" w:eastAsia="Calibri" w:hAnsi="Calibri"/>
          <w:b w:val="false"/>
          <w:bCs w:val="false"/>
          <w:i w:val="false"/>
          <w:iCs w:val="false"/>
          <w:strike w:val="false"/>
          <w:color w:val="1A1A1A"/>
          <w:sz w:val="22"/>
          <w:szCs w:val="22"/>
        </w:rPr>
        <w:t xml:space="preserve"> NVD/CVE Database (nvd.nist.gov), NIST Special Publications, Vendor Security Advisories, CISA Alerts, Original researcher disclosure write-ups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Secondary Sources (Acceptable for context and narrative):</w:t>
      </w:r>
      <w:r>
        <w:rPr>
          <w:rFonts w:ascii="Calibri" w:cs="Calibri" w:eastAsia="Calibri" w:hAnsi="Calibri"/>
          <w:b w:val="false"/>
          <w:bCs w:val="false"/>
          <w:i w:val="false"/>
          <w:iCs w:val="false"/>
          <w:strike w:val="false"/>
          <w:color w:val="1A1A1A"/>
          <w:sz w:val="22"/>
          <w:szCs w:val="22"/>
        </w:rPr>
        <w:t xml:space="preserve"> Vetted security journalism (Krebs on Security, Wired, Ars Technica, The Register), Academic peer-reviewed papers, Congressional testimony and court documents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Tertiary Sources (Background context only, never sole sourcing):</w:t>
      </w:r>
      <w:r>
        <w:rPr>
          <w:rFonts w:ascii="Calibri" w:cs="Calibri" w:eastAsia="Calibri" w:hAnsi="Calibri"/>
          <w:b w:val="false"/>
          <w:bCs w:val="false"/>
          <w:i w:val="false"/>
          <w:iCs w:val="false"/>
          <w:strike w:val="false"/>
          <w:color w:val="1A1A1A"/>
          <w:sz w:val="22"/>
          <w:szCs w:val="22"/>
        </w:rPr>
        <w:t xml:space="preserve"> Blog posts from known security researchers, Podcast transcripts, Conference talks (DEF CON / Black Hat recordings)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Prohibited Sources:</w:t>
      </w:r>
      <w:r>
        <w:rPr>
          <w:rFonts w:ascii="Calibri" w:cs="Calibri" w:eastAsia="Calibri" w:hAnsi="Calibri"/>
          <w:b w:val="false"/>
          <w:bCs w:val="false"/>
          <w:i w:val="false"/>
          <w:iCs w:val="false"/>
          <w:strike w:val="false"/>
          <w:color w:val="1A1A1A"/>
          <w:sz w:val="22"/>
          <w:szCs w:val="22"/>
        </w:rPr>
        <w:t xml:space="preserve"> Anonymous social media claims, Unattributed forums, Marketing materials from security vendors, Press releases without corroboration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47A00" w:sz="24"/>
              <w:bottom w:val="nil" w:color="FFFFFF" w:sz="0"/>
              <w:right w:val="nil" w:color="FFFFFF" w:sz="0"/>
            </w:tcBorders>
            <w:shd w:fill="FFF8E6" w:color="auto" w:val="clear"/>
            <w:tcMar>
              <w:top w:type="dxa" w:w="200"/>
              <w:left w:type="dxa" w:w="280"/>
              <w:bottom w:type="dxa" w:w="200"/>
              <w:right w:type="dxa" w:w="280"/>
            </w:tcMar>
          </w:tcPr>
          <w:p>
            <w:pPr>
              <w:spacing w:after="120" w:line="408" w:lineRule="auto"/>
            </w:pPr>
            <w:r>
              <w:rPr>
                <w:b/>
                <w:bCs/>
                <w:i w:val="false"/>
                <w:iCs w:val="false"/>
                <w:color w:val="C47A00"/>
              </w:rPr>
              <w:t xml:space="preserve">// FACT-CHECK GATE</w:t>
            </w:r>
          </w:p>
          <w:p>
            <w:pPr>
              <w:spacing w:after="140" w:line="384" w:lineRule="auto"/>
            </w:pPr>
            <w:r>
              <w:rPr>
                <w:rFonts w:ascii="Calibri" w:cs="Calibri" w:eastAsia="Calibri" w:hAnsi="Calibri"/>
                <w:b w:val="false"/>
                <w:bCs w:val="false"/>
                <w:i w:val="false"/>
                <w:iCs w:val="false"/>
                <w:strike w:val="false"/>
                <w:color w:val="1A1A1A"/>
                <w:sz w:val="22"/>
                <w:szCs w:val="22"/>
              </w:rPr>
              <w:t xml:space="preserve">Every episode script must pass a technical fact-check by a qualified security professional before recording begins. Technical inaccuracies discovered post-recording require a re-record or on-screen/audio correction note. We do not publish known inaccuracies. See Section 11 (Production Workflow) for approval chain.</w:t>
            </w:r>
          </w:p>
        </w:tc>
      </w:tr>
    </w:tbl>
    <w:p>
      <w:pPr>
        <w:spacing w:after="240" w:before="0"/>
      </w:pPr>
    </w:p>
    <w:p>
      <w:pPr>
        <w:spacing w:after="240" w:line="408" w:lineRule="auto"/>
      </w:pPr>
      <w:r>
        <w:rPr>
          <w:b w:val="false"/>
          <w:bCs w:val="false"/>
          <w:i w:val="false"/>
          <w:iCs w:val="false"/>
          <w:color w:val="007A8A"/>
        </w:rPr>
        <w:t xml:space="preserve">// SECTION 07</w:t>
      </w:r>
    </w:p>
    <w:p>
      <w:pPr>
        <w:pStyle w:val="Heading2"/>
        <w:spacing w:after="100" w:before="440" w:line="384" w:lineRule="auto"/>
      </w:pPr>
      <w:r>
        <w:rPr>
          <w:rFonts w:ascii="Consolas" w:cs="Consolas" w:eastAsia="Consolas" w:hAnsi="Consolas"/>
          <w:color w:val="0D3B4F"/>
          <w:sz w:val="32"/>
          <w:szCs w:val="32"/>
        </w:rPr>
        <w:t xml:space="preserve">PACING RULES</w:t>
      </w:r>
    </w:p>
    <w:p>
      <w:pPr>
        <w:pBdr>
          <w:top w:val="single" w:color="0D3B4F" w:sz="6"/>
        </w:pBdr>
        <w:spacing w:after="200" w:before="0"/>
      </w:pPr>
    </w:p>
    <w:p>
      <w:pPr>
        <w:pStyle w:val="Heading3"/>
        <w:spacing w:after="80" w:before="280" w:line="384" w:lineRule="auto"/>
      </w:pPr>
      <w:r>
        <w:rPr>
          <w:rFonts w:ascii="Calibri" w:cs="Calibri" w:eastAsia="Calibri" w:hAnsi="Calibri"/>
          <w:color w:val="0D3B4F"/>
          <w:sz w:val="26"/>
          <w:szCs w:val="26"/>
        </w:rPr>
        <w:t xml:space="preserve">Macro Pacing — Season Arc</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2%"/>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Phase</w:t>
            </w:r>
          </w:p>
        </w:tc>
        <w:tc>
          <w:tcPr>
            <w:tcW w:type="pct" w:w="10%"/>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Episodes</w:t>
            </w:r>
          </w:p>
        </w:tc>
        <w:tc>
          <w:tcPr>
            <w:tcW w:type="pct" w:w="59%"/>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Pacing Character</w:t>
            </w:r>
          </w:p>
        </w:tc>
        <w:tc>
          <w:tcPr>
            <w:tcW w:type="pct" w:w="19%"/>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Emotional Register</w:t>
            </w:r>
          </w:p>
        </w:tc>
      </w:tr>
      <w:tr>
        <w:trPr>
          <w:tblHeader w:val="false"/>
        </w:trPr>
        <w:tc>
          <w:tcPr>
            <w:tcW w:type="pct" w:w="12%"/>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Escalation</w:t>
            </w:r>
          </w:p>
        </w:tc>
        <w:tc>
          <w:tcPr>
            <w:tcW w:type="pct" w:w="10%"/>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1–4</w:t>
            </w:r>
          </w:p>
        </w:tc>
        <w:tc>
          <w:tcPr>
            <w:tcW w:type="pct" w:w="59%"/>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Steady acceleration. Each episode's stakes slightly exceed the last. Technical complexity gradually increases.</w:t>
            </w:r>
          </w:p>
        </w:tc>
        <w:tc>
          <w:tcPr>
            <w:tcW w:type="pct" w:w="19%"/>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Curiosity → Fascination</w:t>
            </w:r>
          </w:p>
        </w:tc>
      </w:tr>
      <w:tr>
        <w:trPr>
          <w:tblHeader w:val="false"/>
        </w:trPr>
        <w:tc>
          <w:tcPr>
            <w:tcW w:type="pct" w:w="12%"/>
            <w:shd w:fill="F4F8FB" w:color="auto" w:val="clear"/>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Plateau</w:t>
            </w:r>
          </w:p>
        </w:tc>
        <w:tc>
          <w:tcPr>
            <w:tcW w:type="pct" w:w="10%"/>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5–6</w:t>
            </w:r>
          </w:p>
        </w:tc>
        <w:tc>
          <w:tcPr>
            <w:tcW w:type="pct" w:w="59%"/>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A deliberate breath. One of these episodes should be the most accessible of the season — a reset before the turn.</w:t>
            </w:r>
          </w:p>
        </w:tc>
        <w:tc>
          <w:tcPr>
            <w:tcW w:type="pct" w:w="19%"/>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Understanding → Reflection</w:t>
            </w:r>
          </w:p>
        </w:tc>
      </w:tr>
      <w:tr>
        <w:trPr>
          <w:tblHeader w:val="false"/>
        </w:trPr>
        <w:tc>
          <w:tcPr>
            <w:tcW w:type="pct" w:w="12%"/>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Pivot</w:t>
            </w:r>
          </w:p>
        </w:tc>
        <w:tc>
          <w:tcPr>
            <w:tcW w:type="pct" w:w="10%"/>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7</w:t>
            </w:r>
          </w:p>
        </w:tc>
        <w:tc>
          <w:tcPr>
            <w:tcW w:type="pct" w:w="59%"/>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The season changes direction. A previously established assumption is overturned. Marks the transition from "history" to "present."</w:t>
            </w:r>
          </w:p>
        </w:tc>
        <w:tc>
          <w:tcPr>
            <w:tcW w:type="pct" w:w="19%"/>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Discomfort → Re-orientation</w:t>
            </w:r>
          </w:p>
        </w:tc>
      </w:tr>
      <w:tr>
        <w:trPr>
          <w:tblHeader w:val="false"/>
        </w:trPr>
        <w:tc>
          <w:tcPr>
            <w:tcW w:type="pct" w:w="12%"/>
            <w:shd w:fill="F4F8FB" w:color="auto" w:val="clear"/>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Climax</w:t>
            </w:r>
          </w:p>
        </w:tc>
        <w:tc>
          <w:tcPr>
            <w:tcW w:type="pct" w:w="10%"/>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8–11</w:t>
            </w:r>
          </w:p>
        </w:tc>
        <w:tc>
          <w:tcPr>
            <w:tcW w:type="pct" w:w="59%"/>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Rapid escalation. Episodes are denser, stakes are higher. Pacing is tighter. The season arc becomes undeniable.</w:t>
            </w:r>
          </w:p>
        </w:tc>
        <w:tc>
          <w:tcPr>
            <w:tcW w:type="pct" w:w="19%"/>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Urgency → Dread (productive)</w:t>
            </w:r>
          </w:p>
        </w:tc>
      </w:tr>
      <w:tr>
        <w:trPr>
          <w:tblHeader w:val="false"/>
        </w:trPr>
        <w:tc>
          <w:tcPr>
            <w:tcW w:type="pct" w:w="12%"/>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Resolution</w:t>
            </w:r>
          </w:p>
        </w:tc>
        <w:tc>
          <w:tcPr>
            <w:tcW w:type="pct" w:w="10%"/>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12–13</w:t>
            </w:r>
          </w:p>
        </w:tc>
        <w:tc>
          <w:tcPr>
            <w:tcW w:type="pct" w:w="59%"/>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Deliberate, considered, unhurried. The finale earns its length. It does not rush to close loops — it names the loops we're left with.</w:t>
            </w:r>
          </w:p>
        </w:tc>
        <w:tc>
          <w:tcPr>
            <w:tcW w:type="pct" w:w="19%"/>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Weight → Open questions</w:t>
            </w:r>
          </w:p>
        </w:tc>
      </w:tr>
    </w:tbl>
    <w:p>
      <w:pPr>
        <w:spacing w:after="200" w:before="0"/>
      </w:pPr>
    </w:p>
    <w:p>
      <w:pPr>
        <w:pStyle w:val="Heading3"/>
        <w:spacing w:after="80" w:before="280" w:line="384" w:lineRule="auto"/>
      </w:pPr>
      <w:r>
        <w:rPr>
          <w:rFonts w:ascii="Calibri" w:cs="Calibri" w:eastAsia="Calibri" w:hAnsi="Calibri"/>
          <w:color w:val="0D3B4F"/>
          <w:sz w:val="26"/>
          <w:szCs w:val="26"/>
        </w:rPr>
        <w:t xml:space="preserve">Episode-Level Pacing Rules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Cold Open cuts:</w:t>
      </w:r>
      <w:r>
        <w:rPr>
          <w:rFonts w:ascii="Calibri" w:cs="Calibri" w:eastAsia="Calibri" w:hAnsi="Calibri"/>
          <w:b w:val="false"/>
          <w:bCs w:val="false"/>
          <w:i w:val="false"/>
          <w:iCs w:val="false"/>
          <w:strike w:val="false"/>
          <w:color w:val="1A1A1A"/>
          <w:sz w:val="22"/>
          <w:szCs w:val="22"/>
        </w:rPr>
        <w:t xml:space="preserve"> Maximum 3 cuts in 2 minutes. Slower than the audience expects — creates unease that the episode earns.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Setup transitions:</w:t>
      </w:r>
      <w:r>
        <w:rPr>
          <w:rFonts w:ascii="Calibri" w:cs="Calibri" w:eastAsia="Calibri" w:hAnsi="Calibri"/>
          <w:b w:val="false"/>
          <w:bCs w:val="false"/>
          <w:i w:val="false"/>
          <w:iCs w:val="false"/>
          <w:strike w:val="false"/>
          <w:color w:val="1A1A1A"/>
          <w:sz w:val="22"/>
          <w:szCs w:val="22"/>
        </w:rPr>
        <w:t xml:space="preserve"> Match-cut or motivated cut only. No jump cuts in the Setup. The audience is being oriented; disorienting editing is counterproductive here.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Deep Dive rhythm:</w:t>
      </w:r>
      <w:r>
        <w:rPr>
          <w:rFonts w:ascii="Calibri" w:cs="Calibri" w:eastAsia="Calibri" w:hAnsi="Calibri"/>
          <w:b w:val="false"/>
          <w:bCs w:val="false"/>
          <w:i w:val="false"/>
          <w:iCs w:val="false"/>
          <w:strike w:val="false"/>
          <w:color w:val="1A1A1A"/>
          <w:sz w:val="22"/>
          <w:szCs w:val="22"/>
        </w:rPr>
        <w:t xml:space="preserve"> Cut to B-roll (diagram, code, screen recording) every 45–90 seconds of talking head. No talking head shot longer than 90 seconds unbroken.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Human Layer editing:</w:t>
      </w:r>
      <w:r>
        <w:rPr>
          <w:rFonts w:ascii="Calibri" w:cs="Calibri" w:eastAsia="Calibri" w:hAnsi="Calibri"/>
          <w:b w:val="false"/>
          <w:bCs w:val="false"/>
          <w:i w:val="false"/>
          <w:iCs w:val="false"/>
          <w:strike w:val="false"/>
          <w:color w:val="1A1A1A"/>
          <w:sz w:val="22"/>
          <w:szCs w:val="22"/>
        </w:rPr>
        <w:t xml:space="preserve"> Allow interview audio to run long. Resist the instinct to cut at every pause. Pauses carry emotional information — protect them.</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Editorial pace:</w:t>
      </w:r>
      <w:r>
        <w:rPr>
          <w:rFonts w:ascii="Calibri" w:cs="Calibri" w:eastAsia="Calibri" w:hAnsi="Calibri"/>
          <w:b w:val="false"/>
          <w:bCs w:val="false"/>
          <w:i w:val="false"/>
          <w:iCs w:val="false"/>
          <w:strike w:val="false"/>
          <w:color w:val="1A1A1A"/>
          <w:sz w:val="22"/>
          <w:szCs w:val="22"/>
        </w:rPr>
        <w:t xml:space="preserve"> Slower than any other segment. This is where the audience processes everything they've learned. One idea per sentence. Full stops. Breathe.</w:t>
      </w:r>
    </w:p>
    <w:p>
      <w:pPr>
        <w:pStyle w:val="Heading3"/>
        <w:spacing w:after="80" w:before="280" w:line="384" w:lineRule="auto"/>
      </w:pPr>
      <w:r>
        <w:rPr>
          <w:rFonts w:ascii="Calibri" w:cs="Calibri" w:eastAsia="Calibri" w:hAnsi="Calibri"/>
          <w:color w:val="0D3B4F"/>
          <w:sz w:val="26"/>
          <w:szCs w:val="26"/>
        </w:rPr>
        <w:t xml:space="preserve">Energy Curve Per Episode Format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3%"/>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Format</w:t>
            </w:r>
          </w:p>
        </w:tc>
        <w:tc>
          <w:tcPr>
            <w:tcW w:type="pct" w:w="22%"/>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Energy Arc</w:t>
            </w:r>
          </w:p>
        </w:tc>
        <w:tc>
          <w:tcPr>
            <w:tcW w:type="pct" w:w="65%"/>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Key Pacing Note</w:t>
            </w:r>
          </w:p>
        </w:tc>
      </w:tr>
      <w:tr>
        <w:trPr>
          <w:tblHeader w:val="false"/>
        </w:trPr>
        <w:tc>
          <w:tcPr>
            <w:tcW w:type="pct" w:w="13%"/>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Standard Episode</w:t>
            </w:r>
          </w:p>
        </w:tc>
        <w:tc>
          <w:tcPr>
            <w:tcW w:type="pct" w:w="22%"/>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High → Medium → High → Low → Medium → Low → Medium</w:t>
            </w:r>
          </w:p>
        </w:tc>
        <w:tc>
          <w:tcPr>
            <w:tcW w:type="pct" w:w="65%"/>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The dip at Human Layer is intentional — it is the emotional center of gravity.</w:t>
            </w:r>
          </w:p>
        </w:tc>
      </w:tr>
      <w:tr>
        <w:trPr>
          <w:tblHeader w:val="false"/>
        </w:trPr>
        <w:tc>
          <w:tcPr>
            <w:tcW w:type="pct" w:w="13%"/>
            <w:shd w:fill="F4F8FB" w:color="auto" w:val="clear"/>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Deep Dive Solo</w:t>
            </w:r>
          </w:p>
        </w:tc>
        <w:tc>
          <w:tcPr>
            <w:tcW w:type="pct" w:w="22%"/>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High → Sustained Medium-High → Declining → Low</w:t>
            </w:r>
          </w:p>
        </w:tc>
        <w:tc>
          <w:tcPr>
            <w:tcW w:type="pct" w:w="65%"/>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Solo episodes must be ruthlessly scripted. Without guest voices to create variety, pacing becomes entirely editorial. 3-minute maximum on any single technical segment without a hard cut or tone shift.</w:t>
            </w:r>
          </w:p>
        </w:tc>
      </w:tr>
      <w:tr>
        <w:trPr>
          <w:tblHeader w:val="false"/>
        </w:trPr>
        <w:tc>
          <w:tcPr>
            <w:tcW w:type="pct" w:w="13%"/>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Panel Debate</w:t>
            </w:r>
          </w:p>
        </w:tc>
        <w:tc>
          <w:tcPr>
            <w:tcW w:type="pct" w:w="22%"/>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Medium → High (peak during debate) → Medium</w:t>
            </w:r>
          </w:p>
        </w:tc>
        <w:tc>
          <w:tcPr>
            <w:tcW w:type="pct" w:w="65%"/>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Host must actively manage energy — prevent runaway agreement (boring) and prevent runaway conflict (uncomfortable). Productive tension is the target.</w:t>
            </w:r>
          </w:p>
        </w:tc>
      </w:tr>
      <w:tr>
        <w:trPr>
          <w:tblHeader w:val="false"/>
        </w:trPr>
        <w:tc>
          <w:tcPr>
            <w:tcW w:type="pct" w:w="13%"/>
            <w:shd w:fill="F4F8FB" w:color="auto" w:val="clear"/>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Field Report</w:t>
            </w:r>
          </w:p>
        </w:tc>
        <w:tc>
          <w:tcPr>
            <w:tcW w:type="pct" w:w="22%"/>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Variable — environment-driven</w:t>
            </w:r>
          </w:p>
        </w:tc>
        <w:tc>
          <w:tcPr>
            <w:tcW w:type="pct" w:w="65%"/>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Let the location set the energy. On-location audio is a feature. B-roll of environment justifies longer narration stretches.</w:t>
            </w:r>
          </w:p>
        </w:tc>
      </w:tr>
    </w:tbl>
    <w:p>
      <w:pPr>
        <w:spacing w:after="200" w:before="0"/>
      </w:pPr>
    </w:p>
    <w:p>
      <w:pPr>
        <w:pStyle w:val="Heading3"/>
        <w:spacing w:after="80" w:before="280" w:line="384" w:lineRule="auto"/>
      </w:pPr>
      <w:r>
        <w:rPr>
          <w:rFonts w:ascii="Calibri" w:cs="Calibri" w:eastAsia="Calibri" w:hAnsi="Calibri"/>
          <w:color w:val="0D3B4F"/>
          <w:sz w:val="26"/>
          <w:szCs w:val="26"/>
        </w:rPr>
        <w:t xml:space="preserve">Dead Air and Silence Policy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7A8A" w:sz="24"/>
              <w:bottom w:val="nil" w:color="FFFFFF" w:sz="0"/>
              <w:right w:val="nil" w:color="FFFFFF" w:sz="0"/>
            </w:tcBorders>
            <w:shd w:fill="E8F4F8" w:color="auto" w:val="clear"/>
            <w:tcMar>
              <w:top w:type="dxa" w:w="200"/>
              <w:left w:type="dxa" w:w="280"/>
              <w:bottom w:type="dxa" w:w="200"/>
              <w:right w:type="dxa" w:w="280"/>
            </w:tcMar>
          </w:tcPr>
          <w:p>
            <w:pPr>
              <w:spacing w:after="120" w:line="408" w:lineRule="auto"/>
            </w:pPr>
            <w:r>
              <w:rPr>
                <w:b/>
                <w:bCs/>
                <w:i w:val="false"/>
                <w:iCs w:val="false"/>
                <w:color w:val="007A8A"/>
              </w:rPr>
              <w:t xml:space="preserve">// SILENCE AS EDITORIAL TOOL</w:t>
            </w:r>
          </w:p>
          <w:p>
            <w:pPr>
              <w:spacing w:after="140" w:line="384" w:lineRule="auto"/>
            </w:pPr>
            <w:r>
              <w:rPr>
                <w:rFonts w:ascii="Calibri" w:cs="Calibri" w:eastAsia="Calibri" w:hAnsi="Calibri"/>
                <w:b w:val="false"/>
                <w:bCs w:val="false"/>
                <w:i w:val="false"/>
                <w:iCs w:val="false"/>
                <w:strike w:val="false"/>
                <w:color w:val="1A1A1A"/>
                <w:sz w:val="22"/>
                <w:szCs w:val="22"/>
              </w:rPr>
              <w:t xml:space="preserve">Silence is not a production failure. In the Human Layer, a 3–5 second pause after a guest delivers a significant statement is an editorial choice that says: </w:t>
            </w:r>
            <w:r>
              <w:rPr>
                <w:rFonts w:ascii="Calibri" w:cs="Calibri" w:eastAsia="Calibri" w:hAnsi="Calibri"/>
                <w:b w:val="false"/>
                <w:bCs w:val="false"/>
                <w:i/>
                <w:iCs/>
                <w:strike w:val="false"/>
                <w:color w:val="1A1A1A"/>
                <w:sz w:val="22"/>
                <w:szCs w:val="22"/>
              </w:rPr>
              <w:t xml:space="preserve">what you just heard mattered</w:t>
            </w:r>
            <w:r>
              <w:rPr>
                <w:rFonts w:ascii="Calibri" w:cs="Calibri" w:eastAsia="Calibri" w:hAnsi="Calibri"/>
                <w:b w:val="false"/>
                <w:bCs w:val="false"/>
                <w:i w:val="false"/>
                <w:iCs w:val="false"/>
                <w:strike w:val="false"/>
                <w:color w:val="1A1A1A"/>
                <w:sz w:val="22"/>
                <w:szCs w:val="22"/>
              </w:rPr>
              <w:t xml:space="preserve">. In the Cold Open, 2–4 seconds of ambient audio before the first word creates pressure. In the Editorial, a beat of silence after a hard question is the host giving the audience space to sit with it. Editors are instructed to resist the urge to fill every pause. Silence earns its presence the same way a word does.</w:t>
            </w:r>
          </w:p>
        </w:tc>
      </w:tr>
    </w:tbl>
    <w:p>
      <w:pPr>
        <w:spacing w:after="240" w:before="0"/>
      </w:pPr>
    </w:p>
    <w:p>
      <w:pPr>
        <w:pStyle w:val="Heading3"/>
        <w:spacing w:after="80" w:before="280" w:line="384" w:lineRule="auto"/>
      </w:pPr>
      <w:r>
        <w:rPr>
          <w:rFonts w:ascii="Calibri" w:cs="Calibri" w:eastAsia="Calibri" w:hAnsi="Calibri"/>
          <w:color w:val="0D3B4F"/>
          <w:sz w:val="26"/>
          <w:szCs w:val="26"/>
        </w:rPr>
        <w:t xml:space="preserve">Cliffhanger Frequency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9%"/>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Type</w:t>
            </w:r>
          </w:p>
        </w:tc>
        <w:tc>
          <w:tcPr>
            <w:tcW w:type="pct" w:w="40%"/>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Frequency</w:t>
            </w:r>
          </w:p>
        </w:tc>
        <w:tc>
          <w:tcPr>
            <w:tcW w:type="pct" w:w="21%"/>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Mandatory?</w:t>
            </w:r>
          </w:p>
        </w:tc>
      </w:tr>
      <w:tr>
        <w:trPr>
          <w:tblHeader w:val="false"/>
        </w:trPr>
        <w:tc>
          <w:tcPr>
            <w:tcW w:type="pct" w:w="39%"/>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Episode-ending narrative hook or open question</w:t>
            </w:r>
          </w:p>
        </w:tc>
        <w:tc>
          <w:tcPr>
            <w:tcW w:type="pct" w:w="40%"/>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Every episode</w:t>
            </w:r>
          </w:p>
        </w:tc>
        <w:tc>
          <w:tcPr>
            <w:tcW w:type="pct" w:w="21%"/>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Yes</w:t>
            </w:r>
          </w:p>
        </w:tc>
      </w:tr>
      <w:tr>
        <w:trPr>
          <w:tblHeader w:val="false"/>
        </w:trPr>
        <w:tc>
          <w:tcPr>
            <w:tcW w:type="pct" w:w="39%"/>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Mid-episode pivot (structural surprise)</w:t>
            </w:r>
          </w:p>
        </w:tc>
        <w:tc>
          <w:tcPr>
            <w:tcW w:type="pct" w:w="40%"/>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Once per episode (typically around minute 20–22)</w:t>
            </w:r>
          </w:p>
        </w:tc>
        <w:tc>
          <w:tcPr>
            <w:tcW w:type="pct" w:w="21%"/>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Strongly recommended</w:t>
            </w:r>
          </w:p>
        </w:tc>
      </w:tr>
      <w:tr>
        <w:trPr>
          <w:tblHeader w:val="false"/>
        </w:trPr>
        <w:tc>
          <w:tcPr>
            <w:tcW w:type="pct" w:w="39%"/>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Season arc seed (planted detail)</w:t>
            </w:r>
          </w:p>
        </w:tc>
        <w:tc>
          <w:tcPr>
            <w:tcW w:type="pct" w:w="40%"/>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Every 2nd episode</w:t>
            </w:r>
          </w:p>
        </w:tc>
        <w:tc>
          <w:tcPr>
            <w:tcW w:type="pct" w:w="21%"/>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Yes</w:t>
            </w:r>
          </w:p>
        </w:tc>
      </w:tr>
      <w:tr>
        <w:trPr>
          <w:tblHeader w:val="false"/>
        </w:trPr>
        <w:tc>
          <w:tcPr>
            <w:tcW w:type="pct" w:w="39%"/>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Season finale cliffhanger</w:t>
            </w:r>
          </w:p>
        </w:tc>
        <w:tc>
          <w:tcPr>
            <w:tcW w:type="pct" w:w="40%"/>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Once (finale)</w:t>
            </w:r>
          </w:p>
        </w:tc>
        <w:tc>
          <w:tcPr>
            <w:tcW w:type="pct" w:w="21%"/>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Mandatory</w:t>
            </w:r>
          </w:p>
        </w:tc>
      </w:tr>
    </w:tbl>
    <w:p>
      <w:pPr>
        <w:spacing w:after="200" w:before="0"/>
      </w:pPr>
    </w:p>
    <w:p>
      <w:pPr>
        <w:pStyle w:val="Heading3"/>
        <w:spacing w:after="80" w:before="280" w:line="384" w:lineRule="auto"/>
      </w:pPr>
      <w:r>
        <w:rPr>
          <w:rFonts w:ascii="Calibri" w:cs="Calibri" w:eastAsia="Calibri" w:hAnsi="Calibri"/>
          <w:color w:val="0D3B4F"/>
          <w:sz w:val="26"/>
          <w:szCs w:val="26"/>
        </w:rPr>
        <w:t xml:space="preserve">Editing Rhythm Targets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6%"/>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Metric</w:t>
            </w:r>
          </w:p>
        </w:tc>
        <w:tc>
          <w:tcPr>
            <w:tcW w:type="pct" w:w="24%"/>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Target</w:t>
            </w:r>
          </w:p>
        </w:tc>
        <w:tc>
          <w:tcPr>
            <w:tcW w:type="pct" w:w="50%"/>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Notes</w:t>
            </w:r>
          </w:p>
        </w:tc>
      </w:tr>
      <w:tr>
        <w:trPr>
          <w:tblHeader w:val="false"/>
        </w:trPr>
        <w:tc>
          <w:tcPr>
            <w:tcW w:type="pct" w:w="26%"/>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Average cut frequency (Deep Dive)</w:t>
            </w:r>
          </w:p>
        </w:tc>
        <w:tc>
          <w:tcPr>
            <w:tcW w:type="pct" w:w="24%"/>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1 cut per 20–40 seconds</w:t>
            </w:r>
          </w:p>
        </w:tc>
        <w:tc>
          <w:tcPr>
            <w:tcW w:type="pct" w:w="50%"/>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Faster for screen recordings/code walkthroughs; slower for talking head</w:t>
            </w:r>
          </w:p>
        </w:tc>
      </w:tr>
      <w:tr>
        <w:trPr>
          <w:tblHeader w:val="false"/>
        </w:trPr>
        <w:tc>
          <w:tcPr>
            <w:tcW w:type="pct" w:w="26%"/>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B-roll ratio (Deep Dive)</w:t>
            </w:r>
          </w:p>
        </w:tc>
        <w:tc>
          <w:tcPr>
            <w:tcW w:type="pct" w:w="24%"/>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40–55% of Deep Dive runtime</w:t>
            </w:r>
          </w:p>
        </w:tc>
        <w:tc>
          <w:tcPr>
            <w:tcW w:type="pct" w:w="50%"/>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Never more than 60% — some talking head is required for trust and authority</w:t>
            </w:r>
          </w:p>
        </w:tc>
      </w:tr>
      <w:tr>
        <w:trPr>
          <w:tblHeader w:val="false"/>
        </w:trPr>
        <w:tc>
          <w:tcPr>
            <w:tcW w:type="pct" w:w="26%"/>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Talking head ratio (Human Layer)</w:t>
            </w:r>
          </w:p>
        </w:tc>
        <w:tc>
          <w:tcPr>
            <w:tcW w:type="pct" w:w="24%"/>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60–70% of Human Layer runtime</w:t>
            </w:r>
          </w:p>
        </w:tc>
        <w:tc>
          <w:tcPr>
            <w:tcW w:type="pct" w:w="50%"/>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Faces carry emotion; B-roll should only contextualize, not replace</w:t>
            </w:r>
          </w:p>
        </w:tc>
      </w:tr>
      <w:tr>
        <w:trPr>
          <w:tblHeader w:val="false"/>
        </w:trPr>
        <w:tc>
          <w:tcPr>
            <w:tcW w:type="pct" w:w="26%"/>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Talking head ratio (Editorial)</w:t>
            </w:r>
          </w:p>
        </w:tc>
        <w:tc>
          <w:tcPr>
            <w:tcW w:type="pct" w:w="24%"/>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85–100%</w:t>
            </w:r>
          </w:p>
        </w:tc>
        <w:tc>
          <w:tcPr>
            <w:tcW w:type="pct" w:w="50%"/>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The host alone. No cut-away during the host's most important POV statements</w:t>
            </w:r>
          </w:p>
        </w:tc>
      </w:tr>
      <w:tr>
        <w:trPr>
          <w:tblHeader w:val="false"/>
        </w:trPr>
        <w:tc>
          <w:tcPr>
            <w:tcW w:type="pct" w:w="26%"/>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Cold open average shot length</w:t>
            </w:r>
          </w:p>
        </w:tc>
        <w:tc>
          <w:tcPr>
            <w:tcW w:type="pct" w:w="24%"/>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4–8 seconds</w:t>
            </w:r>
          </w:p>
        </w:tc>
        <w:tc>
          <w:tcPr>
            <w:tcW w:type="pct" w:w="50%"/>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Long by contemporary standards — creates deliberate unease</w:t>
            </w:r>
          </w:p>
        </w:tc>
      </w:tr>
    </w:tbl>
    <w:p>
      <w:pPr>
        <w:spacing w:after="200" w:before="0"/>
      </w:pPr>
    </w:p>
    <w:p>
      <w:pPr>
        <w:spacing w:after="240" w:line="408" w:lineRule="auto"/>
      </w:pPr>
      <w:r>
        <w:rPr>
          <w:b w:val="false"/>
          <w:bCs w:val="false"/>
          <w:i w:val="false"/>
          <w:iCs w:val="false"/>
          <w:color w:val="007A8A"/>
        </w:rPr>
        <w:t xml:space="preserve">// SECTION 08</w:t>
      </w:r>
    </w:p>
    <w:p>
      <w:pPr>
        <w:pStyle w:val="Heading2"/>
        <w:spacing w:after="100" w:before="440" w:line="384" w:lineRule="auto"/>
      </w:pPr>
      <w:r>
        <w:rPr>
          <w:rFonts w:ascii="Consolas" w:cs="Consolas" w:eastAsia="Consolas" w:hAnsi="Consolas"/>
          <w:color w:val="0D3B4F"/>
          <w:sz w:val="32"/>
          <w:szCs w:val="32"/>
        </w:rPr>
        <w:t xml:space="preserve">BRANDING ELEMENTS</w:t>
      </w:r>
    </w:p>
    <w:p>
      <w:pPr>
        <w:pBdr>
          <w:top w:val="single" w:color="0D3B4F" w:sz="6"/>
        </w:pBdr>
        <w:spacing w:after="200" w:before="0"/>
      </w:pPr>
    </w:p>
    <w:p>
      <w:pPr>
        <w:pStyle w:val="Heading3"/>
        <w:spacing w:after="80" w:before="280" w:line="384" w:lineRule="auto"/>
      </w:pPr>
      <w:r>
        <w:rPr>
          <w:rFonts w:ascii="Calibri" w:cs="Calibri" w:eastAsia="Calibri" w:hAnsi="Calibri"/>
          <w:color w:val="0D3B4F"/>
          <w:sz w:val="26"/>
          <w:szCs w:val="26"/>
        </w:rPr>
        <w:t xml:space="preserve">Series Name Treatment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Full series name:</w:t>
      </w:r>
      <w:r>
        <w:rPr>
          <w:rFonts w:ascii="Calibri" w:cs="Calibri" w:eastAsia="Calibri" w:hAnsi="Calibri"/>
          <w:b w:val="false"/>
          <w:bCs w:val="false"/>
          <w:i w:val="false"/>
          <w:iCs w:val="false"/>
          <w:strike w:val="false"/>
          <w:color w:val="1A1A1A"/>
          <w:sz w:val="22"/>
          <w:szCs w:val="22"/>
        </w:rPr>
        <w:t xml:space="preserve"> </w:t>
      </w:r>
      <w:r>
        <w:rPr>
          <w:rFonts w:ascii="Consolas" w:cs="Consolas" w:eastAsia="Consolas" w:hAnsi="Consolas"/>
          <w:b w:val="false"/>
          <w:bCs w:val="false"/>
          <w:i w:val="false"/>
          <w:iCs w:val="false"/>
          <w:strike w:val="false"/>
          <w:color w:val="1A1A1A"/>
          <w:sz w:val="20"/>
          <w:szCs w:val="20"/>
          <w:shd w:fill="F0F0F0" w:color="auto" w:val="clear"/>
        </w:rPr>
        <w:t xml:space="preserve">CODICON HACKING</w:t>
      </w:r>
      <w:r>
        <w:rPr>
          <w:rFonts w:ascii="Calibri" w:cs="Calibri" w:eastAsia="Calibri" w:hAnsi="Calibri"/>
          <w:b w:val="false"/>
          <w:bCs w:val="false"/>
          <w:i w:val="false"/>
          <w:iCs w:val="false"/>
          <w:strike w:val="false"/>
          <w:color w:val="1A1A1A"/>
          <w:sz w:val="22"/>
          <w:szCs w:val="22"/>
        </w:rPr>
        <w:t xml:space="preserve"> — used on all official branding, thumbnails, platform pages, and merchandise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Conversational shorthand:</w:t>
      </w:r>
      <w:r>
        <w:rPr>
          <w:rFonts w:ascii="Calibri" w:cs="Calibri" w:eastAsia="Calibri" w:hAnsi="Calibri"/>
          <w:b w:val="false"/>
          <w:bCs w:val="false"/>
          <w:i w:val="false"/>
          <w:iCs w:val="false"/>
          <w:strike w:val="false"/>
          <w:color w:val="1A1A1A"/>
          <w:sz w:val="22"/>
          <w:szCs w:val="22"/>
        </w:rPr>
        <w:t xml:space="preserve"> </w:t>
      </w:r>
      <w:r>
        <w:rPr>
          <w:rFonts w:ascii="Calibri" w:cs="Calibri" w:eastAsia="Calibri" w:hAnsi="Calibri"/>
          <w:b w:val="false"/>
          <w:bCs w:val="false"/>
          <w:i/>
          <w:iCs/>
          <w:strike w:val="false"/>
          <w:color w:val="1A1A1A"/>
          <w:sz w:val="22"/>
          <w:szCs w:val="22"/>
        </w:rPr>
        <w:t xml:space="preserve">Codicon</w:t>
      </w:r>
      <w:r>
        <w:rPr>
          <w:rFonts w:ascii="Calibri" w:cs="Calibri" w:eastAsia="Calibri" w:hAnsi="Calibri"/>
          <w:b w:val="false"/>
          <w:bCs w:val="false"/>
          <w:i w:val="false"/>
          <w:iCs w:val="false"/>
          <w:strike w:val="false"/>
          <w:color w:val="1A1A1A"/>
          <w:sz w:val="22"/>
          <w:szCs w:val="22"/>
        </w:rPr>
        <w:t xml:space="preserve"> — used by hosts in-episode and in community settings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Episode credit line:</w:t>
      </w:r>
      <w:r>
        <w:rPr>
          <w:rFonts w:ascii="Calibri" w:cs="Calibri" w:eastAsia="Calibri" w:hAnsi="Calibri"/>
          <w:b w:val="false"/>
          <w:bCs w:val="false"/>
          <w:i w:val="false"/>
          <w:iCs w:val="false"/>
          <w:strike w:val="false"/>
          <w:color w:val="1A1A1A"/>
          <w:sz w:val="22"/>
          <w:szCs w:val="22"/>
        </w:rPr>
        <w:t xml:space="preserve"> </w:t>
      </w:r>
      <w:r>
        <w:rPr>
          <w:rFonts w:ascii="Calibri" w:cs="Calibri" w:eastAsia="Calibri" w:hAnsi="Calibri"/>
          <w:b w:val="false"/>
          <w:bCs w:val="false"/>
          <w:i/>
          <w:iCs/>
          <w:strike w:val="false"/>
          <w:color w:val="1A1A1A"/>
          <w:sz w:val="22"/>
          <w:szCs w:val="22"/>
        </w:rPr>
        <w:t xml:space="preserve">Codicon Hacking | Season 1</w:t>
      </w:r>
      <w:r>
        <w:rPr>
          <w:rFonts w:ascii="Calibri" w:cs="Calibri" w:eastAsia="Calibri" w:hAnsi="Calibri"/>
          <w:b w:val="false"/>
          <w:bCs w:val="false"/>
          <w:i w:val="false"/>
          <w:iCs w:val="false"/>
          <w:strike w:val="false"/>
          <w:color w:val="1A1A1A"/>
          <w:sz w:val="22"/>
          <w:szCs w:val="22"/>
        </w:rPr>
        <w:t xml:space="preserve"> — used in lower thirds and end cards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Never abbreviate to:</w:t>
      </w:r>
      <w:r>
        <w:rPr>
          <w:rFonts w:ascii="Calibri" w:cs="Calibri" w:eastAsia="Calibri" w:hAnsi="Calibri"/>
          <w:b w:val="false"/>
          <w:bCs w:val="false"/>
          <w:i w:val="false"/>
          <w:iCs w:val="false"/>
          <w:strike w:val="false"/>
          <w:color w:val="1A1A1A"/>
          <w:sz w:val="22"/>
          <w:szCs w:val="22"/>
        </w:rPr>
        <w:t xml:space="preserve"> "CH", "C.H.", or any acronym in public-facing contexts</w:t>
      </w:r>
    </w:p>
    <w:p>
      <w:pPr>
        <w:pStyle w:val="Heading3"/>
        <w:spacing w:after="80" w:before="280" w:line="384" w:lineRule="auto"/>
      </w:pPr>
      <w:r>
        <w:rPr>
          <w:rFonts w:ascii="Calibri" w:cs="Calibri" w:eastAsia="Calibri" w:hAnsi="Calibri"/>
          <w:color w:val="0D3B4F"/>
          <w:sz w:val="26"/>
          <w:szCs w:val="26"/>
        </w:rPr>
        <w:t xml:space="preserve">Visual Identity</w:t>
      </w:r>
    </w:p>
    <w:p>
      <w:pPr>
        <w:pStyle w:val="Heading4"/>
        <w:spacing w:after="60" w:before="200" w:line="384" w:lineRule="auto"/>
      </w:pPr>
      <w:r>
        <w:rPr>
          <w:rFonts w:ascii="Calibri" w:cs="Calibri" w:eastAsia="Calibri" w:hAnsi="Calibri"/>
          <w:color w:val="1A1A1A"/>
          <w:sz w:val="22"/>
          <w:szCs w:val="22"/>
        </w:rPr>
        <w:t xml:space="preserve">Primary Color Palette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8%"/>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Color Name</w:t>
            </w:r>
          </w:p>
        </w:tc>
        <w:tc>
          <w:tcPr>
            <w:tcW w:type="pct" w:w="14%"/>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Hex Code</w:t>
            </w:r>
          </w:p>
        </w:tc>
        <w:tc>
          <w:tcPr>
            <w:tcW w:type="pct" w:w="68%"/>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Use</w:t>
            </w:r>
          </w:p>
        </w:tc>
      </w:tr>
      <w:tr>
        <w:trPr>
          <w:tblHeader w:val="false"/>
        </w:trPr>
        <w:tc>
          <w:tcPr>
            <w:tcW w:type="pct" w:w="18%"/>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Deep Black</w:t>
            </w:r>
          </w:p>
        </w:tc>
        <w:tc>
          <w:tcPr>
            <w:tcW w:type="pct" w:w="14%"/>
            <w:tcMar>
              <w:top w:type="dxa" w:w="105"/>
              <w:left w:type="dxa" w:w="150"/>
              <w:bottom w:type="dxa" w:w="105"/>
              <w:right w:type="dxa" w:w="150"/>
            </w:tcMar>
          </w:tcPr>
          <w:p>
            <w:r>
              <w:rPr>
                <w:rFonts w:ascii="Consolas" w:cs="Consolas" w:eastAsia="Consolas" w:hAnsi="Consolas"/>
                <w:b w:val="false"/>
                <w:bCs w:val="false"/>
                <w:i w:val="false"/>
                <w:iCs w:val="false"/>
                <w:strike w:val="false"/>
                <w:color w:val="1A1A1A"/>
                <w:sz w:val="20"/>
                <w:szCs w:val="20"/>
                <w:shd w:fill="F0F0F0" w:color="auto" w:val="clear"/>
              </w:rPr>
              <w:t xml:space="preserve">#0A0A0A</w:t>
            </w:r>
          </w:p>
        </w:tc>
        <w:tc>
          <w:tcPr>
            <w:tcW w:type="pct" w:w="68%"/>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Primary background, title cards, lower thirds background</w:t>
            </w:r>
          </w:p>
        </w:tc>
      </w:tr>
      <w:tr>
        <w:trPr>
          <w:tblHeader w:val="false"/>
        </w:trPr>
        <w:tc>
          <w:tcPr>
            <w:tcW w:type="pct" w:w="18%"/>
            <w:shd w:fill="F4F8FB" w:color="auto" w:val="clear"/>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Electric Cyan</w:t>
            </w:r>
          </w:p>
        </w:tc>
        <w:tc>
          <w:tcPr>
            <w:tcW w:type="pct" w:w="14%"/>
            <w:shd w:fill="F4F8FB" w:color="auto" w:val="clear"/>
            <w:tcMar>
              <w:top w:type="dxa" w:w="105"/>
              <w:left w:type="dxa" w:w="150"/>
              <w:bottom w:type="dxa" w:w="105"/>
              <w:right w:type="dxa" w:w="150"/>
            </w:tcMar>
          </w:tcPr>
          <w:p>
            <w:r>
              <w:rPr>
                <w:rFonts w:ascii="Consolas" w:cs="Consolas" w:eastAsia="Consolas" w:hAnsi="Consolas"/>
                <w:b w:val="false"/>
                <w:bCs w:val="false"/>
                <w:i w:val="false"/>
                <w:iCs w:val="false"/>
                <w:strike w:val="false"/>
                <w:color w:val="1A1A1A"/>
                <w:sz w:val="20"/>
                <w:szCs w:val="20"/>
                <w:shd w:fill="F0F0F0" w:color="auto" w:val="clear"/>
              </w:rPr>
              <w:t xml:space="preserve">#00F5FF</w:t>
            </w:r>
          </w:p>
        </w:tc>
        <w:tc>
          <w:tcPr>
            <w:tcW w:type="pct" w:w="68%"/>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Primary accent, key text highlights, logo outlines, active UI elements</w:t>
            </w:r>
          </w:p>
        </w:tc>
      </w:tr>
      <w:tr>
        <w:trPr>
          <w:tblHeader w:val="false"/>
        </w:trPr>
        <w:tc>
          <w:tcPr>
            <w:tcW w:type="pct" w:w="18%"/>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Acid Green</w:t>
            </w:r>
          </w:p>
        </w:tc>
        <w:tc>
          <w:tcPr>
            <w:tcW w:type="pct" w:w="14%"/>
            <w:tcMar>
              <w:top w:type="dxa" w:w="105"/>
              <w:left w:type="dxa" w:w="150"/>
              <w:bottom w:type="dxa" w:w="105"/>
              <w:right w:type="dxa" w:w="150"/>
            </w:tcMar>
          </w:tcPr>
          <w:p>
            <w:r>
              <w:rPr>
                <w:rFonts w:ascii="Consolas" w:cs="Consolas" w:eastAsia="Consolas" w:hAnsi="Consolas"/>
                <w:b w:val="false"/>
                <w:bCs w:val="false"/>
                <w:i w:val="false"/>
                <w:iCs w:val="false"/>
                <w:strike w:val="false"/>
                <w:color w:val="1A1A1A"/>
                <w:sz w:val="20"/>
                <w:szCs w:val="20"/>
                <w:shd w:fill="F0F0F0" w:color="auto" w:val="clear"/>
              </w:rPr>
              <w:t xml:space="preserve">#39FF14</w:t>
            </w:r>
          </w:p>
        </w:tc>
        <w:tc>
          <w:tcPr>
            <w:tcW w:type="pct" w:w="68%"/>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Secondary accent, data visualizations, code syntax color, warning indicators</w:t>
            </w:r>
          </w:p>
        </w:tc>
      </w:tr>
      <w:tr>
        <w:trPr>
          <w:tblHeader w:val="false"/>
        </w:trPr>
        <w:tc>
          <w:tcPr>
            <w:tcW w:type="pct" w:w="18%"/>
            <w:shd w:fill="F4F8FB" w:color="auto" w:val="clear"/>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Off-White</w:t>
            </w:r>
          </w:p>
        </w:tc>
        <w:tc>
          <w:tcPr>
            <w:tcW w:type="pct" w:w="14%"/>
            <w:shd w:fill="F4F8FB" w:color="auto" w:val="clear"/>
            <w:tcMar>
              <w:top w:type="dxa" w:w="105"/>
              <w:left w:type="dxa" w:w="150"/>
              <w:bottom w:type="dxa" w:w="105"/>
              <w:right w:type="dxa" w:w="150"/>
            </w:tcMar>
          </w:tcPr>
          <w:p>
            <w:r>
              <w:rPr>
                <w:rFonts w:ascii="Consolas" w:cs="Consolas" w:eastAsia="Consolas" w:hAnsi="Consolas"/>
                <w:b w:val="false"/>
                <w:bCs w:val="false"/>
                <w:i w:val="false"/>
                <w:iCs w:val="false"/>
                <w:strike w:val="false"/>
                <w:color w:val="1A1A1A"/>
                <w:sz w:val="20"/>
                <w:szCs w:val="20"/>
                <w:shd w:fill="F0F0F0" w:color="auto" w:val="clear"/>
              </w:rPr>
              <w:t xml:space="preserve">#F2F2F0</w:t>
            </w:r>
          </w:p>
        </w:tc>
        <w:tc>
          <w:tcPr>
            <w:tcW w:type="pct" w:w="68%"/>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Body text on dark backgrounds, speaker names, timestamps</w:t>
            </w:r>
          </w:p>
        </w:tc>
      </w:tr>
      <w:tr>
        <w:trPr>
          <w:tblHeader w:val="false"/>
        </w:trPr>
        <w:tc>
          <w:tcPr>
            <w:tcW w:type="pct" w:w="18%"/>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Deep Navy</w:t>
            </w:r>
          </w:p>
        </w:tc>
        <w:tc>
          <w:tcPr>
            <w:tcW w:type="pct" w:w="14%"/>
            <w:tcMar>
              <w:top w:type="dxa" w:w="105"/>
              <w:left w:type="dxa" w:w="150"/>
              <w:bottom w:type="dxa" w:w="105"/>
              <w:right w:type="dxa" w:w="150"/>
            </w:tcMar>
          </w:tcPr>
          <w:p>
            <w:r>
              <w:rPr>
                <w:rFonts w:ascii="Consolas" w:cs="Consolas" w:eastAsia="Consolas" w:hAnsi="Consolas"/>
                <w:b w:val="false"/>
                <w:bCs w:val="false"/>
                <w:i w:val="false"/>
                <w:iCs w:val="false"/>
                <w:strike w:val="false"/>
                <w:color w:val="1A1A1A"/>
                <w:sz w:val="20"/>
                <w:szCs w:val="20"/>
                <w:shd w:fill="F0F0F0" w:color="auto" w:val="clear"/>
              </w:rPr>
              <w:t xml:space="preserve">#0D2137</w:t>
            </w:r>
          </w:p>
        </w:tc>
        <w:tc>
          <w:tcPr>
            <w:tcW w:type="pct" w:w="68%"/>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Secondary background layer, info panels, chapter cards</w:t>
            </w:r>
          </w:p>
        </w:tc>
      </w:tr>
      <w:tr>
        <w:trPr>
          <w:tblHeader w:val="false"/>
        </w:trPr>
        <w:tc>
          <w:tcPr>
            <w:tcW w:type="pct" w:w="18%"/>
            <w:shd w:fill="F4F8FB" w:color="auto" w:val="clear"/>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Error Red</w:t>
            </w:r>
          </w:p>
        </w:tc>
        <w:tc>
          <w:tcPr>
            <w:tcW w:type="pct" w:w="14%"/>
            <w:shd w:fill="F4F8FB" w:color="auto" w:val="clear"/>
            <w:tcMar>
              <w:top w:type="dxa" w:w="105"/>
              <w:left w:type="dxa" w:w="150"/>
              <w:bottom w:type="dxa" w:w="105"/>
              <w:right w:type="dxa" w:w="150"/>
            </w:tcMar>
          </w:tcPr>
          <w:p>
            <w:r>
              <w:rPr>
                <w:rFonts w:ascii="Consolas" w:cs="Consolas" w:eastAsia="Consolas" w:hAnsi="Consolas"/>
                <w:b w:val="false"/>
                <w:bCs w:val="false"/>
                <w:i w:val="false"/>
                <w:iCs w:val="false"/>
                <w:strike w:val="false"/>
                <w:color w:val="1A1A1A"/>
                <w:sz w:val="20"/>
                <w:szCs w:val="20"/>
                <w:shd w:fill="F0F0F0" w:color="auto" w:val="clear"/>
              </w:rPr>
              <w:t xml:space="preserve">#FF2D2D</w:t>
            </w:r>
          </w:p>
        </w:tc>
        <w:tc>
          <w:tcPr>
            <w:tcW w:type="pct" w:w="68%"/>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Alert indicators, breach moment highlights, countdown elements</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47A00" w:sz="24"/>
              <w:bottom w:val="nil" w:color="FFFFFF" w:sz="0"/>
              <w:right w:val="nil" w:color="FFFFFF" w:sz="0"/>
            </w:tcBorders>
            <w:shd w:fill="FFF8E6" w:color="auto" w:val="clear"/>
            <w:tcMar>
              <w:top w:type="dxa" w:w="200"/>
              <w:left w:type="dxa" w:w="280"/>
              <w:bottom w:type="dxa" w:w="200"/>
              <w:right w:type="dxa" w:w="280"/>
            </w:tcMar>
          </w:tcPr>
          <w:p>
            <w:pPr>
              <w:spacing w:after="120" w:line="408" w:lineRule="auto"/>
            </w:pPr>
            <w:r>
              <w:rPr>
                <w:b/>
                <w:bCs/>
                <w:i w:val="false"/>
                <w:iCs w:val="false"/>
                <w:color w:val="C47A00"/>
              </w:rPr>
              <w:t xml:space="preserve">// COLOR USAGE NOTE</w:t>
            </w:r>
          </w:p>
          <w:p>
            <w:pPr>
              <w:spacing w:after="140" w:line="384" w:lineRule="auto"/>
            </w:pPr>
            <w:r>
              <w:rPr>
                <w:rFonts w:ascii="Calibri" w:cs="Calibri" w:eastAsia="Calibri" w:hAnsi="Calibri"/>
                <w:b w:val="false"/>
                <w:bCs w:val="false"/>
                <w:i w:val="false"/>
                <w:iCs w:val="false"/>
                <w:strike w:val="false"/>
                <w:color w:val="1A1A1A"/>
                <w:sz w:val="22"/>
                <w:szCs w:val="22"/>
              </w:rPr>
              <w:t xml:space="preserve">Acid Green (#39FF14) is a high-attention color. It is to be used sparingly — for data highlights, not decorative fills. Overuse destroys its impact. Maximum 2 uses of Acid Green per motion graphics screen.</w:t>
            </w:r>
          </w:p>
        </w:tc>
      </w:tr>
    </w:tbl>
    <w:p>
      <w:pPr>
        <w:spacing w:after="240" w:before="0"/>
      </w:pPr>
    </w:p>
    <w:p>
      <w:pPr>
        <w:pStyle w:val="Heading4"/>
        <w:spacing w:after="60" w:before="200" w:line="384" w:lineRule="auto"/>
      </w:pPr>
      <w:r>
        <w:rPr>
          <w:rFonts w:ascii="Calibri" w:cs="Calibri" w:eastAsia="Calibri" w:hAnsi="Calibri"/>
          <w:color w:val="1A1A1A"/>
          <w:sz w:val="22"/>
          <w:szCs w:val="22"/>
        </w:rPr>
        <w:t xml:space="preserve">Typography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1%"/>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Element</w:t>
            </w:r>
          </w:p>
        </w:tc>
        <w:tc>
          <w:tcPr>
            <w:tcW w:type="pct" w:w="26%"/>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Font</w:t>
            </w:r>
          </w:p>
        </w:tc>
        <w:tc>
          <w:tcPr>
            <w:tcW w:type="pct" w:w="21%"/>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Style</w:t>
            </w:r>
          </w:p>
        </w:tc>
        <w:tc>
          <w:tcPr>
            <w:tcW w:type="pct" w:w="32%"/>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Notes</w:t>
            </w:r>
          </w:p>
        </w:tc>
      </w:tr>
      <w:tr>
        <w:trPr>
          <w:tblHeader w:val="false"/>
        </w:trPr>
        <w:tc>
          <w:tcPr>
            <w:tcW w:type="pct" w:w="21%"/>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Series logo / Main title</w:t>
            </w:r>
          </w:p>
        </w:tc>
        <w:tc>
          <w:tcPr>
            <w:tcW w:type="pct" w:w="26%"/>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JetBrains Mono (or equivalent monospace)</w:t>
            </w:r>
          </w:p>
        </w:tc>
        <w:tc>
          <w:tcPr>
            <w:tcW w:type="pct" w:w="21%"/>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Bold, all-caps, tracked out</w:t>
            </w:r>
          </w:p>
        </w:tc>
        <w:tc>
          <w:tcPr>
            <w:tcW w:type="pct" w:w="32%"/>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Glitch treatment applied to logo only — not to body typography</w:t>
            </w:r>
          </w:p>
        </w:tc>
      </w:tr>
      <w:tr>
        <w:trPr>
          <w:tblHeader w:val="false"/>
        </w:trPr>
        <w:tc>
          <w:tcPr>
            <w:tcW w:type="pct" w:w="21%"/>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Episode titles (on-screen)</w:t>
            </w:r>
          </w:p>
        </w:tc>
        <w:tc>
          <w:tcPr>
            <w:tcW w:type="pct" w:w="26%"/>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JetBrains Mono</w:t>
            </w:r>
          </w:p>
        </w:tc>
        <w:tc>
          <w:tcPr>
            <w:tcW w:type="pct" w:w="21%"/>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Regular weight, mixed case</w:t>
            </w:r>
          </w:p>
        </w:tc>
        <w:tc>
          <w:tcPr>
            <w:tcW w:type="pct" w:w="32%"/>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Appear as if typed in real time (typewriter reveal animation)</w:t>
            </w:r>
          </w:p>
        </w:tc>
      </w:tr>
      <w:tr>
        <w:trPr>
          <w:tblHeader w:val="false"/>
        </w:trPr>
        <w:tc>
          <w:tcPr>
            <w:tcW w:type="pct" w:w="21%"/>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Lower thirds (name/title)</w:t>
            </w:r>
          </w:p>
        </w:tc>
        <w:tc>
          <w:tcPr>
            <w:tcW w:type="pct" w:w="26%"/>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JetBrains Mono (name), clean sans-serif (title)</w:t>
            </w:r>
          </w:p>
        </w:tc>
        <w:tc>
          <w:tcPr>
            <w:tcW w:type="pct" w:w="21%"/>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Cyan name / off-white title</w:t>
            </w:r>
          </w:p>
        </w:tc>
        <w:tc>
          <w:tcPr>
            <w:tcW w:type="pct" w:w="32%"/>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Terminal-style animation on entry</w:t>
            </w:r>
          </w:p>
        </w:tc>
      </w:tr>
      <w:tr>
        <w:trPr>
          <w:tblHeader w:val="false"/>
        </w:trPr>
        <w:tc>
          <w:tcPr>
            <w:tcW w:type="pct" w:w="21%"/>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Body text / narration cards</w:t>
            </w:r>
          </w:p>
        </w:tc>
        <w:tc>
          <w:tcPr>
            <w:tcW w:type="pct" w:w="26%"/>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Inter or equivalent clean sans-serif</w:t>
            </w:r>
          </w:p>
        </w:tc>
        <w:tc>
          <w:tcPr>
            <w:tcW w:type="pct" w:w="21%"/>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Regular weight, 16–18px on screen</w:t>
            </w:r>
          </w:p>
        </w:tc>
        <w:tc>
          <w:tcPr>
            <w:tcW w:type="pct" w:w="32%"/>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Never italicized. Left-aligned always.</w:t>
            </w:r>
          </w:p>
        </w:tc>
      </w:tr>
      <w:tr>
        <w:trPr>
          <w:tblHeader w:val="false"/>
        </w:trPr>
        <w:tc>
          <w:tcPr>
            <w:tcW w:type="pct" w:w="21%"/>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Code / technical terms (on screen)</w:t>
            </w:r>
          </w:p>
        </w:tc>
        <w:tc>
          <w:tcPr>
            <w:tcW w:type="pct" w:w="26%"/>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JetBrains Mono</w:t>
            </w:r>
          </w:p>
        </w:tc>
        <w:tc>
          <w:tcPr>
            <w:tcW w:type="pct" w:w="21%"/>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Acid Green on Deep Black</w:t>
            </w:r>
          </w:p>
        </w:tc>
        <w:tc>
          <w:tcPr>
            <w:tcW w:type="pct" w:w="32%"/>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Syntax highlighting mirrors a dark IDE theme</w:t>
            </w:r>
          </w:p>
        </w:tc>
      </w:tr>
    </w:tbl>
    <w:p>
      <w:pPr>
        <w:spacing w:after="200" w:before="0"/>
      </w:pPr>
    </w:p>
    <w:p>
      <w:pPr>
        <w:pStyle w:val="Heading4"/>
        <w:spacing w:after="60" w:before="200" w:line="384" w:lineRule="auto"/>
      </w:pPr>
      <w:r>
        <w:rPr>
          <w:rFonts w:ascii="Calibri" w:cs="Calibri" w:eastAsia="Calibri" w:hAnsi="Calibri"/>
          <w:color w:val="1A1A1A"/>
          <w:sz w:val="22"/>
          <w:szCs w:val="22"/>
        </w:rPr>
        <w:t xml:space="preserve">Logo Concept Description</w:t>
      </w: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The CODICON wordmark is constructed from monospace type with selective character replacement: specific letters in "CODICON" are replaced with their hexadecimal or binary equivalents, creating a layered reading — the word and its code simultaneously visible. A glitch effect (pixel displacement, scan-line artifact) is applied as an animation in motion contexts and as a static treatment in print/thumbnail contexts. The glitch is controlled and precise — never random-feeling. It should read as intentional corruption, not technical failure.</w:t>
      </w: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The logomark (symbol-only version) is a stylized bracket pair — </w:t>
      </w:r>
      <w:r>
        <w:rPr>
          <w:rFonts w:ascii="Consolas" w:cs="Consolas" w:eastAsia="Consolas" w:hAnsi="Consolas"/>
          <w:b w:val="false"/>
          <w:bCs w:val="false"/>
          <w:i w:val="false"/>
          <w:iCs w:val="false"/>
          <w:strike w:val="false"/>
          <w:color w:val="1A1A1A"/>
          <w:sz w:val="20"/>
          <w:szCs w:val="20"/>
          <w:shd w:fill="F0F0F0" w:color="auto" w:val="clear"/>
        </w:rPr>
        <w:t xml:space="preserve">{ }</w:t>
      </w:r>
      <w:r>
        <w:rPr>
          <w:rFonts w:ascii="Calibri" w:cs="Calibri" w:eastAsia="Calibri" w:hAnsi="Calibri"/>
          <w:b w:val="false"/>
          <w:bCs w:val="false"/>
          <w:i w:val="false"/>
          <w:iCs w:val="false"/>
          <w:strike w:val="false"/>
          <w:color w:val="1A1A1A"/>
          <w:sz w:val="22"/>
          <w:szCs w:val="22"/>
        </w:rPr>
        <w:t xml:space="preserve"> — with the letter C integrated into the opening bracket. Used in favicon, profile image, and watermark contexts.</w:t>
      </w:r>
    </w:p>
    <w:p>
      <w:pPr>
        <w:pStyle w:val="Heading4"/>
        <w:spacing w:after="60" w:before="200" w:line="384" w:lineRule="auto"/>
      </w:pPr>
      <w:r>
        <w:rPr>
          <w:rFonts w:ascii="Calibri" w:cs="Calibri" w:eastAsia="Calibri" w:hAnsi="Calibri"/>
          <w:color w:val="1A1A1A"/>
          <w:sz w:val="22"/>
          <w:szCs w:val="22"/>
        </w:rPr>
        <w:t xml:space="preserve">Thumbnail Template Guidelines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Resolution:</w:t>
      </w:r>
      <w:r>
        <w:rPr>
          <w:rFonts w:ascii="Calibri" w:cs="Calibri" w:eastAsia="Calibri" w:hAnsi="Calibri"/>
          <w:b w:val="false"/>
          <w:bCs w:val="false"/>
          <w:i w:val="false"/>
          <w:iCs w:val="false"/>
          <w:strike w:val="false"/>
          <w:color w:val="1A1A1A"/>
          <w:sz w:val="22"/>
          <w:szCs w:val="22"/>
        </w:rPr>
        <w:t xml:space="preserve"> 1280×720px (16:9), exported at 72dpi for digital</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Zone 1 (left 60%):</w:t>
      </w:r>
      <w:r>
        <w:rPr>
          <w:rFonts w:ascii="Calibri" w:cs="Calibri" w:eastAsia="Calibri" w:hAnsi="Calibri"/>
          <w:b w:val="false"/>
          <w:bCs w:val="false"/>
          <w:i w:val="false"/>
          <w:iCs w:val="false"/>
          <w:strike w:val="false"/>
          <w:color w:val="1A1A1A"/>
          <w:sz w:val="22"/>
          <w:szCs w:val="22"/>
        </w:rPr>
        <w:t xml:space="preserve"> Episode-specific visual — a person's face (high contrast, desaturated), a screen, a terminal, a stylized visual metaphor. Never stock photo generic.</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Zone 2 (right 40%):</w:t>
      </w:r>
      <w:r>
        <w:rPr>
          <w:rFonts w:ascii="Calibri" w:cs="Calibri" w:eastAsia="Calibri" w:hAnsi="Calibri"/>
          <w:b w:val="false"/>
          <w:bCs w:val="false"/>
          <w:i w:val="false"/>
          <w:iCs w:val="false"/>
          <w:strike w:val="false"/>
          <w:color w:val="1A1A1A"/>
          <w:sz w:val="22"/>
          <w:szCs w:val="22"/>
        </w:rPr>
        <w:t xml:space="preserve"> Episode number in large Acid Green monospace + episode title in off-white sans-serif, 2 lines maximum</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Series wordmark:</w:t>
      </w:r>
      <w:r>
        <w:rPr>
          <w:rFonts w:ascii="Calibri" w:cs="Calibri" w:eastAsia="Calibri" w:hAnsi="Calibri"/>
          <w:b w:val="false"/>
          <w:bCs w:val="false"/>
          <w:i w:val="false"/>
          <w:iCs w:val="false"/>
          <w:strike w:val="false"/>
          <w:color w:val="1A1A1A"/>
          <w:sz w:val="22"/>
          <w:szCs w:val="22"/>
        </w:rPr>
        <w:t xml:space="preserve"> Bottom-left, small, Electric Cyan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Background:</w:t>
      </w:r>
      <w:r>
        <w:rPr>
          <w:rFonts w:ascii="Calibri" w:cs="Calibri" w:eastAsia="Calibri" w:hAnsi="Calibri"/>
          <w:b w:val="false"/>
          <w:bCs w:val="false"/>
          <w:i w:val="false"/>
          <w:iCs w:val="false"/>
          <w:strike w:val="false"/>
          <w:color w:val="1A1A1A"/>
          <w:sz w:val="22"/>
          <w:szCs w:val="22"/>
        </w:rPr>
        <w:t xml:space="preserve"> Deep Black or Deep Navy with subtle texture (scan lines, hex grid pattern at low opacity)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No clickbait iconography:</w:t>
      </w:r>
      <w:r>
        <w:rPr>
          <w:rFonts w:ascii="Calibri" w:cs="Calibri" w:eastAsia="Calibri" w:hAnsi="Calibri"/>
          <w:b w:val="false"/>
          <w:bCs w:val="false"/>
          <w:i w:val="false"/>
          <w:iCs w:val="false"/>
          <w:strike w:val="false"/>
          <w:color w:val="1A1A1A"/>
          <w:sz w:val="22"/>
          <w:szCs w:val="22"/>
        </w:rPr>
        <w:t xml:space="preserve"> No open mouths, no exaggerated expressions, no fake urgency arrows. The thumbnail earns clicks through intrigue, not manipulation.</w:t>
      </w:r>
    </w:p>
    <w:p>
      <w:pPr>
        <w:pStyle w:val="Heading3"/>
        <w:spacing w:after="80" w:before="280" w:line="384" w:lineRule="auto"/>
      </w:pPr>
      <w:r>
        <w:rPr>
          <w:rFonts w:ascii="Calibri" w:cs="Calibri" w:eastAsia="Calibri" w:hAnsi="Calibri"/>
          <w:color w:val="0D3B4F"/>
          <w:sz w:val="26"/>
          <w:szCs w:val="26"/>
        </w:rPr>
        <w:t xml:space="preserve">Audio Identity</w:t>
      </w:r>
    </w:p>
    <w:p>
      <w:pPr>
        <w:pStyle w:val="Heading4"/>
        <w:spacing w:after="60" w:before="200" w:line="384" w:lineRule="auto"/>
      </w:pPr>
      <w:r>
        <w:rPr>
          <w:rFonts w:ascii="Calibri" w:cs="Calibri" w:eastAsia="Calibri" w:hAnsi="Calibri"/>
          <w:color w:val="1A1A1A"/>
          <w:sz w:val="22"/>
          <w:szCs w:val="22"/>
        </w:rPr>
        <w:t xml:space="preserve">Signature Sound Design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Digital glitches:</w:t>
      </w:r>
      <w:r>
        <w:rPr>
          <w:rFonts w:ascii="Calibri" w:cs="Calibri" w:eastAsia="Calibri" w:hAnsi="Calibri"/>
          <w:b w:val="false"/>
          <w:bCs w:val="false"/>
          <w:i w:val="false"/>
          <w:iCs w:val="false"/>
          <w:strike w:val="false"/>
          <w:color w:val="1A1A1A"/>
          <w:sz w:val="22"/>
          <w:szCs w:val="22"/>
        </w:rPr>
        <w:t xml:space="preserve"> Brief (100–200ms) bit-crush artifacts used as transition elements between major segments. Never as decoration — only as structural signals.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Keyboard clicks:</w:t>
      </w:r>
      <w:r>
        <w:rPr>
          <w:rFonts w:ascii="Calibri" w:cs="Calibri" w:eastAsia="Calibri" w:hAnsi="Calibri"/>
          <w:b w:val="false"/>
          <w:bCs w:val="false"/>
          <w:i w:val="false"/>
          <w:iCs w:val="false"/>
          <w:strike w:val="false"/>
          <w:color w:val="1A1A1A"/>
          <w:sz w:val="22"/>
          <w:szCs w:val="22"/>
        </w:rPr>
        <w:t xml:space="preserve"> A specific mechanical keyboard sample (not generic typing SFX) used as a subtle bed in technical explanation segments. Barely audible — felt, not heard.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Low-frequency drone:</w:t>
      </w:r>
      <w:r>
        <w:rPr>
          <w:rFonts w:ascii="Calibri" w:cs="Calibri" w:eastAsia="Calibri" w:hAnsi="Calibri"/>
          <w:b w:val="false"/>
          <w:bCs w:val="false"/>
          <w:i w:val="false"/>
          <w:iCs w:val="false"/>
          <w:strike w:val="false"/>
          <w:color w:val="1A1A1A"/>
          <w:sz w:val="22"/>
          <w:szCs w:val="22"/>
        </w:rPr>
        <w:t xml:space="preserve"> A 40–60Hz subsonic element underlying the Cold Open and key tension moments. Below perceptible hearing in most contexts, but felt on headphones and speakers with bass response.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Terminal beep:</w:t>
      </w:r>
      <w:r>
        <w:rPr>
          <w:rFonts w:ascii="Calibri" w:cs="Calibri" w:eastAsia="Calibri" w:hAnsi="Calibri"/>
          <w:b w:val="false"/>
          <w:bCs w:val="false"/>
          <w:i w:val="false"/>
          <w:iCs w:val="false"/>
          <w:strike w:val="false"/>
          <w:color w:val="1A1A1A"/>
          <w:sz w:val="22"/>
          <w:szCs w:val="22"/>
        </w:rPr>
        <w:t xml:space="preserve"> A single, specific terminal bell tone used as the series earcon. Appears at the top of the intro and as a chapter marker stinger.</w:t>
      </w:r>
    </w:p>
    <w:p>
      <w:pPr>
        <w:pStyle w:val="Heading4"/>
        <w:spacing w:after="60" w:before="200" w:line="384" w:lineRule="auto"/>
      </w:pPr>
      <w:r>
        <w:rPr>
          <w:rFonts w:ascii="Calibri" w:cs="Calibri" w:eastAsia="Calibri" w:hAnsi="Calibri"/>
          <w:color w:val="1A1A1A"/>
          <w:sz w:val="22"/>
          <w:szCs w:val="22"/>
        </w:rPr>
        <w:t xml:space="preserve">Intro/Outro Music Character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8%"/>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Parameter</w:t>
            </w:r>
          </w:p>
        </w:tc>
        <w:tc>
          <w:tcPr>
            <w:tcW w:type="pct" w:w="82%"/>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Specification</w:t>
            </w:r>
          </w:p>
        </w:tc>
      </w:tr>
      <w:tr>
        <w:trPr>
          <w:tblHeader w:val="false"/>
        </w:trPr>
        <w:tc>
          <w:tcPr>
            <w:tcW w:type="pct" w:w="18%"/>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Genre</w:t>
            </w:r>
          </w:p>
        </w:tc>
        <w:tc>
          <w:tcPr>
            <w:tcW w:type="pct" w:w="82%"/>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Dark electronic / industrial ambient. NOT EDM, NOT synthwave nostalgia, NOT generic cinematic trailer music.</w:t>
            </w:r>
          </w:p>
        </w:tc>
      </w:tr>
      <w:tr>
        <w:trPr>
          <w:tblHeader w:val="false"/>
        </w:trPr>
        <w:tc>
          <w:tcPr>
            <w:tcW w:type="pct" w:w="18%"/>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Tempo</w:t>
            </w:r>
          </w:p>
        </w:tc>
        <w:tc>
          <w:tcPr>
            <w:tcW w:type="pct" w:w="82%"/>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85–110 BPM. Slower for outro (allows the episode to settle); slightly faster for intro (creates forward momentum).</w:t>
            </w:r>
          </w:p>
        </w:tc>
      </w:tr>
      <w:tr>
        <w:trPr>
          <w:tblHeader w:val="false"/>
        </w:trPr>
        <w:tc>
          <w:tcPr>
            <w:tcW w:type="pct" w:w="18%"/>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Instruments</w:t>
            </w:r>
          </w:p>
        </w:tc>
        <w:tc>
          <w:tcPr>
            <w:tcW w:type="pct" w:w="82%"/>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Modular synthesizers, processed percussion, digital artifacts, low brass or cello for tension moments. No programmed drums that sound like pop music.</w:t>
            </w:r>
          </w:p>
        </w:tc>
      </w:tr>
      <w:tr>
        <w:trPr>
          <w:tblHeader w:val="false"/>
        </w:trPr>
        <w:tc>
          <w:tcPr>
            <w:tcW w:type="pct" w:w="18%"/>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Duration</w:t>
            </w:r>
          </w:p>
        </w:tc>
        <w:tc>
          <w:tcPr>
            <w:tcW w:type="pct" w:w="82%"/>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Intro: 25–35 seconds. Outro: 45–60 seconds (allows credits to run cleanly).</w:t>
            </w:r>
          </w:p>
        </w:tc>
      </w:tr>
      <w:tr>
        <w:trPr>
          <w:tblHeader w:val="false"/>
        </w:trPr>
        <w:tc>
          <w:tcPr>
            <w:tcW w:type="pct" w:w="18%"/>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Vocals</w:t>
            </w:r>
          </w:p>
        </w:tc>
        <w:tc>
          <w:tcPr>
            <w:tcW w:type="pct" w:w="82%"/>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No lyrics. Processed vocal textures permitted (treated, not recognizable as singing).</w:t>
            </w:r>
          </w:p>
        </w:tc>
      </w:tr>
      <w:tr>
        <w:trPr>
          <w:tblHeader w:val="false"/>
        </w:trPr>
        <w:tc>
          <w:tcPr>
            <w:tcW w:type="pct" w:w="18%"/>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Reference character</w:t>
            </w:r>
          </w:p>
        </w:tc>
        <w:tc>
          <w:tcPr>
            <w:tcW w:type="pct" w:w="82%"/>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Think Trent Reznor &amp; Atticus Ross soundtrack work — restrained, purposeful, dark without being genre-clichéd.</w:t>
            </w:r>
          </w:p>
        </w:tc>
      </w:tr>
    </w:tbl>
    <w:p>
      <w:pPr>
        <w:spacing w:after="200" w:before="0"/>
      </w:pPr>
    </w:p>
    <w:p>
      <w:pPr>
        <w:pStyle w:val="Heading3"/>
        <w:spacing w:after="80" w:before="280" w:line="384" w:lineRule="auto"/>
      </w:pPr>
      <w:r>
        <w:rPr>
          <w:rFonts w:ascii="Calibri" w:cs="Calibri" w:eastAsia="Calibri" w:hAnsi="Calibri"/>
          <w:color w:val="0D3B4F"/>
          <w:sz w:val="26"/>
          <w:szCs w:val="26"/>
        </w:rPr>
        <w:t xml:space="preserve">Motion Graphics Style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Lower thirds:</w:t>
      </w:r>
      <w:r>
        <w:rPr>
          <w:rFonts w:ascii="Calibri" w:cs="Calibri" w:eastAsia="Calibri" w:hAnsi="Calibri"/>
          <w:b w:val="false"/>
          <w:bCs w:val="false"/>
          <w:i w:val="false"/>
          <w:iCs w:val="false"/>
          <w:strike w:val="false"/>
          <w:color w:val="1A1A1A"/>
          <w:sz w:val="22"/>
          <w:szCs w:val="22"/>
        </w:rPr>
        <w:t xml:space="preserve"> Terminal-style entry animation (text types in from left, cursor blinks once, then locks). Background: semi-transparent Deep Black panel with Electric Cyan top border line.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Chapter markers (on-screen):</w:t>
      </w:r>
      <w:r>
        <w:rPr>
          <w:rFonts w:ascii="Calibri" w:cs="Calibri" w:eastAsia="Calibri" w:hAnsi="Calibri"/>
          <w:b w:val="false"/>
          <w:bCs w:val="false"/>
          <w:i w:val="false"/>
          <w:iCs w:val="false"/>
          <w:strike w:val="false"/>
          <w:color w:val="1A1A1A"/>
          <w:sz w:val="22"/>
          <w:szCs w:val="22"/>
        </w:rPr>
        <w:t xml:space="preserve"> Full-screen black with white monospace text, held for 1.5 seconds. Minimalist. No animation beyond a simple fade.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Hex-code transitions:</w:t>
      </w:r>
      <w:r>
        <w:rPr>
          <w:rFonts w:ascii="Calibri" w:cs="Calibri" w:eastAsia="Calibri" w:hAnsi="Calibri"/>
          <w:b w:val="false"/>
          <w:bCs w:val="false"/>
          <w:i w:val="false"/>
          <w:iCs w:val="false"/>
          <w:strike w:val="false"/>
          <w:color w:val="1A1A1A"/>
          <w:sz w:val="22"/>
          <w:szCs w:val="22"/>
        </w:rPr>
        <w:t xml:space="preserve"> A waterfall of hex values used as a wipe transition between major segments. Duration: 0.8–1.2 seconds. Tasteful — not the entire frame, just a 20% screen-edge strip.</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Data rain (matrix-style):</w:t>
      </w:r>
      <w:r>
        <w:rPr>
          <w:rFonts w:ascii="Calibri" w:cs="Calibri" w:eastAsia="Calibri" w:hAnsi="Calibri"/>
          <w:b w:val="false"/>
          <w:bCs w:val="false"/>
          <w:i w:val="false"/>
          <w:iCs w:val="false"/>
          <w:strike w:val="false"/>
          <w:color w:val="1A1A1A"/>
          <w:sz w:val="22"/>
          <w:szCs w:val="22"/>
        </w:rPr>
        <w:t xml:space="preserve"> Permitted in Cold Open and title sequence only. Maximum 3 uses per episode total. Never used as generic "hacker" wallpaper — only when specifically representing data flow or surveillance.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Network diagrams:</w:t>
      </w:r>
      <w:r>
        <w:rPr>
          <w:rFonts w:ascii="Calibri" w:cs="Calibri" w:eastAsia="Calibri" w:hAnsi="Calibri"/>
          <w:b w:val="false"/>
          <w:bCs w:val="false"/>
          <w:i w:val="false"/>
          <w:iCs w:val="false"/>
          <w:strike w:val="false"/>
          <w:color w:val="1A1A1A"/>
          <w:sz w:val="22"/>
          <w:szCs w:val="22"/>
        </w:rPr>
        <w:t xml:space="preserve"> Clean node-and-edge graphs. Nodes are labeled. Edges animate directionally during narration. Color-coded by actor (attacker = Error Red, defender = Electric Cyan, neutral = Off-White).</w:t>
      </w:r>
    </w:p>
    <w:p>
      <w:pPr>
        <w:pStyle w:val="Heading3"/>
        <w:spacing w:after="80" w:before="280" w:line="384" w:lineRule="auto"/>
      </w:pPr>
      <w:r>
        <w:rPr>
          <w:rFonts w:ascii="Calibri" w:cs="Calibri" w:eastAsia="Calibri" w:hAnsi="Calibri"/>
          <w:color w:val="0D3B4F"/>
          <w:sz w:val="26"/>
          <w:szCs w:val="26"/>
        </w:rPr>
        <w:t xml:space="preserve">Brand Voice in Marketing Copy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7A8A" w:sz="24"/>
              <w:bottom w:val="nil" w:color="FFFFFF" w:sz="0"/>
              <w:right w:val="nil" w:color="FFFFFF" w:sz="0"/>
            </w:tcBorders>
            <w:shd w:fill="0A0A0A" w:color="auto" w:val="clear"/>
            <w:tcMar>
              <w:top w:type="dxa" w:w="200"/>
              <w:left w:type="dxa" w:w="280"/>
              <w:bottom w:type="dxa" w:w="200"/>
              <w:right w:type="dxa" w:w="280"/>
            </w:tcMar>
          </w:tcPr>
          <w:p>
            <w:pPr>
              <w:spacing w:after="120" w:line="408" w:lineRule="auto"/>
            </w:pPr>
            <w:r>
              <w:rPr>
                <w:b/>
                <w:bCs/>
                <w:i w:val="false"/>
                <w:iCs w:val="false"/>
                <w:color w:val="00C8D8"/>
              </w:rPr>
              <w:t xml:space="preserve">// BRAND VOICE STANDARD</w:t>
            </w:r>
          </w:p>
          <w:p>
            <w:pPr>
              <w:spacing w:after="140" w:line="384" w:lineRule="auto"/>
            </w:pPr>
            <w:r>
              <w:rPr>
                <w:rFonts w:ascii="Calibri" w:cs="Calibri" w:eastAsia="Calibri" w:hAnsi="Calibri"/>
                <w:b w:val="false"/>
                <w:bCs w:val="false"/>
                <w:i w:val="false"/>
                <w:iCs w:val="false"/>
                <w:strike w:val="false"/>
                <w:color w:val="1A1A1A"/>
                <w:sz w:val="22"/>
                <w:szCs w:val="22"/>
              </w:rPr>
              <w:t xml:space="preserve">Marketing copy for Codicon Hacking uses the same voice as the content — intelligent, direct, slightly irreverent. No corporate sanitizing. No "join us on a journey of discovery" language. No passive voice. No buzzword stacking.</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w:t>
            </w:r>
            <w:r>
              <w:rPr>
                <w:rFonts w:ascii="Calibri" w:cs="Calibri" w:eastAsia="Calibri" w:hAnsi="Calibri"/>
                <w:b/>
                <w:bCs/>
                <w:i w:val="false"/>
                <w:iCs w:val="false"/>
                <w:strike w:val="false"/>
                <w:color w:val="1A1A1A"/>
                <w:sz w:val="22"/>
                <w:szCs w:val="22"/>
              </w:rPr>
              <w:t xml:space="preserve">Good:</w:t>
            </w:r>
            <w:r>
              <w:rPr>
                <w:rFonts w:ascii="Calibri" w:cs="Calibri" w:eastAsia="Calibri" w:hAnsi="Calibri"/>
                <w:b w:val="false"/>
                <w:bCs w:val="false"/>
                <w:i w:val="false"/>
                <w:iCs w:val="false"/>
                <w:strike w:val="false"/>
                <w:color w:val="1A1A1A"/>
                <w:sz w:val="22"/>
                <w:szCs w:val="22"/>
              </w:rPr>
              <w:t xml:space="preserve"> "The breach that took down 77 million accounts. We found out how."</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w:t>
            </w:r>
            <w:r>
              <w:rPr>
                <w:rFonts w:ascii="Calibri" w:cs="Calibri" w:eastAsia="Calibri" w:hAnsi="Calibri"/>
                <w:b/>
                <w:bCs/>
                <w:i w:val="false"/>
                <w:iCs w:val="false"/>
                <w:strike w:val="false"/>
                <w:color w:val="1A1A1A"/>
                <w:sz w:val="22"/>
                <w:szCs w:val="22"/>
              </w:rPr>
              <w:t xml:space="preserve">Bad:</w:t>
            </w:r>
            <w:r>
              <w:rPr>
                <w:rFonts w:ascii="Calibri" w:cs="Calibri" w:eastAsia="Calibri" w:hAnsi="Calibri"/>
                <w:b w:val="false"/>
                <w:bCs w:val="false"/>
                <w:i w:val="false"/>
                <w:iCs w:val="false"/>
                <w:strike w:val="false"/>
                <w:color w:val="1A1A1A"/>
                <w:sz w:val="22"/>
                <w:szCs w:val="22"/>
              </w:rPr>
              <w:t xml:space="preserve"> "Explore the fascinating world of cybersecurity with our award-winning content team."</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Social copy should be written as if the host wrote it personally. Newsletter copy should feel like a message from a smart colleague. All platform bios should be punchy, specific, and slightly challenging.</w:t>
            </w:r>
          </w:p>
        </w:tc>
      </w:tr>
    </w:tbl>
    <w:p>
      <w:pPr>
        <w:spacing w:after="240" w:before="0"/>
      </w:pPr>
    </w:p>
    <w:p>
      <w:pPr>
        <w:spacing w:after="240" w:line="408" w:lineRule="auto"/>
      </w:pPr>
      <w:r>
        <w:rPr>
          <w:b w:val="false"/>
          <w:bCs w:val="false"/>
          <w:i w:val="false"/>
          <w:iCs w:val="false"/>
          <w:color w:val="007A8A"/>
        </w:rPr>
        <w:t xml:space="preserve">// SECTION 09</w:t>
      </w:r>
    </w:p>
    <w:p>
      <w:pPr>
        <w:pStyle w:val="Heading2"/>
        <w:spacing w:after="100" w:before="440" w:line="384" w:lineRule="auto"/>
      </w:pPr>
      <w:r>
        <w:rPr>
          <w:rFonts w:ascii="Consolas" w:cs="Consolas" w:eastAsia="Consolas" w:hAnsi="Consolas"/>
          <w:color w:val="0D3B4F"/>
          <w:sz w:val="32"/>
          <w:szCs w:val="32"/>
        </w:rPr>
        <w:t xml:space="preserve">CONTENT STANDARDS &amp; ETHICS</w:t>
      </w:r>
    </w:p>
    <w:p>
      <w:pPr>
        <w:pBdr>
          <w:top w:val="single" w:color="0D3B4F" w:sz="6"/>
        </w:pBdr>
        <w:spacing w:after="200" w:before="0"/>
      </w:pPr>
    </w:p>
    <w:p>
      <w:pPr>
        <w:pStyle w:val="Heading3"/>
        <w:spacing w:after="80" w:before="280" w:line="384" w:lineRule="auto"/>
      </w:pPr>
      <w:r>
        <w:rPr>
          <w:rFonts w:ascii="Calibri" w:cs="Calibri" w:eastAsia="Calibri" w:hAnsi="Calibri"/>
          <w:color w:val="0D3B4F"/>
          <w:sz w:val="26"/>
          <w:szCs w:val="26"/>
        </w:rPr>
        <w:t xml:space="preserve">Responsible Disclosure Policy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B92B27" w:sz="24"/>
              <w:bottom w:val="nil" w:color="FFFFFF" w:sz="0"/>
              <w:right w:val="nil" w:color="FFFFFF" w:sz="0"/>
            </w:tcBorders>
            <w:shd w:fill="FDECEA" w:color="auto" w:val="clear"/>
            <w:tcMar>
              <w:top w:type="dxa" w:w="200"/>
              <w:left w:type="dxa" w:w="280"/>
              <w:bottom w:type="dxa" w:w="200"/>
              <w:right w:type="dxa" w:w="280"/>
            </w:tcMar>
          </w:tcPr>
          <w:p>
            <w:pPr>
              <w:spacing w:after="120" w:line="408" w:lineRule="auto"/>
            </w:pPr>
            <w:r>
              <w:rPr>
                <w:b/>
                <w:bCs/>
                <w:i w:val="false"/>
                <w:iCs w:val="false"/>
                <w:color w:val="B92B27"/>
              </w:rPr>
              <w:t xml:space="preserve">// HARD RULE — NO EXCEPTIONS</w:t>
            </w:r>
          </w:p>
          <w:p>
            <w:pPr>
              <w:spacing w:after="140" w:line="384" w:lineRule="auto"/>
            </w:pPr>
            <w:r>
              <w:rPr>
                <w:rFonts w:ascii="Calibri" w:cs="Calibri" w:eastAsia="Calibri" w:hAnsi="Calibri"/>
                <w:b/>
                <w:bCs/>
                <w:i w:val="false"/>
                <w:iCs w:val="false"/>
                <w:strike w:val="false"/>
                <w:color w:val="1A1A1A"/>
                <w:sz w:val="22"/>
                <w:szCs w:val="22"/>
              </w:rPr>
              <w:t xml:space="preserve">Codicon Hacking will not publish, describe, or reference specific technical exploit details for vulnerabilities that have not been publicly disclosed and patched.</w:t>
            </w:r>
            <w:r>
              <w:rPr>
                <w:rFonts w:ascii="Calibri" w:cs="Calibri" w:eastAsia="Calibri" w:hAnsi="Calibri"/>
                <w:b w:val="false"/>
                <w:bCs w:val="false"/>
                <w:i w:val="false"/>
                <w:iCs w:val="false"/>
                <w:strike w:val="false"/>
                <w:color w:val="1A1A1A"/>
                <w:sz w:val="22"/>
                <w:szCs w:val="22"/>
              </w:rPr>
              <w:t xml:space="preserve"> If an episode covers an event involving an unpatched or recently patched vulnerability, the specific exploitation mechanism is described in general terms only. The editorial decision is: we can explain </w:t>
            </w:r>
            <w:r>
              <w:rPr>
                <w:rFonts w:ascii="Calibri" w:cs="Calibri" w:eastAsia="Calibri" w:hAnsi="Calibri"/>
                <w:b w:val="false"/>
                <w:bCs w:val="false"/>
                <w:i/>
                <w:iCs/>
                <w:strike w:val="false"/>
                <w:color w:val="1A1A1A"/>
                <w:sz w:val="22"/>
                <w:szCs w:val="22"/>
              </w:rPr>
              <w:t xml:space="preserve">what type</w:t>
            </w:r>
            <w:r>
              <w:rPr>
                <w:rFonts w:ascii="Calibri" w:cs="Calibri" w:eastAsia="Calibri" w:hAnsi="Calibri"/>
                <w:b w:val="false"/>
                <w:bCs w:val="false"/>
                <w:i w:val="false"/>
                <w:iCs w:val="false"/>
                <w:strike w:val="false"/>
                <w:color w:val="1A1A1A"/>
                <w:sz w:val="22"/>
                <w:szCs w:val="22"/>
              </w:rPr>
              <w:t xml:space="preserve"> of attack was used and </w:t>
            </w:r>
            <w:r>
              <w:rPr>
                <w:rFonts w:ascii="Calibri" w:cs="Calibri" w:eastAsia="Calibri" w:hAnsi="Calibri"/>
                <w:b w:val="false"/>
                <w:bCs w:val="false"/>
                <w:i/>
                <w:iCs/>
                <w:strike w:val="false"/>
                <w:color w:val="1A1A1A"/>
                <w:sz w:val="22"/>
                <w:szCs w:val="22"/>
              </w:rPr>
              <w:t xml:space="preserve">what it achieved</w:t>
            </w:r>
            <w:r>
              <w:rPr>
                <w:rFonts w:ascii="Calibri" w:cs="Calibri" w:eastAsia="Calibri" w:hAnsi="Calibri"/>
                <w:b w:val="false"/>
                <w:bCs w:val="false"/>
                <w:i w:val="false"/>
                <w:iCs w:val="false"/>
                <w:strike w:val="false"/>
                <w:color w:val="1A1A1A"/>
                <w:sz w:val="22"/>
                <w:szCs w:val="22"/>
              </w:rPr>
              <w:t xml:space="preserve">, but not provide a reproducible methodology. If in doubt, consult legal and the technical fact-checker before scripting.</w:t>
            </w:r>
          </w:p>
        </w:tc>
      </w:tr>
    </w:tbl>
    <w:p>
      <w:pPr>
        <w:spacing w:after="240" w:before="0"/>
      </w:pP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All CVE references in content must link to the NVD entry in show notes.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Proof-of-concept code references are limited to public, widely known, and patched exploits. No novel PoC is presented or implied.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If a researcher guest shares information under embargo, that information does not appear in the episode until embargo lifts.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When in doubt, the policy is conservative. The editorial value of a specific exploit detail rarely outweighs the potential harm of its disclosure.</w:t>
      </w:r>
    </w:p>
    <w:p>
      <w:pPr>
        <w:pStyle w:val="Heading3"/>
        <w:spacing w:after="80" w:before="280" w:line="384" w:lineRule="auto"/>
      </w:pPr>
      <w:r>
        <w:rPr>
          <w:rFonts w:ascii="Calibri" w:cs="Calibri" w:eastAsia="Calibri" w:hAnsi="Calibri"/>
          <w:color w:val="0D3B4F"/>
          <w:sz w:val="26"/>
          <w:szCs w:val="26"/>
        </w:rPr>
        <w:t xml:space="preserve">Source Protection Standards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Anonymous sources and whistleblowers are handled under a documented source protection protocol maintained by the Executive Producer and legal counsel.</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Identity-masking in audio (voice alteration) must be disclosed to the audience in the episode and show notes ("This individual's voice has been altered to protect their identity.").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No source is identified without their explicit written consent, reviewed by production legal.</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Digital communications with confidential sources use end-to-end encrypted channels only. Source contact details are stored only by the Executive Producer, not in shared production systems.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If a source's identity is later publicly disclosed by a third party, we do not confirm or deny our use of that source.</w:t>
      </w:r>
    </w:p>
    <w:p>
      <w:pPr>
        <w:pStyle w:val="Heading3"/>
        <w:spacing w:after="80" w:before="280" w:line="384" w:lineRule="auto"/>
      </w:pPr>
      <w:r>
        <w:rPr>
          <w:rFonts w:ascii="Calibri" w:cs="Calibri" w:eastAsia="Calibri" w:hAnsi="Calibri"/>
          <w:color w:val="0D3B4F"/>
          <w:sz w:val="26"/>
          <w:szCs w:val="26"/>
        </w:rPr>
        <w:t xml:space="preserve">Legal Review Triggers</w:t>
      </w: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The following content categories require legal review and sign-off before the episode script is finalized: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6%"/>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Trigger</w:t>
            </w:r>
          </w:p>
        </w:tc>
        <w:tc>
          <w:tcPr>
            <w:tcW w:type="pct" w:w="48%"/>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Reason</w:t>
            </w:r>
          </w:p>
        </w:tc>
        <w:tc>
          <w:tcPr>
            <w:tcW w:type="pct" w:w="16%"/>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Review SLA</w:t>
            </w:r>
          </w:p>
        </w:tc>
      </w:tr>
      <w:tr>
        <w:trPr>
          <w:tblHeader w:val="false"/>
        </w:trPr>
        <w:tc>
          <w:tcPr>
            <w:tcW w:type="pct" w:w="36%"/>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Naming a specific living individual as a threat actor</w:t>
            </w:r>
          </w:p>
        </w:tc>
        <w:tc>
          <w:tcPr>
            <w:tcW w:type="pct" w:w="48%"/>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Defamation risk; attribution must be legally defensible</w:t>
            </w:r>
          </w:p>
        </w:tc>
        <w:tc>
          <w:tcPr>
            <w:tcW w:type="pct" w:w="16%"/>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5 business days</w:t>
            </w:r>
          </w:p>
        </w:tc>
      </w:tr>
      <w:tr>
        <w:trPr>
          <w:tblHeader w:val="false"/>
        </w:trPr>
        <w:tc>
          <w:tcPr>
            <w:tcW w:type="pct" w:w="36%"/>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Any re-enactment or dramatization</w:t>
            </w:r>
          </w:p>
        </w:tc>
        <w:tc>
          <w:tcPr>
            <w:tcW w:type="pct" w:w="48%"/>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Misleading framing risk; must be clearly labeled</w:t>
            </w:r>
          </w:p>
        </w:tc>
        <w:tc>
          <w:tcPr>
            <w:tcW w:type="pct" w:w="16%"/>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3 business days</w:t>
            </w:r>
          </w:p>
        </w:tc>
      </w:tr>
      <w:tr>
        <w:trPr>
          <w:tblHeader w:val="false"/>
        </w:trPr>
        <w:tc>
          <w:tcPr>
            <w:tcW w:type="pct" w:w="36%"/>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Use of leaked or unlawfully obtained documents</w:t>
            </w:r>
          </w:p>
        </w:tc>
        <w:tc>
          <w:tcPr>
            <w:tcW w:type="pct" w:w="48%"/>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Potential receipt of stolen property; editorial privilege assessment required</w:t>
            </w:r>
          </w:p>
        </w:tc>
        <w:tc>
          <w:tcPr>
            <w:tcW w:type="pct" w:w="16%"/>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5 business days</w:t>
            </w:r>
          </w:p>
        </w:tc>
      </w:tr>
      <w:tr>
        <w:trPr>
          <w:tblHeader w:val="false"/>
        </w:trPr>
        <w:tc>
          <w:tcPr>
            <w:tcW w:type="pct" w:w="36%"/>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Content involving minors (victims or threat actors)</w:t>
            </w:r>
          </w:p>
        </w:tc>
        <w:tc>
          <w:tcPr>
            <w:tcW w:type="pct" w:w="48%"/>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Privacy and COPPA considerations</w:t>
            </w:r>
          </w:p>
        </w:tc>
        <w:tc>
          <w:tcPr>
            <w:tcW w:type="pct" w:w="16%"/>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5 business days</w:t>
            </w:r>
          </w:p>
        </w:tc>
      </w:tr>
      <w:tr>
        <w:trPr>
          <w:tblHeader w:val="false"/>
        </w:trPr>
        <w:tc>
          <w:tcPr>
            <w:tcW w:type="pct" w:w="36%"/>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Episodes covering active law enforcement investigations</w:t>
            </w:r>
          </w:p>
        </w:tc>
        <w:tc>
          <w:tcPr>
            <w:tcW w:type="pct" w:w="48%"/>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Potential witness intimidation or interference risk</w:t>
            </w:r>
          </w:p>
        </w:tc>
        <w:tc>
          <w:tcPr>
            <w:tcW w:type="pct" w:w="16%"/>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5 business days</w:t>
            </w:r>
          </w:p>
        </w:tc>
      </w:tr>
      <w:tr>
        <w:trPr>
          <w:tblHeader w:val="false"/>
        </w:trPr>
        <w:tc>
          <w:tcPr>
            <w:tcW w:type="pct" w:w="36%"/>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Sponsored content or brand integrations</w:t>
            </w:r>
          </w:p>
        </w:tc>
        <w:tc>
          <w:tcPr>
            <w:tcW w:type="pct" w:w="48%"/>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FTC disclosure compliance</w:t>
            </w:r>
          </w:p>
        </w:tc>
        <w:tc>
          <w:tcPr>
            <w:tcW w:type="pct" w:w="16%"/>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3 business days</w:t>
            </w:r>
          </w:p>
        </w:tc>
      </w:tr>
    </w:tbl>
    <w:p>
      <w:pPr>
        <w:spacing w:after="200" w:before="0"/>
      </w:pPr>
    </w:p>
    <w:p>
      <w:pPr>
        <w:pStyle w:val="Heading3"/>
        <w:spacing w:after="80" w:before="280" w:line="384" w:lineRule="auto"/>
      </w:pPr>
      <w:r>
        <w:rPr>
          <w:rFonts w:ascii="Calibri" w:cs="Calibri" w:eastAsia="Calibri" w:hAnsi="Calibri"/>
          <w:color w:val="0D3B4F"/>
          <w:sz w:val="26"/>
          <w:szCs w:val="26"/>
        </w:rPr>
        <w:t xml:space="preserve">Re-Enactment and Dramatization Standards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All dramatized or re-enacted sequences must carry an on-screen label: </w:t>
      </w:r>
      <w:r>
        <w:rPr>
          <w:rFonts w:ascii="Consolas" w:cs="Consolas" w:eastAsia="Consolas" w:hAnsi="Consolas"/>
          <w:b w:val="false"/>
          <w:bCs w:val="false"/>
          <w:i w:val="false"/>
          <w:iCs w:val="false"/>
          <w:strike w:val="false"/>
          <w:color w:val="1A1A1A"/>
          <w:sz w:val="20"/>
          <w:szCs w:val="20"/>
          <w:shd w:fill="F0F0F0" w:color="auto" w:val="clear"/>
        </w:rPr>
        <w:t xml:space="preserve">DRAMATIZATION</w:t>
      </w:r>
      <w:r>
        <w:rPr>
          <w:rFonts w:ascii="Calibri" w:cs="Calibri" w:eastAsia="Calibri" w:hAnsi="Calibri"/>
          <w:b w:val="false"/>
          <w:bCs w:val="false"/>
          <w:i w:val="false"/>
          <w:iCs w:val="false"/>
          <w:strike w:val="false"/>
          <w:color w:val="1A1A1A"/>
          <w:sz w:val="22"/>
          <w:szCs w:val="22"/>
        </w:rPr>
        <w:t xml:space="preserve"> or </w:t>
      </w:r>
      <w:r>
        <w:rPr>
          <w:rFonts w:ascii="Consolas" w:cs="Consolas" w:eastAsia="Consolas" w:hAnsi="Consolas"/>
          <w:b w:val="false"/>
          <w:bCs w:val="false"/>
          <w:i w:val="false"/>
          <w:iCs w:val="false"/>
          <w:strike w:val="false"/>
          <w:color w:val="1A1A1A"/>
          <w:sz w:val="20"/>
          <w:szCs w:val="20"/>
          <w:shd w:fill="F0F0F0" w:color="auto" w:val="clear"/>
        </w:rPr>
        <w:t xml:space="preserve">RE-ENACTMENT</w:t>
      </w:r>
      <w:r>
        <w:rPr>
          <w:rFonts w:ascii="Calibri" w:cs="Calibri" w:eastAsia="Calibri" w:hAnsi="Calibri"/>
          <w:b w:val="false"/>
          <w:bCs w:val="false"/>
          <w:i w:val="false"/>
          <w:iCs w:val="false"/>
          <w:strike w:val="false"/>
          <w:color w:val="1A1A1A"/>
          <w:sz w:val="22"/>
          <w:szCs w:val="22"/>
        </w:rPr>
        <w:t xml:space="preserve"> — displayed for the full duration of the sequence, not just at the start.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Re-enactments must not depict or imply events that are not supported by source documentation.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Actors portraying real individuals must not be named or presented in a way that makes them visually identifiable as the real person.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Composite characters (combining attributes of multiple real individuals) must be disclosed in the episode or show notes.</w:t>
      </w:r>
    </w:p>
    <w:p>
      <w:pPr>
        <w:pStyle w:val="Heading3"/>
        <w:spacing w:after="80" w:before="280" w:line="384" w:lineRule="auto"/>
      </w:pPr>
      <w:r>
        <w:rPr>
          <w:rFonts w:ascii="Calibri" w:cs="Calibri" w:eastAsia="Calibri" w:hAnsi="Calibri"/>
          <w:color w:val="0D3B4F"/>
          <w:sz w:val="26"/>
          <w:szCs w:val="26"/>
        </w:rPr>
        <w:t xml:space="preserve">Consent and Release Requirements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All on-camera interview subjects sign a written release form before recording begins. Release is reviewed by production legal.</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Release forms specify: rights granted, any limitations on use (e.g., audio only, no facial reveal), right of subject to withdraw before publication.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Anonymous sources who provide audio/voice content but wish not to appear on camera complete a separate limited-use release.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Archival footage of private individuals requires clearance review. Public figures in their professional capacity do not require individual clearance for archival footage, but context must be accurate.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All release documentation is retained for minimum 7 years post-publication.</w:t>
      </w:r>
    </w:p>
    <w:p>
      <w:pPr>
        <w:pStyle w:val="Heading3"/>
        <w:spacing w:after="80" w:before="280" w:line="384" w:lineRule="auto"/>
      </w:pPr>
      <w:r>
        <w:rPr>
          <w:rFonts w:ascii="Calibri" w:cs="Calibri" w:eastAsia="Calibri" w:hAnsi="Calibri"/>
          <w:color w:val="0D3B4F"/>
          <w:sz w:val="26"/>
          <w:szCs w:val="26"/>
        </w:rPr>
        <w:t xml:space="preserve">Community Guidelines Reference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7A8A" w:sz="24"/>
              <w:bottom w:val="nil" w:color="FFFFFF" w:sz="0"/>
              <w:right w:val="nil" w:color="FFFFFF" w:sz="0"/>
            </w:tcBorders>
            <w:shd w:fill="E8F4F8" w:color="auto" w:val="clear"/>
            <w:tcMar>
              <w:top w:type="dxa" w:w="200"/>
              <w:left w:type="dxa" w:w="280"/>
              <w:bottom w:type="dxa" w:w="200"/>
              <w:right w:type="dxa" w:w="280"/>
            </w:tcMar>
          </w:tcPr>
          <w:p>
            <w:pPr>
              <w:spacing w:after="120" w:line="408" w:lineRule="auto"/>
            </w:pPr>
            <w:r>
              <w:rPr>
                <w:b/>
                <w:bCs/>
                <w:i w:val="false"/>
                <w:iCs w:val="false"/>
                <w:color w:val="007A8A"/>
              </w:rPr>
              <w:t xml:space="preserve">// MODERATION STANDARD</w:t>
            </w:r>
          </w:p>
          <w:p>
            <w:pPr>
              <w:spacing w:after="140" w:line="384" w:lineRule="auto"/>
            </w:pPr>
            <w:r>
              <w:rPr>
                <w:rFonts w:ascii="Calibri" w:cs="Calibri" w:eastAsia="Calibri" w:hAnsi="Calibri"/>
                <w:b w:val="false"/>
                <w:bCs w:val="false"/>
                <w:i w:val="false"/>
                <w:iCs w:val="false"/>
                <w:strike w:val="false"/>
                <w:color w:val="1A1A1A"/>
                <w:sz w:val="22"/>
                <w:szCs w:val="22"/>
              </w:rPr>
              <w:t xml:space="preserve">Codicon Hacking's community spaces (Discord, YouTube comments, social media threads) are moderated against the following prohibited behaviors. Moderation decisions are made by a designated Community Manager, not by the hosts.</w:t>
            </w:r>
          </w:p>
          <w:p>
            <w:pPr>
              <w:spacing w:after="100" w:line="408" w:lineRule="auto"/>
              <w:ind w:left="240"/>
            </w:pPr>
            <w:r>
              <w:t xml:space="preserve">•  </w:t>
            </w:r>
            <w:r>
              <w:rPr>
                <w:rFonts w:ascii="Calibri" w:cs="Calibri" w:eastAsia="Calibri" w:hAnsi="Calibri"/>
                <w:b w:val="false"/>
                <w:bCs w:val="false"/>
                <w:i w:val="false"/>
                <w:iCs w:val="false"/>
                <w:strike w:val="false"/>
                <w:color w:val="1A1A1A"/>
                <w:sz w:val="22"/>
                <w:szCs w:val="22"/>
              </w:rPr>
              <w:t xml:space="preserve">Sharing or requesting actual exploit code, attack tools, or tutorials for malicious use</w:t>
            </w:r>
          </w:p>
          <w:p>
            <w:pPr>
              <w:spacing w:after="100" w:line="408" w:lineRule="auto"/>
              <w:ind w:left="240"/>
            </w:pPr>
            <w:r>
              <w:t xml:space="preserve">•  </w:t>
            </w:r>
            <w:r>
              <w:rPr>
                <w:rFonts w:ascii="Calibri" w:cs="Calibri" w:eastAsia="Calibri" w:hAnsi="Calibri"/>
                <w:b w:val="false"/>
                <w:bCs w:val="false"/>
                <w:i w:val="false"/>
                <w:iCs w:val="false"/>
                <w:strike w:val="false"/>
                <w:color w:val="1A1A1A"/>
                <w:sz w:val="22"/>
                <w:szCs w:val="22"/>
              </w:rPr>
              <w:t xml:space="preserve">Doxxing or revealing personal information of any individual, including named threat actors</w:t>
            </w:r>
          </w:p>
          <w:p>
            <w:pPr>
              <w:spacing w:after="100" w:line="408" w:lineRule="auto"/>
              <w:ind w:left="240"/>
            </w:pPr>
            <w:r>
              <w:t xml:space="preserve">•  </w:t>
            </w:r>
            <w:r>
              <w:rPr>
                <w:rFonts w:ascii="Calibri" w:cs="Calibri" w:eastAsia="Calibri" w:hAnsi="Calibri"/>
                <w:b w:val="false"/>
                <w:bCs w:val="false"/>
                <w:i w:val="false"/>
                <w:iCs w:val="false"/>
                <w:strike w:val="false"/>
                <w:color w:val="1A1A1A"/>
                <w:sz w:val="22"/>
                <w:szCs w:val="22"/>
              </w:rPr>
              <w:t xml:space="preserve">Harassment of guests, hosts, or other community members</w:t>
            </w:r>
          </w:p>
          <w:p>
            <w:pPr>
              <w:spacing w:after="100" w:line="408" w:lineRule="auto"/>
              <w:ind w:left="240"/>
            </w:pPr>
            <w:r>
              <w:t xml:space="preserve">•  </w:t>
            </w:r>
            <w:r>
              <w:rPr>
                <w:rFonts w:ascii="Calibri" w:cs="Calibri" w:eastAsia="Calibri" w:hAnsi="Calibri"/>
                <w:b w:val="false"/>
                <w:bCs w:val="false"/>
                <w:i w:val="false"/>
                <w:iCs w:val="false"/>
                <w:strike w:val="false"/>
                <w:color w:val="1A1A1A"/>
                <w:sz w:val="22"/>
                <w:szCs w:val="22"/>
              </w:rPr>
              <w:t xml:space="preserve">Conspiracy theories presented as fact; disinformation</w:t>
            </w:r>
          </w:p>
          <w:p>
            <w:pPr>
              <w:spacing w:after="100" w:line="408" w:lineRule="auto"/>
              <w:ind w:left="240"/>
            </w:pPr>
            <w:r>
              <w:t xml:space="preserve">•  </w:t>
            </w:r>
            <w:r>
              <w:rPr>
                <w:rFonts w:ascii="Calibri" w:cs="Calibri" w:eastAsia="Calibri" w:hAnsi="Calibri"/>
                <w:b w:val="false"/>
                <w:bCs w:val="false"/>
                <w:i w:val="false"/>
                <w:iCs w:val="false"/>
                <w:strike w:val="false"/>
                <w:color w:val="1A1A1A"/>
                <w:sz w:val="22"/>
                <w:szCs w:val="22"/>
              </w:rPr>
              <w:t xml:space="preserve">Glorification of criminal cyberattacks or harm to victims</w:t>
            </w:r>
          </w:p>
          <w:p>
            <w:pPr>
              <w:spacing w:after="100" w:line="408" w:lineRule="auto"/>
              <w:ind w:left="240"/>
            </w:pPr>
            <w:r>
              <w:t xml:space="preserve">•  </w:t>
            </w:r>
            <w:r>
              <w:rPr>
                <w:rFonts w:ascii="Calibri" w:cs="Calibri" w:eastAsia="Calibri" w:hAnsi="Calibri"/>
                <w:b w:val="false"/>
                <w:bCs w:val="false"/>
                <w:i w:val="false"/>
                <w:iCs w:val="false"/>
                <w:strike w:val="false"/>
                <w:color w:val="1A1A1A"/>
                <w:sz w:val="22"/>
                <w:szCs w:val="22"/>
              </w:rPr>
              <w:t xml:space="preserve">Recruitment for hacking activities (illegal or borderline)</w:t>
            </w:r>
          </w:p>
        </w:tc>
      </w:tr>
    </w:tbl>
    <w:p>
      <w:pPr>
        <w:spacing w:after="240" w:before="0"/>
      </w:pPr>
    </w:p>
    <w:p>
      <w:pPr>
        <w:spacing w:after="240" w:line="408" w:lineRule="auto"/>
      </w:pPr>
      <w:r>
        <w:rPr>
          <w:b w:val="false"/>
          <w:bCs w:val="false"/>
          <w:i w:val="false"/>
          <w:iCs w:val="false"/>
          <w:color w:val="007A8A"/>
        </w:rPr>
        <w:t xml:space="preserve">// SECTION 10</w:t>
      </w:r>
    </w:p>
    <w:p>
      <w:pPr>
        <w:pStyle w:val="Heading2"/>
        <w:spacing w:after="100" w:before="440" w:line="384" w:lineRule="auto"/>
      </w:pPr>
      <w:r>
        <w:rPr>
          <w:rFonts w:ascii="Consolas" w:cs="Consolas" w:eastAsia="Consolas" w:hAnsi="Consolas"/>
          <w:color w:val="0D3B4F"/>
          <w:sz w:val="32"/>
          <w:szCs w:val="32"/>
        </w:rPr>
        <w:t xml:space="preserve">MULTI-PLATFORM ADAPTATION NOTES</w:t>
      </w:r>
    </w:p>
    <w:p>
      <w:pPr>
        <w:pBdr>
          <w:top w:val="single" w:color="0D3B4F" w:sz="6"/>
        </w:pBdr>
        <w:spacing w:after="200" w:before="0"/>
      </w:pPr>
    </w:p>
    <w:p>
      <w:pPr>
        <w:pStyle w:val="Heading3"/>
        <w:spacing w:after="80" w:before="280" w:line="384" w:lineRule="auto"/>
      </w:pPr>
      <w:r>
        <w:rPr>
          <w:rFonts w:ascii="Calibri" w:cs="Calibri" w:eastAsia="Calibri" w:hAnsi="Calibri"/>
          <w:color w:val="0D3B4F"/>
          <w:sz w:val="26"/>
          <w:szCs w:val="26"/>
        </w:rPr>
        <w:t xml:space="preserve">Primary Platform</w:t>
      </w: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The canonical, definitive version of Codicon Hacking is the </w:t>
      </w:r>
      <w:r>
        <w:rPr>
          <w:rFonts w:ascii="Calibri" w:cs="Calibri" w:eastAsia="Calibri" w:hAnsi="Calibri"/>
          <w:b/>
          <w:bCs/>
          <w:i w:val="false"/>
          <w:iCs w:val="false"/>
          <w:strike w:val="false"/>
          <w:color w:val="1A1A1A"/>
          <w:sz w:val="22"/>
          <w:szCs w:val="22"/>
        </w:rPr>
        <w:t xml:space="preserve">long-form video episode on YouTube</w:t>
      </w:r>
      <w:r>
        <w:rPr>
          <w:rFonts w:ascii="Calibri" w:cs="Calibri" w:eastAsia="Calibri" w:hAnsi="Calibri"/>
          <w:b w:val="false"/>
          <w:bCs w:val="false"/>
          <w:i w:val="false"/>
          <w:iCs w:val="false"/>
          <w:strike w:val="false"/>
          <w:color w:val="1A1A1A"/>
          <w:sz w:val="22"/>
          <w:szCs w:val="22"/>
        </w:rPr>
        <w:t xml:space="preserve">, supplemented by an </w:t>
      </w:r>
      <w:r>
        <w:rPr>
          <w:rFonts w:ascii="Calibri" w:cs="Calibri" w:eastAsia="Calibri" w:hAnsi="Calibri"/>
          <w:b/>
          <w:bCs/>
          <w:i w:val="false"/>
          <w:iCs w:val="false"/>
          <w:strike w:val="false"/>
          <w:color w:val="1A1A1A"/>
          <w:sz w:val="22"/>
          <w:szCs w:val="22"/>
        </w:rPr>
        <w:t xml:space="preserve">audio-only edit on Spotify and Apple Podcasts</w:t>
      </w:r>
      <w:r>
        <w:rPr>
          <w:rFonts w:ascii="Calibri" w:cs="Calibri" w:eastAsia="Calibri" w:hAnsi="Calibri"/>
          <w:b w:val="false"/>
          <w:bCs w:val="false"/>
          <w:i w:val="false"/>
          <w:iCs w:val="false"/>
          <w:strike w:val="false"/>
          <w:color w:val="1A1A1A"/>
          <w:sz w:val="22"/>
          <w:szCs w:val="22"/>
        </w:rPr>
        <w:t xml:space="preserve">. All other platform versions are adaptations of the primary product — they do not replace it, and they should always drive audiences back to the full episode.</w:t>
      </w:r>
    </w:p>
    <w:p>
      <w:pPr>
        <w:pStyle w:val="Heading3"/>
        <w:spacing w:after="80" w:before="280" w:line="384" w:lineRule="auto"/>
      </w:pPr>
      <w:r>
        <w:rPr>
          <w:rFonts w:ascii="Calibri" w:cs="Calibri" w:eastAsia="Calibri" w:hAnsi="Calibri"/>
          <w:color w:val="0D3B4F"/>
          <w:sz w:val="26"/>
          <w:szCs w:val="26"/>
        </w:rPr>
        <w:t xml:space="preserve">Platform-Specific Adaptations</w:t>
      </w:r>
    </w:p>
    <w:p>
      <w:pPr>
        <w:pStyle w:val="Heading4"/>
        <w:spacing w:after="60" w:before="200" w:line="384" w:lineRule="auto"/>
      </w:pPr>
      <w:r>
        <w:rPr>
          <w:rFonts w:ascii="Calibri" w:cs="Calibri" w:eastAsia="Calibri" w:hAnsi="Calibri"/>
          <w:color w:val="1A1A1A"/>
          <w:sz w:val="22"/>
          <w:szCs w:val="22"/>
        </w:rPr>
        <w:t xml:space="preserve">YouTube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7%"/>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Element</w:t>
            </w:r>
          </w:p>
        </w:tc>
        <w:tc>
          <w:tcPr>
            <w:tcW w:type="pct" w:w="83%"/>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Specification</w:t>
            </w:r>
          </w:p>
        </w:tc>
      </w:tr>
      <w:tr>
        <w:trPr>
          <w:tblHeader w:val="false"/>
        </w:trPr>
        <w:tc>
          <w:tcPr>
            <w:tcW w:type="pct" w:w="17%"/>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Video format</w:t>
            </w:r>
          </w:p>
        </w:tc>
        <w:tc>
          <w:tcPr>
            <w:tcW w:type="pct" w:w="83%"/>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1080p minimum, 4K preferred. 16:9 aspect ratio. H.264 or H.265 encoding.</w:t>
            </w:r>
          </w:p>
        </w:tc>
      </w:tr>
      <w:tr>
        <w:trPr>
          <w:tblHeader w:val="false"/>
        </w:trPr>
        <w:tc>
          <w:tcPr>
            <w:tcW w:type="pct" w:w="17%"/>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Chapter markers</w:t>
            </w:r>
          </w:p>
        </w:tc>
        <w:tc>
          <w:tcPr>
            <w:tcW w:type="pct" w:w="83%"/>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Required for all episodes. Chapters correspond to episode segments (Cold Open, Setup, Deep Dive, etc.) plus any major sub-sections within the Deep Dive.</w:t>
            </w:r>
          </w:p>
        </w:tc>
      </w:tr>
      <w:tr>
        <w:trPr>
          <w:tblHeader w:val="false"/>
        </w:trPr>
        <w:tc>
          <w:tcPr>
            <w:tcW w:type="pct" w:w="17%"/>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Thumbnail</w:t>
            </w:r>
          </w:p>
        </w:tc>
        <w:tc>
          <w:tcPr>
            <w:tcW w:type="pct" w:w="83%"/>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Custom per episode per thumbnail template (see Section 8). A/B test two thumbnail variants in first 48 hours for episodes 1–4; apply learnings thereafter.</w:t>
            </w:r>
          </w:p>
        </w:tc>
      </w:tr>
      <w:tr>
        <w:trPr>
          <w:tblHeader w:val="false"/>
        </w:trPr>
        <w:tc>
          <w:tcPr>
            <w:tcW w:type="pct" w:w="17%"/>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Description template</w:t>
            </w:r>
          </w:p>
        </w:tc>
        <w:tc>
          <w:tcPr>
            <w:tcW w:type="pct" w:w="83%"/>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Episode premise (2–3 sentences) → chapter list → guest names and links → key resources → community links → series subscribe CTA. Max 800 words. No keyword stuffing.</w:t>
            </w:r>
          </w:p>
        </w:tc>
      </w:tr>
      <w:tr>
        <w:trPr>
          <w:tblHeader w:val="false"/>
        </w:trPr>
        <w:tc>
          <w:tcPr>
            <w:tcW w:type="pct" w:w="17%"/>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Tags</w:t>
            </w:r>
          </w:p>
        </w:tc>
        <w:tc>
          <w:tcPr>
            <w:tcW w:type="pct" w:w="83%"/>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15–20 tags. Mix of broad (cybersecurity, hacking, infosec) and episode-specific (CVE name, company name, technique name).</w:t>
            </w:r>
          </w:p>
        </w:tc>
      </w:tr>
      <w:tr>
        <w:trPr>
          <w:tblHeader w:val="false"/>
        </w:trPr>
        <w:tc>
          <w:tcPr>
            <w:tcW w:type="pct" w:w="17%"/>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End card</w:t>
            </w:r>
          </w:p>
        </w:tc>
        <w:tc>
          <w:tcPr>
            <w:tcW w:type="pct" w:w="83%"/>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20-second end card. Two video recommendations + subscribe button. Episode-specific recommended video prioritized.</w:t>
            </w:r>
          </w:p>
        </w:tc>
      </w:tr>
    </w:tbl>
    <w:p>
      <w:pPr>
        <w:spacing w:after="200" w:before="0"/>
      </w:pPr>
    </w:p>
    <w:p>
      <w:pPr>
        <w:pStyle w:val="Heading4"/>
        <w:spacing w:after="60" w:before="200" w:line="384" w:lineRule="auto"/>
      </w:pPr>
      <w:r>
        <w:rPr>
          <w:rFonts w:ascii="Calibri" w:cs="Calibri" w:eastAsia="Calibri" w:hAnsi="Calibri"/>
          <w:color w:val="1A1A1A"/>
          <w:sz w:val="22"/>
          <w:szCs w:val="22"/>
        </w:rPr>
        <w:t xml:space="preserve">Spotify / Apple Podcasts (Audio Edit)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8%"/>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Element</w:t>
            </w:r>
          </w:p>
        </w:tc>
        <w:tc>
          <w:tcPr>
            <w:tcW w:type="pct" w:w="82%"/>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Specification</w:t>
            </w:r>
          </w:p>
        </w:tc>
      </w:tr>
      <w:tr>
        <w:trPr>
          <w:tblHeader w:val="false"/>
        </w:trPr>
        <w:tc>
          <w:tcPr>
            <w:tcW w:type="pct" w:w="18%"/>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Audio edit</w:t>
            </w:r>
          </w:p>
        </w:tc>
        <w:tc>
          <w:tcPr>
            <w:tcW w:type="pct" w:w="82%"/>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Removes or replaces all visual-dependent content. Screen recording narrations are supplemented with additional verbal description. "As you can see on screen" is never in the audio edit.</w:t>
            </w:r>
          </w:p>
        </w:tc>
      </w:tr>
      <w:tr>
        <w:trPr>
          <w:tblHeader w:val="false"/>
        </w:trPr>
        <w:tc>
          <w:tcPr>
            <w:tcW w:type="pct" w:w="18%"/>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Audio quality</w:t>
            </w:r>
          </w:p>
        </w:tc>
        <w:tc>
          <w:tcPr>
            <w:tcW w:type="pct" w:w="82%"/>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Export at 192kbps minimum stereo AAC. Loudness normalized to -14 LUFS (Spotify standard), -16 LUFS (Apple Podcasts standard).</w:t>
            </w:r>
          </w:p>
        </w:tc>
      </w:tr>
      <w:tr>
        <w:trPr>
          <w:tblHeader w:val="false"/>
        </w:trPr>
        <w:tc>
          <w:tcPr>
            <w:tcW w:type="pct" w:w="18%"/>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Chapter markers</w:t>
            </w:r>
          </w:p>
        </w:tc>
        <w:tc>
          <w:tcPr>
            <w:tcW w:type="pct" w:w="82%"/>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ID3v2 chapter tags for Spotify; Apple Podcasts chapters via RSS. Same chapter structure as YouTube.</w:t>
            </w:r>
          </w:p>
        </w:tc>
      </w:tr>
      <w:tr>
        <w:trPr>
          <w:tblHeader w:val="false"/>
        </w:trPr>
        <w:tc>
          <w:tcPr>
            <w:tcW w:type="pct" w:w="18%"/>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Show notes</w:t>
            </w:r>
          </w:p>
        </w:tc>
        <w:tc>
          <w:tcPr>
            <w:tcW w:type="pct" w:w="82%"/>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Adapted from YouTube description. Removes visual references. Adds "full video available at [YouTube link]" call-out at top.</w:t>
            </w:r>
          </w:p>
        </w:tc>
      </w:tr>
      <w:tr>
        <w:trPr>
          <w:tblHeader w:val="false"/>
        </w:trPr>
        <w:tc>
          <w:tcPr>
            <w:tcW w:type="pct" w:w="18%"/>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Podcast-exclusive content</w:t>
            </w:r>
          </w:p>
        </w:tc>
        <w:tc>
          <w:tcPr>
            <w:tcW w:type="pct" w:w="82%"/>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Optional: 2–3 minute extended outro on audio edit with additional host commentary not in video edit. Creates genuine value for podcast subscribers.</w:t>
            </w:r>
          </w:p>
        </w:tc>
      </w:tr>
    </w:tbl>
    <w:p>
      <w:pPr>
        <w:spacing w:after="200" w:before="0"/>
      </w:pPr>
    </w:p>
    <w:p>
      <w:pPr>
        <w:pStyle w:val="Heading4"/>
        <w:spacing w:after="60" w:before="200" w:line="384" w:lineRule="auto"/>
      </w:pPr>
      <w:r>
        <w:rPr>
          <w:rFonts w:ascii="Calibri" w:cs="Calibri" w:eastAsia="Calibri" w:hAnsi="Calibri"/>
          <w:color w:val="1A1A1A"/>
          <w:sz w:val="22"/>
          <w:szCs w:val="22"/>
        </w:rPr>
        <w:t xml:space="preserve">X / Twitter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Clip strategy:</w:t>
      </w:r>
      <w:r>
        <w:rPr>
          <w:rFonts w:ascii="Calibri" w:cs="Calibri" w:eastAsia="Calibri" w:hAnsi="Calibri"/>
          <w:b w:val="false"/>
          <w:bCs w:val="false"/>
          <w:i w:val="false"/>
          <w:iCs w:val="false"/>
          <w:strike w:val="false"/>
          <w:color w:val="1A1A1A"/>
          <w:sz w:val="22"/>
          <w:szCs w:val="22"/>
        </w:rPr>
        <w:t xml:space="preserve"> 2–3 clips per episode, 60–90 seconds each. Priority: the most surprising or quotable 90 seconds from the Deep Dive or Editorial. Clips stand alone — assume the viewer has not watched the episode.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Thread format:</w:t>
      </w:r>
      <w:r>
        <w:rPr>
          <w:rFonts w:ascii="Calibri" w:cs="Calibri" w:eastAsia="Calibri" w:hAnsi="Calibri"/>
          <w:b w:val="false"/>
          <w:bCs w:val="false"/>
          <w:i w:val="false"/>
          <w:iCs w:val="false"/>
          <w:strike w:val="false"/>
          <w:color w:val="1A1A1A"/>
          <w:sz w:val="22"/>
          <w:szCs w:val="22"/>
        </w:rPr>
        <w:t xml:space="preserve"> For technically dense episodes, a post-publication thread of 6–10 tweets walks through the key technical points with links to relevant resources. Thread is not a summary — it adds context or goes deeper on one specific element.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Posting cadence:</w:t>
      </w:r>
      <w:r>
        <w:rPr>
          <w:rFonts w:ascii="Calibri" w:cs="Calibri" w:eastAsia="Calibri" w:hAnsi="Calibri"/>
          <w:b w:val="false"/>
          <w:bCs w:val="false"/>
          <w:i w:val="false"/>
          <w:iCs w:val="false"/>
          <w:strike w:val="false"/>
          <w:color w:val="1A1A1A"/>
          <w:sz w:val="22"/>
          <w:szCs w:val="22"/>
        </w:rPr>
        <w:t xml:space="preserve"> Publish day post (episode launch) → Day 2 clip → Day 4 technical thread (if applicable) → Day 6 community question.</w:t>
      </w:r>
    </w:p>
    <w:p>
      <w:pPr>
        <w:pStyle w:val="Heading4"/>
        <w:spacing w:after="60" w:before="200" w:line="384" w:lineRule="auto"/>
      </w:pPr>
      <w:r>
        <w:rPr>
          <w:rFonts w:ascii="Calibri" w:cs="Calibri" w:eastAsia="Calibri" w:hAnsi="Calibri"/>
          <w:color w:val="1A1A1A"/>
          <w:sz w:val="22"/>
          <w:szCs w:val="22"/>
        </w:rPr>
        <w:t xml:space="preserve">LinkedIn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Audience reframe:</w:t>
      </w:r>
      <w:r>
        <w:rPr>
          <w:rFonts w:ascii="Calibri" w:cs="Calibri" w:eastAsia="Calibri" w:hAnsi="Calibri"/>
          <w:b w:val="false"/>
          <w:bCs w:val="false"/>
          <w:i w:val="false"/>
          <w:iCs w:val="false"/>
          <w:strike w:val="false"/>
          <w:color w:val="1A1A1A"/>
          <w:sz w:val="22"/>
          <w:szCs w:val="22"/>
        </w:rPr>
        <w:t xml:space="preserve"> LinkedIn content is framed for enterprise security decision-makers — CISOs, security architects, IT directors, compliance officers.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Tone shift:</w:t>
      </w:r>
      <w:r>
        <w:rPr>
          <w:rFonts w:ascii="Calibri" w:cs="Calibri" w:eastAsia="Calibri" w:hAnsi="Calibri"/>
          <w:b w:val="false"/>
          <w:bCs w:val="false"/>
          <w:i w:val="false"/>
          <w:iCs w:val="false"/>
          <w:strike w:val="false"/>
          <w:color w:val="1A1A1A"/>
          <w:sz w:val="22"/>
          <w:szCs w:val="22"/>
        </w:rPr>
        <w:t xml:space="preserve"> More formal than YouTube/Twitter. The irreverence is dialed back; the authority remains. Lead with professional implication ("What this breach means for your organization's security posture") rather than narrative hook.</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Format:</w:t>
      </w:r>
      <w:r>
        <w:rPr>
          <w:rFonts w:ascii="Calibri" w:cs="Calibri" w:eastAsia="Calibri" w:hAnsi="Calibri"/>
          <w:b w:val="false"/>
          <w:bCs w:val="false"/>
          <w:i w:val="false"/>
          <w:iCs w:val="false"/>
          <w:strike w:val="false"/>
          <w:color w:val="1A1A1A"/>
          <w:sz w:val="22"/>
          <w:szCs w:val="22"/>
        </w:rPr>
        <w:t xml:space="preserve"> 150–300 word post with episode link. Pull one insight that has direct professional relevance. Include a question that invites professional discussion in comments.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Clip use:</w:t>
      </w:r>
      <w:r>
        <w:rPr>
          <w:rFonts w:ascii="Calibri" w:cs="Calibri" w:eastAsia="Calibri" w:hAnsi="Calibri"/>
          <w:b w:val="false"/>
          <w:bCs w:val="false"/>
          <w:i w:val="false"/>
          <w:iCs w:val="false"/>
          <w:strike w:val="false"/>
          <w:color w:val="1A1A1A"/>
          <w:sz w:val="22"/>
          <w:szCs w:val="22"/>
        </w:rPr>
        <w:t xml:space="preserve"> The same clips as Twitter, reposted natively (not linked from YouTube).</w:t>
      </w:r>
    </w:p>
    <w:p>
      <w:pPr>
        <w:pStyle w:val="Heading4"/>
        <w:spacing w:after="60" w:before="200" w:line="384" w:lineRule="auto"/>
      </w:pPr>
      <w:r>
        <w:rPr>
          <w:rFonts w:ascii="Calibri" w:cs="Calibri" w:eastAsia="Calibri" w:hAnsi="Calibri"/>
          <w:color w:val="1A1A1A"/>
          <w:sz w:val="22"/>
          <w:szCs w:val="22"/>
        </w:rPr>
        <w:t xml:space="preserve">TikTok / Instagram Reels / YouTube Shorts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5%"/>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Element</w:t>
            </w:r>
          </w:p>
        </w:tc>
        <w:tc>
          <w:tcPr>
            <w:tcW w:type="pct" w:w="85%"/>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Specification</w:t>
            </w:r>
          </w:p>
        </w:tc>
      </w:tr>
      <w:tr>
        <w:trPr>
          <w:tblHeader w:val="false"/>
        </w:trPr>
        <w:tc>
          <w:tcPr>
            <w:tcW w:type="pct" w:w="15%"/>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Duration</w:t>
            </w:r>
          </w:p>
        </w:tc>
        <w:tc>
          <w:tcPr>
            <w:tcW w:type="pct" w:w="85%"/>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30–60 seconds. Under 45 seconds preferred for Reels and Shorts.</w:t>
            </w:r>
          </w:p>
        </w:tc>
      </w:tr>
      <w:tr>
        <w:trPr>
          <w:tblHeader w:val="false"/>
        </w:trPr>
        <w:tc>
          <w:tcPr>
            <w:tcW w:type="pct" w:w="15%"/>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Content source</w:t>
            </w:r>
          </w:p>
        </w:tc>
        <w:tc>
          <w:tcPr>
            <w:tcW w:type="pct" w:w="85%"/>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Cold Open repurposed as-is (if under 60 sec), or a single self-contained "mind-bending fact" moment from the Deep Dive or Setup.</w:t>
            </w:r>
          </w:p>
        </w:tc>
      </w:tr>
      <w:tr>
        <w:trPr>
          <w:tblHeader w:val="false"/>
        </w:trPr>
        <w:tc>
          <w:tcPr>
            <w:tcW w:type="pct" w:w="15%"/>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Text overlays</w:t>
            </w:r>
          </w:p>
        </w:tc>
        <w:tc>
          <w:tcPr>
            <w:tcW w:type="pct" w:w="85%"/>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Key terms highlighted in Electric Cyan. Brief explanatory subtitles for all speech (accessibility + muted auto-play). Max 3 text elements on screen at once.</w:t>
            </w:r>
          </w:p>
        </w:tc>
      </w:tr>
      <w:tr>
        <w:trPr>
          <w:tblHeader w:val="false"/>
        </w:trPr>
        <w:tc>
          <w:tcPr>
            <w:tcW w:type="pct" w:w="15%"/>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Hook structure</w:t>
            </w:r>
          </w:p>
        </w:tc>
        <w:tc>
          <w:tcPr>
            <w:tcW w:type="pct" w:w="85%"/>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First 3 seconds must create an irresistible question or surprising claim. No logo. No intro music. In medias res immediately.</w:t>
            </w:r>
          </w:p>
        </w:tc>
      </w:tr>
      <w:tr>
        <w:trPr>
          <w:tblHeader w:val="false"/>
        </w:trPr>
        <w:tc>
          <w:tcPr>
            <w:tcW w:type="pct" w:w="15%"/>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CTA</w:t>
            </w:r>
          </w:p>
        </w:tc>
        <w:tc>
          <w:tcPr>
            <w:tcW w:type="pct" w:w="85%"/>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End card: "Full episode ↑ Link in bio." Never "like and subscribe" — the audience is smarter than that.</w:t>
            </w:r>
          </w:p>
        </w:tc>
      </w:tr>
      <w:tr>
        <w:trPr>
          <w:tblHeader w:val="false"/>
        </w:trPr>
        <w:tc>
          <w:tcPr>
            <w:tcW w:type="pct" w:w="15%"/>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Frequency</w:t>
            </w:r>
          </w:p>
        </w:tc>
        <w:tc>
          <w:tcPr>
            <w:tcW w:type="pct" w:w="85%"/>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2–3 Shorts/Reels per episode. One posted on episode day; remainder spread across the week.</w:t>
            </w:r>
          </w:p>
        </w:tc>
      </w:tr>
    </w:tbl>
    <w:p>
      <w:pPr>
        <w:spacing w:after="200" w:before="0"/>
      </w:pPr>
    </w:p>
    <w:p>
      <w:pPr>
        <w:pStyle w:val="Heading4"/>
        <w:spacing w:after="60" w:before="200" w:line="384" w:lineRule="auto"/>
      </w:pPr>
      <w:r>
        <w:rPr>
          <w:rFonts w:ascii="Calibri" w:cs="Calibri" w:eastAsia="Calibri" w:hAnsi="Calibri"/>
          <w:color w:val="1A1A1A"/>
          <w:sz w:val="22"/>
          <w:szCs w:val="22"/>
        </w:rPr>
        <w:t xml:space="preserve">Newsletter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Format:</w:t>
      </w:r>
      <w:r>
        <w:rPr>
          <w:rFonts w:ascii="Calibri" w:cs="Calibri" w:eastAsia="Calibri" w:hAnsi="Calibri"/>
          <w:b w:val="false"/>
          <w:bCs w:val="false"/>
          <w:i w:val="false"/>
          <w:iCs w:val="false"/>
          <w:strike w:val="false"/>
          <w:color w:val="1A1A1A"/>
          <w:sz w:val="22"/>
          <w:szCs w:val="22"/>
        </w:rPr>
        <w:t xml:space="preserve"> Email newsletter distributed on episode day or the day following.</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Structure:</w:t>
      </w:r>
      <w:r>
        <w:rPr>
          <w:rFonts w:ascii="Calibri" w:cs="Calibri" w:eastAsia="Calibri" w:hAnsi="Calibri"/>
          <w:b w:val="false"/>
          <w:bCs w:val="false"/>
          <w:i w:val="false"/>
          <w:iCs w:val="false"/>
          <w:strike w:val="false"/>
          <w:color w:val="1A1A1A"/>
          <w:sz w:val="22"/>
          <w:szCs w:val="22"/>
        </w:rPr>
        <w:t xml:space="preserve"> [Subject: CODICON // Episode title] → Opening hook (1 paragraph) → Episode summary (3–5 bullet points, Tier 1 language) → 3 resources from the episode → Community question → Next episode tease → Footer links.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Tone:</w:t>
      </w:r>
      <w:r>
        <w:rPr>
          <w:rFonts w:ascii="Calibri" w:cs="Calibri" w:eastAsia="Calibri" w:hAnsi="Calibri"/>
          <w:b w:val="false"/>
          <w:bCs w:val="false"/>
          <w:i w:val="false"/>
          <w:iCs w:val="false"/>
          <w:strike w:val="false"/>
          <w:color w:val="1A1A1A"/>
          <w:sz w:val="22"/>
          <w:szCs w:val="22"/>
        </w:rPr>
        <w:t xml:space="preserve"> Conversational, smart, brief. Max 400 words. Respects the reader's time above all.</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Exclusive hook:</w:t>
      </w:r>
      <w:r>
        <w:rPr>
          <w:rFonts w:ascii="Calibri" w:cs="Calibri" w:eastAsia="Calibri" w:hAnsi="Calibri"/>
          <w:b w:val="false"/>
          <w:bCs w:val="false"/>
          <w:i w:val="false"/>
          <w:iCs w:val="false"/>
          <w:strike w:val="false"/>
          <w:color w:val="1A1A1A"/>
          <w:sz w:val="22"/>
          <w:szCs w:val="22"/>
        </w:rPr>
        <w:t xml:space="preserve"> Each newsletter includes one piece of information not in the public episode — a cut quote from a guest, a follow-up finding, a recommended read. Rewards subscription.</w:t>
      </w:r>
    </w:p>
    <w:p>
      <w:pPr>
        <w:pStyle w:val="Heading4"/>
        <w:spacing w:after="60" w:before="200" w:line="384" w:lineRule="auto"/>
      </w:pPr>
      <w:r>
        <w:rPr>
          <w:rFonts w:ascii="Calibri" w:cs="Calibri" w:eastAsia="Calibri" w:hAnsi="Calibri"/>
          <w:color w:val="1A1A1A"/>
          <w:sz w:val="22"/>
          <w:szCs w:val="22"/>
        </w:rPr>
        <w:t xml:space="preserve">Discord / Community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Episode drops in a dedicated </w:t>
      </w:r>
      <w:r>
        <w:rPr>
          <w:rFonts w:ascii="Consolas" w:cs="Consolas" w:eastAsia="Consolas" w:hAnsi="Consolas"/>
          <w:b w:val="false"/>
          <w:bCs w:val="false"/>
          <w:i w:val="false"/>
          <w:iCs w:val="false"/>
          <w:strike w:val="false"/>
          <w:color w:val="1A1A1A"/>
          <w:sz w:val="20"/>
          <w:szCs w:val="20"/>
          <w:shd w:fill="F0F0F0" w:color="auto" w:val="clear"/>
        </w:rPr>
        <w:t xml:space="preserve">#episode-drops</w:t>
      </w:r>
      <w:r>
        <w:rPr>
          <w:rFonts w:ascii="Calibri" w:cs="Calibri" w:eastAsia="Calibri" w:hAnsi="Calibri"/>
          <w:b w:val="false"/>
          <w:bCs w:val="false"/>
          <w:i w:val="false"/>
          <w:iCs w:val="false"/>
          <w:strike w:val="false"/>
          <w:color w:val="1A1A1A"/>
          <w:sz w:val="22"/>
          <w:szCs w:val="22"/>
        </w:rPr>
        <w:t xml:space="preserve"> channel with a 3-sentence summary and discussion prompt.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Community Manager posts a </w:t>
      </w:r>
      <w:r>
        <w:rPr>
          <w:rFonts w:ascii="Calibri" w:cs="Calibri" w:eastAsia="Calibri" w:hAnsi="Calibri"/>
          <w:b/>
          <w:bCs/>
          <w:i w:val="false"/>
          <w:iCs w:val="false"/>
          <w:strike w:val="false"/>
          <w:color w:val="1A1A1A"/>
          <w:sz w:val="22"/>
          <w:szCs w:val="22"/>
        </w:rPr>
        <w:t xml:space="preserve">Discussion Prompt</w:t>
      </w:r>
      <w:r>
        <w:rPr>
          <w:rFonts w:ascii="Calibri" w:cs="Calibri" w:eastAsia="Calibri" w:hAnsi="Calibri"/>
          <w:b w:val="false"/>
          <w:bCs w:val="false"/>
          <w:i w:val="false"/>
          <w:iCs w:val="false"/>
          <w:strike w:val="false"/>
          <w:color w:val="1A1A1A"/>
          <w:sz w:val="22"/>
          <w:szCs w:val="22"/>
        </w:rPr>
        <w:t xml:space="preserve"> within 1 hour of episode drop (template: see Appendix B).</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Host or Analyst makes a brief appearance in community discussion within 48 hours of episode drop — not to dominate, but to signal genuine engagement.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Technical deep-dive threads are encouraged and pinned when they add value. The community should feel like the smartest comment section that ever existed.</w:t>
      </w:r>
    </w:p>
    <w:p>
      <w:pPr>
        <w:pStyle w:val="Heading3"/>
        <w:spacing w:after="80" w:before="280" w:line="384" w:lineRule="auto"/>
      </w:pPr>
      <w:r>
        <w:rPr>
          <w:rFonts w:ascii="Calibri" w:cs="Calibri" w:eastAsia="Calibri" w:hAnsi="Calibri"/>
          <w:color w:val="0D3B4F"/>
          <w:sz w:val="26"/>
          <w:szCs w:val="26"/>
        </w:rPr>
        <w:t xml:space="preserve">SEO and Discoverability Guidelines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6%"/>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Element</w:t>
            </w:r>
          </w:p>
        </w:tc>
        <w:tc>
          <w:tcPr>
            <w:tcW w:type="pct" w:w="84%"/>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Standard</w:t>
            </w:r>
          </w:p>
        </w:tc>
      </w:tr>
      <w:tr>
        <w:trPr>
          <w:tblHeader w:val="false"/>
        </w:trPr>
        <w:tc>
          <w:tcPr>
            <w:tcW w:type="pct" w:w="16%"/>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YouTube title format</w:t>
            </w:r>
          </w:p>
        </w:tc>
        <w:tc>
          <w:tcPr>
            <w:tcW w:type="pct" w:w="84%"/>
            <w:tcMar>
              <w:top w:type="dxa" w:w="105"/>
              <w:left w:type="dxa" w:w="150"/>
              <w:bottom w:type="dxa" w:w="105"/>
              <w:right w:type="dxa" w:w="150"/>
            </w:tcMar>
          </w:tcPr>
          <w:p>
            <w:r>
              <w:rPr>
                <w:rFonts w:ascii="Consolas" w:cs="Consolas" w:eastAsia="Consolas" w:hAnsi="Consolas"/>
                <w:b w:val="false"/>
                <w:bCs w:val="false"/>
                <w:i w:val="false"/>
                <w:iCs w:val="false"/>
                <w:strike w:val="false"/>
                <w:color w:val="1A1A1A"/>
                <w:sz w:val="20"/>
                <w:szCs w:val="20"/>
                <w:shd w:fill="F0F0F0" w:color="auto" w:val="clear"/>
              </w:rPr>
              <w:t xml:space="preserve">[CODICON-S01E##] Episode Title | Codicon Hacking</w:t>
            </w:r>
            <w:r>
              <w:rPr>
                <w:rFonts w:ascii="Calibri" w:cs="Calibri" w:eastAsia="Calibri" w:hAnsi="Calibri"/>
                <w:b w:val="false"/>
                <w:bCs w:val="false"/>
                <w:i w:val="false"/>
                <w:iCs w:val="false"/>
                <w:strike w:val="false"/>
                <w:color w:val="1A1A1A"/>
                <w:sz w:val="22"/>
                <w:szCs w:val="22"/>
              </w:rPr>
              <w:t xml:space="preserve"> — keep under 70 characters total</w:t>
            </w:r>
          </w:p>
        </w:tc>
      </w:tr>
      <w:tr>
        <w:trPr>
          <w:tblHeader w:val="false"/>
        </w:trPr>
        <w:tc>
          <w:tcPr>
            <w:tcW w:type="pct" w:w="16%"/>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Primary keyword strategy</w:t>
            </w:r>
          </w:p>
        </w:tc>
        <w:tc>
          <w:tcPr>
            <w:tcW w:type="pct" w:w="84%"/>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Each episode targets 1 primary long-tail keyword (e.g., "SolarWinds attack explained") and 2–3 secondary keywords (e.g., "supply chain hack," "nation state cyber attack")</w:t>
            </w:r>
          </w:p>
        </w:tc>
      </w:tr>
      <w:tr>
        <w:trPr>
          <w:tblHeader w:val="false"/>
        </w:trPr>
        <w:tc>
          <w:tcPr>
            <w:tcW w:type="pct" w:w="16%"/>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Podcast title format</w:t>
            </w:r>
          </w:p>
        </w:tc>
        <w:tc>
          <w:tcPr>
            <w:tcW w:type="pct" w:w="84%"/>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Episode title only — no series prefix in podcast platforms (reduces length in feeds)</w:t>
            </w:r>
          </w:p>
        </w:tc>
      </w:tr>
      <w:tr>
        <w:trPr>
          <w:tblHeader w:val="false"/>
        </w:trPr>
        <w:tc>
          <w:tcPr>
            <w:tcW w:type="pct" w:w="16%"/>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Tagging taxonomy</w:t>
            </w:r>
          </w:p>
        </w:tc>
        <w:tc>
          <w:tcPr>
            <w:tcW w:type="pct" w:w="84%"/>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Standard tag library: Series tags (Codicon Hacking, Season 1) + Format tags (Deep Dive, Panel, Solo) + Topic tags (Ransomware, Nation-State, Phishing, Zero-Day, etc.) + Entity tags (company/tool names where applicable)</w:t>
            </w:r>
          </w:p>
        </w:tc>
      </w:tr>
      <w:tr>
        <w:trPr>
          <w:tblHeader w:val="false"/>
        </w:trPr>
        <w:tc>
          <w:tcPr>
            <w:tcW w:type="pct" w:w="16%"/>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Transcript publication</w:t>
            </w:r>
          </w:p>
        </w:tc>
        <w:tc>
          <w:tcPr>
            <w:tcW w:type="pct" w:w="84%"/>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Full transcript published on series website within 48 hours of episode drop. Improves SEO and accessibility.</w:t>
            </w:r>
          </w:p>
        </w:tc>
      </w:tr>
    </w:tbl>
    <w:p>
      <w:pPr>
        <w:spacing w:after="200" w:before="0"/>
      </w:pPr>
    </w:p>
    <w:p>
      <w:pPr>
        <w:pStyle w:val="Heading3"/>
        <w:spacing w:after="80" w:before="280" w:line="384" w:lineRule="auto"/>
      </w:pPr>
      <w:r>
        <w:rPr>
          <w:rFonts w:ascii="Calibri" w:cs="Calibri" w:eastAsia="Calibri" w:hAnsi="Calibri"/>
          <w:color w:val="0D3B4F"/>
          <w:sz w:val="26"/>
          <w:szCs w:val="26"/>
        </w:rPr>
        <w:t xml:space="preserve">Cross-Promotion and Episode Linking Strategy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Each episode description includes "Related Episode" links to 1–2 thematically connected prior episodes.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In-episode verbal callbacks to prior episodes are scripted at least once per episode from Episode 3 onward.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Guest episodes link back to the guest's own content/organization in show notes (reciprocal value).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Season finale description links to all 12 prior episodes with one-line descriptions.</w:t>
      </w:r>
    </w:p>
    <w:p>
      <w:pPr>
        <w:spacing w:after="240" w:line="408" w:lineRule="auto"/>
      </w:pPr>
      <w:r>
        <w:rPr>
          <w:b w:val="false"/>
          <w:bCs w:val="false"/>
          <w:i w:val="false"/>
          <w:iCs w:val="false"/>
          <w:color w:val="007A8A"/>
        </w:rPr>
        <w:t xml:space="preserve">// SECTION 11</w:t>
      </w:r>
    </w:p>
    <w:p>
      <w:pPr>
        <w:pStyle w:val="Heading2"/>
        <w:spacing w:after="100" w:before="440" w:line="384" w:lineRule="auto"/>
      </w:pPr>
      <w:r>
        <w:rPr>
          <w:rFonts w:ascii="Consolas" w:cs="Consolas" w:eastAsia="Consolas" w:hAnsi="Consolas"/>
          <w:color w:val="0D3B4F"/>
          <w:sz w:val="32"/>
          <w:szCs w:val="32"/>
        </w:rPr>
        <w:t xml:space="preserve">PRODUCTION WORKFLOW</w:t>
      </w:r>
    </w:p>
    <w:p>
      <w:pPr>
        <w:pBdr>
          <w:top w:val="single" w:color="0D3B4F" w:sz="6"/>
        </w:pBdr>
        <w:spacing w:after="200" w:before="0"/>
      </w:pPr>
    </w:p>
    <w:p>
      <w:pPr>
        <w:pStyle w:val="Heading3"/>
        <w:spacing w:after="80" w:before="280" w:line="384" w:lineRule="auto"/>
      </w:pPr>
      <w:r>
        <w:rPr>
          <w:rFonts w:ascii="Calibri" w:cs="Calibri" w:eastAsia="Calibri" w:hAnsi="Calibri"/>
          <w:color w:val="0D3B4F"/>
          <w:sz w:val="26"/>
          <w:szCs w:val="26"/>
        </w:rPr>
        <w:t xml:space="preserve">Pre-Production Checklist</w:t>
      </w: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The following checklist must be completed before a recording date is confirmed. Incomplete items block production commencement.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w:t>
            </w:r>
          </w:p>
        </w:tc>
        <w:tc>
          <w:tcPr>
            <w:tcW w:type="pct" w:w="45%"/>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Task</w:t>
            </w:r>
          </w:p>
        </w:tc>
        <w:tc>
          <w:tcPr>
            <w:tcW w:type="pct" w:w="20%"/>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Owner</w:t>
            </w:r>
          </w:p>
        </w:tc>
        <w:tc>
          <w:tcPr>
            <w:tcW w:type="pct" w:w="26%"/>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Deadline</w:t>
            </w:r>
          </w:p>
        </w:tc>
      </w:tr>
      <w:tr>
        <w:trPr>
          <w:tblHeader w:val="false"/>
        </w:trPr>
        <w:tc>
          <w:tcPr>
            <w:tcW w:type="pct" w:w="9%"/>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1</w:t>
            </w:r>
          </w:p>
        </w:tc>
        <w:tc>
          <w:tcPr>
            <w:tcW w:type="pct" w:w="45%"/>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Episode topic approved by Executive Producer</w:t>
            </w:r>
          </w:p>
        </w:tc>
        <w:tc>
          <w:tcPr>
            <w:tcW w:type="pct" w:w="20%"/>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EP</w:t>
            </w:r>
          </w:p>
        </w:tc>
        <w:tc>
          <w:tcPr>
            <w:tcW w:type="pct" w:w="26%"/>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T-21 days</w:t>
            </w:r>
          </w:p>
        </w:tc>
      </w:tr>
      <w:tr>
        <w:trPr>
          <w:tblHeader w:val="false"/>
        </w:trPr>
        <w:tc>
          <w:tcPr>
            <w:tcW w:type="pct" w:w="9%"/>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2</w:t>
            </w:r>
          </w:p>
        </w:tc>
        <w:tc>
          <w:tcPr>
            <w:tcW w:type="pct" w:w="45%"/>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Primary research completed; source documents compiled</w:t>
            </w:r>
          </w:p>
        </w:tc>
        <w:tc>
          <w:tcPr>
            <w:tcW w:type="pct" w:w="20%"/>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Research Lead</w:t>
            </w:r>
          </w:p>
        </w:tc>
        <w:tc>
          <w:tcPr>
            <w:tcW w:type="pct" w:w="26%"/>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T-17 days</w:t>
            </w:r>
          </w:p>
        </w:tc>
      </w:tr>
      <w:tr>
        <w:trPr>
          <w:tblHeader w:val="false"/>
        </w:trPr>
        <w:tc>
          <w:tcPr>
            <w:tcW w:type="pct" w:w="9%"/>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3</w:t>
            </w:r>
          </w:p>
        </w:tc>
        <w:tc>
          <w:tcPr>
            <w:tcW w:type="pct" w:w="45%"/>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Guest identification and outreach initiated</w:t>
            </w:r>
          </w:p>
        </w:tc>
        <w:tc>
          <w:tcPr>
            <w:tcW w:type="pct" w:w="20%"/>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Producer</w:t>
            </w:r>
          </w:p>
        </w:tc>
        <w:tc>
          <w:tcPr>
            <w:tcW w:type="pct" w:w="26%"/>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T-17 days</w:t>
            </w:r>
          </w:p>
        </w:tc>
      </w:tr>
      <w:tr>
        <w:trPr>
          <w:tblHeader w:val="false"/>
        </w:trPr>
        <w:tc>
          <w:tcPr>
            <w:tcW w:type="pct" w:w="9%"/>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4</w:t>
            </w:r>
          </w:p>
        </w:tc>
        <w:tc>
          <w:tcPr>
            <w:tcW w:type="pct" w:w="45%"/>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Guest confirmed + briefing document delivered</w:t>
            </w:r>
          </w:p>
        </w:tc>
        <w:tc>
          <w:tcPr>
            <w:tcW w:type="pct" w:w="20%"/>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Producer</w:t>
            </w:r>
          </w:p>
        </w:tc>
        <w:tc>
          <w:tcPr>
            <w:tcW w:type="pct" w:w="26%"/>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T-12 days</w:t>
            </w:r>
          </w:p>
        </w:tc>
      </w:tr>
      <w:tr>
        <w:trPr>
          <w:tblHeader w:val="false"/>
        </w:trPr>
        <w:tc>
          <w:tcPr>
            <w:tcW w:type="pct" w:w="9%"/>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5</w:t>
            </w:r>
          </w:p>
        </w:tc>
        <w:tc>
          <w:tcPr>
            <w:tcW w:type="pct" w:w="45%"/>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Full script draft complete</w:t>
            </w:r>
          </w:p>
        </w:tc>
        <w:tc>
          <w:tcPr>
            <w:tcW w:type="pct" w:w="20%"/>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Lead Writer / Host</w:t>
            </w:r>
          </w:p>
        </w:tc>
        <w:tc>
          <w:tcPr>
            <w:tcW w:type="pct" w:w="26%"/>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T-12 days</w:t>
            </w:r>
          </w:p>
        </w:tc>
      </w:tr>
      <w:tr>
        <w:trPr>
          <w:tblHeader w:val="false"/>
        </w:trPr>
        <w:tc>
          <w:tcPr>
            <w:tcW w:type="pct" w:w="9%"/>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6</w:t>
            </w:r>
          </w:p>
        </w:tc>
        <w:tc>
          <w:tcPr>
            <w:tcW w:type="pct" w:w="45%"/>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Technical fact-check of script by qualified reviewer</w:t>
            </w:r>
          </w:p>
        </w:tc>
        <w:tc>
          <w:tcPr>
            <w:tcW w:type="pct" w:w="20%"/>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Technical Reviewer</w:t>
            </w:r>
          </w:p>
        </w:tc>
        <w:tc>
          <w:tcPr>
            <w:tcW w:type="pct" w:w="26%"/>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T-9 days</w:t>
            </w:r>
          </w:p>
        </w:tc>
      </w:tr>
      <w:tr>
        <w:trPr>
          <w:tblHeader w:val="false"/>
        </w:trPr>
        <w:tc>
          <w:tcPr>
            <w:tcW w:type="pct" w:w="9%"/>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7</w:t>
            </w:r>
          </w:p>
        </w:tc>
        <w:tc>
          <w:tcPr>
            <w:tcW w:type="pct" w:w="45%"/>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Legal review (if applicable — per triggers in Section 9)</w:t>
            </w:r>
          </w:p>
        </w:tc>
        <w:tc>
          <w:tcPr>
            <w:tcW w:type="pct" w:w="20%"/>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Legal Counsel</w:t>
            </w:r>
          </w:p>
        </w:tc>
        <w:tc>
          <w:tcPr>
            <w:tcW w:type="pct" w:w="26%"/>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T-9 days (initiated at T-14)</w:t>
            </w:r>
          </w:p>
        </w:tc>
      </w:tr>
      <w:tr>
        <w:trPr>
          <w:tblHeader w:val="false"/>
        </w:trPr>
        <w:tc>
          <w:tcPr>
            <w:tcW w:type="pct" w:w="9%"/>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8</w:t>
            </w:r>
          </w:p>
        </w:tc>
        <w:tc>
          <w:tcPr>
            <w:tcW w:type="pct" w:w="45%"/>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Script revisions based on fact-check/legal</w:t>
            </w:r>
          </w:p>
        </w:tc>
        <w:tc>
          <w:tcPr>
            <w:tcW w:type="pct" w:w="20%"/>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Lead Writer</w:t>
            </w:r>
          </w:p>
        </w:tc>
        <w:tc>
          <w:tcPr>
            <w:tcW w:type="pct" w:w="26%"/>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T-7 days</w:t>
            </w:r>
          </w:p>
        </w:tc>
      </w:tr>
      <w:tr>
        <w:trPr>
          <w:tblHeader w:val="false"/>
        </w:trPr>
        <w:tc>
          <w:tcPr>
            <w:tcW w:type="pct" w:w="9%"/>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9</w:t>
            </w:r>
          </w:p>
        </w:tc>
        <w:tc>
          <w:tcPr>
            <w:tcW w:type="pct" w:w="45%"/>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Guest release form signed and on file</w:t>
            </w:r>
          </w:p>
        </w:tc>
        <w:tc>
          <w:tcPr>
            <w:tcW w:type="pct" w:w="20%"/>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Producer</w:t>
            </w:r>
          </w:p>
        </w:tc>
        <w:tc>
          <w:tcPr>
            <w:tcW w:type="pct" w:w="26%"/>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T-5 days</w:t>
            </w:r>
          </w:p>
        </w:tc>
      </w:tr>
      <w:tr>
        <w:trPr>
          <w:tblHeader w:val="false"/>
        </w:trPr>
        <w:tc>
          <w:tcPr>
            <w:tcW w:type="pct" w:w="9%"/>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10</w:t>
            </w:r>
          </w:p>
        </w:tc>
        <w:tc>
          <w:tcPr>
            <w:tcW w:type="pct" w:w="45%"/>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Production setup confirmed (studio / remote A/V check)</w:t>
            </w:r>
          </w:p>
        </w:tc>
        <w:tc>
          <w:tcPr>
            <w:tcW w:type="pct" w:w="20%"/>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Technical Producer</w:t>
            </w:r>
          </w:p>
        </w:tc>
        <w:tc>
          <w:tcPr>
            <w:tcW w:type="pct" w:w="26%"/>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T-3 days</w:t>
            </w:r>
          </w:p>
        </w:tc>
      </w:tr>
      <w:tr>
        <w:trPr>
          <w:tblHeader w:val="false"/>
        </w:trPr>
        <w:tc>
          <w:tcPr>
            <w:tcW w:type="pct" w:w="9%"/>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11</w:t>
            </w:r>
          </w:p>
        </w:tc>
        <w:tc>
          <w:tcPr>
            <w:tcW w:type="pct" w:w="45%"/>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Final script approved by EP</w:t>
            </w:r>
          </w:p>
        </w:tc>
        <w:tc>
          <w:tcPr>
            <w:tcW w:type="pct" w:w="20%"/>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EP</w:t>
            </w:r>
          </w:p>
        </w:tc>
        <w:tc>
          <w:tcPr>
            <w:tcW w:type="pct" w:w="26%"/>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T-3 days</w:t>
            </w:r>
          </w:p>
        </w:tc>
      </w:tr>
      <w:tr>
        <w:trPr>
          <w:tblHeader w:val="false"/>
        </w:trPr>
        <w:tc>
          <w:tcPr>
            <w:tcW w:type="pct" w:w="9%"/>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12</w:t>
            </w:r>
          </w:p>
        </w:tc>
        <w:tc>
          <w:tcPr>
            <w:tcW w:type="pct" w:w="45%"/>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Thumbnail brief delivered to design</w:t>
            </w:r>
          </w:p>
        </w:tc>
        <w:tc>
          <w:tcPr>
            <w:tcW w:type="pct" w:w="20%"/>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Producer</w:t>
            </w:r>
          </w:p>
        </w:tc>
        <w:tc>
          <w:tcPr>
            <w:tcW w:type="pct" w:w="26%"/>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T-3 days</w:t>
            </w:r>
          </w:p>
        </w:tc>
      </w:tr>
    </w:tbl>
    <w:p>
      <w:pPr>
        <w:spacing w:after="200" w:before="0"/>
      </w:pPr>
    </w:p>
    <w:p>
      <w:pPr>
        <w:pStyle w:val="Heading3"/>
        <w:spacing w:after="80" w:before="280" w:line="384" w:lineRule="auto"/>
      </w:pPr>
      <w:r>
        <w:rPr>
          <w:rFonts w:ascii="Calibri" w:cs="Calibri" w:eastAsia="Calibri" w:hAnsi="Calibri"/>
          <w:color w:val="0D3B4F"/>
          <w:sz w:val="26"/>
          <w:szCs w:val="26"/>
        </w:rPr>
        <w:t xml:space="preserve">Production Day Schedule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2%"/>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Time</w:t>
            </w:r>
          </w:p>
        </w:tc>
        <w:tc>
          <w:tcPr>
            <w:tcW w:type="pct" w:w="34%"/>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Activity</w:t>
            </w:r>
          </w:p>
        </w:tc>
        <w:tc>
          <w:tcPr>
            <w:tcW w:type="pct" w:w="54%"/>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Notes</w:t>
            </w:r>
          </w:p>
        </w:tc>
      </w:tr>
      <w:tr>
        <w:trPr>
          <w:tblHeader w:val="false"/>
        </w:trPr>
        <w:tc>
          <w:tcPr>
            <w:tcW w:type="pct" w:w="12%"/>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08:00–08:30</w:t>
            </w:r>
          </w:p>
        </w:tc>
        <w:tc>
          <w:tcPr>
            <w:tcW w:type="pct" w:w="34%"/>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Technical setup and A/V check</w:t>
            </w:r>
          </w:p>
        </w:tc>
        <w:tc>
          <w:tcPr>
            <w:tcW w:type="pct" w:w="54%"/>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All recording equipment tested. Backup recording confirmed active.</w:t>
            </w:r>
          </w:p>
        </w:tc>
      </w:tr>
      <w:tr>
        <w:trPr>
          <w:tblHeader w:val="false"/>
        </w:trPr>
        <w:tc>
          <w:tcPr>
            <w:tcW w:type="pct" w:w="12%"/>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08:30–09:00</w:t>
            </w:r>
          </w:p>
        </w:tc>
        <w:tc>
          <w:tcPr>
            <w:tcW w:type="pct" w:w="34%"/>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Host warm-up / script review</w:t>
            </w:r>
          </w:p>
        </w:tc>
        <w:tc>
          <w:tcPr>
            <w:tcW w:type="pct" w:w="54%"/>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No ad-lib rehearsal — saves energy for camera. Cold Open is read aloud once only.</w:t>
            </w:r>
          </w:p>
        </w:tc>
      </w:tr>
      <w:tr>
        <w:trPr>
          <w:tblHeader w:val="false"/>
        </w:trPr>
        <w:tc>
          <w:tcPr>
            <w:tcW w:type="pct" w:w="12%"/>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09:00–10:30</w:t>
            </w:r>
          </w:p>
        </w:tc>
        <w:tc>
          <w:tcPr>
            <w:tcW w:type="pct" w:w="34%"/>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Host primary recording (solo segments)</w:t>
            </w:r>
          </w:p>
        </w:tc>
        <w:tc>
          <w:tcPr>
            <w:tcW w:type="pct" w:w="54%"/>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Cold Open, Setup narration, Editorial. Segment by segment, not full run-through.</w:t>
            </w:r>
          </w:p>
        </w:tc>
      </w:tr>
      <w:tr>
        <w:trPr>
          <w:tblHeader w:val="false"/>
        </w:trPr>
        <w:tc>
          <w:tcPr>
            <w:tcW w:type="pct" w:w="12%"/>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10:30–10:45</w:t>
            </w:r>
          </w:p>
        </w:tc>
        <w:tc>
          <w:tcPr>
            <w:tcW w:type="pct" w:w="34%"/>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Break</w:t>
            </w:r>
          </w:p>
        </w:tc>
        <w:tc>
          <w:tcPr>
            <w:tcW w:type="pct" w:w="54%"/>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No screens. Rest voice.</w:t>
            </w:r>
          </w:p>
        </w:tc>
      </w:tr>
      <w:tr>
        <w:trPr>
          <w:tblHeader w:val="false"/>
        </w:trPr>
        <w:tc>
          <w:tcPr>
            <w:tcW w:type="pct" w:w="12%"/>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10:45–12:00</w:t>
            </w:r>
          </w:p>
        </w:tc>
        <w:tc>
          <w:tcPr>
            <w:tcW w:type="pct" w:w="34%"/>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Guest recording (remote or in-studio)</w:t>
            </w:r>
          </w:p>
        </w:tc>
        <w:tc>
          <w:tcPr>
            <w:tcW w:type="pct" w:w="54%"/>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Producer runs technical monitoring. Host leads conversation. No script for guest — only brief and key questions.</w:t>
            </w:r>
          </w:p>
        </w:tc>
      </w:tr>
      <w:tr>
        <w:trPr>
          <w:tblHeader w:val="false"/>
        </w:trPr>
        <w:tc>
          <w:tcPr>
            <w:tcW w:type="pct" w:w="12%"/>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12:00–13:00</w:t>
            </w:r>
          </w:p>
        </w:tc>
        <w:tc>
          <w:tcPr>
            <w:tcW w:type="pct" w:w="34%"/>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Lunch break</w:t>
            </w:r>
          </w:p>
        </w:tc>
        <w:tc>
          <w:tcPr>
            <w:tcW w:type="pct" w:w="54%"/>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w:t>
            </w:r>
          </w:p>
        </w:tc>
      </w:tr>
      <w:tr>
        <w:trPr>
          <w:tblHeader w:val="false"/>
        </w:trPr>
        <w:tc>
          <w:tcPr>
            <w:tcW w:type="pct" w:w="12%"/>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13:00–14:30</w:t>
            </w:r>
          </w:p>
        </w:tc>
        <w:tc>
          <w:tcPr>
            <w:tcW w:type="pct" w:w="34%"/>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Re-takes, supplemental B-roll direction, screen recording capture</w:t>
            </w:r>
          </w:p>
        </w:tc>
        <w:tc>
          <w:tcPr>
            <w:tcW w:type="pct" w:w="54%"/>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Technical Producer leads screen recording sessions. Host available for pickup lines.</w:t>
            </w:r>
          </w:p>
        </w:tc>
      </w:tr>
      <w:tr>
        <w:trPr>
          <w:tblHeader w:val="false"/>
        </w:trPr>
        <w:tc>
          <w:tcPr>
            <w:tcW w:type="pct" w:w="12%"/>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14:30–15:00</w:t>
            </w:r>
          </w:p>
        </w:tc>
        <w:tc>
          <w:tcPr>
            <w:tcW w:type="pct" w:w="34%"/>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Producer review of raw footage</w:t>
            </w:r>
          </w:p>
        </w:tc>
        <w:tc>
          <w:tcPr>
            <w:tcW w:type="pct" w:w="54%"/>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Flag critical re-takes before host leaves. No editing — just review.</w:t>
            </w:r>
          </w:p>
        </w:tc>
      </w:tr>
      <w:tr>
        <w:trPr>
          <w:tblHeader w:val="false"/>
        </w:trPr>
        <w:tc>
          <w:tcPr>
            <w:tcW w:type="pct" w:w="12%"/>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15:00–15:30</w:t>
            </w:r>
          </w:p>
        </w:tc>
        <w:tc>
          <w:tcPr>
            <w:tcW w:type="pct" w:w="34%"/>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Final re-takes (if needed)</w:t>
            </w:r>
          </w:p>
        </w:tc>
        <w:tc>
          <w:tcPr>
            <w:tcW w:type="pct" w:w="54%"/>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w:t>
            </w:r>
          </w:p>
        </w:tc>
      </w:tr>
      <w:tr>
        <w:trPr>
          <w:tblHeader w:val="false"/>
        </w:trPr>
        <w:tc>
          <w:tcPr>
            <w:tcW w:type="pct" w:w="12%"/>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15:30</w:t>
            </w:r>
          </w:p>
        </w:tc>
        <w:tc>
          <w:tcPr>
            <w:tcW w:type="pct" w:w="34%"/>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Production wrap / asset handoff to post</w:t>
            </w:r>
          </w:p>
        </w:tc>
        <w:tc>
          <w:tcPr>
            <w:tcW w:type="pct" w:w="54%"/>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All raw files transferred, labeled, and backed up to two locations before wrap.</w:t>
            </w:r>
          </w:p>
        </w:tc>
      </w:tr>
    </w:tbl>
    <w:p>
      <w:pPr>
        <w:spacing w:after="200" w:before="0"/>
      </w:pPr>
    </w:p>
    <w:p>
      <w:pPr>
        <w:pStyle w:val="Heading3"/>
        <w:spacing w:after="80" w:before="280" w:line="384" w:lineRule="auto"/>
      </w:pPr>
      <w:r>
        <w:rPr>
          <w:rFonts w:ascii="Calibri" w:cs="Calibri" w:eastAsia="Calibri" w:hAnsi="Calibri"/>
          <w:color w:val="0D3B4F"/>
          <w:sz w:val="26"/>
          <w:szCs w:val="26"/>
        </w:rPr>
        <w:t xml:space="preserve">Post-Production Pipeline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Assembly Edit (Day 1 post-production):</w:t>
      </w:r>
      <w:r>
        <w:rPr>
          <w:rFonts w:ascii="Calibri" w:cs="Calibri" w:eastAsia="Calibri" w:hAnsi="Calibri"/>
          <w:b w:val="false"/>
          <w:bCs w:val="false"/>
          <w:i w:val="false"/>
          <w:iCs w:val="false"/>
          <w:strike w:val="false"/>
          <w:color w:val="1A1A1A"/>
          <w:sz w:val="22"/>
          <w:szCs w:val="22"/>
        </w:rPr>
        <w:t xml:space="preserve"> Editor assembles rough cut from all recorded segments in episode structure order. No color, no graphics. Duration target confirmed.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Story Edit (Day 2–3):</w:t>
      </w:r>
      <w:r>
        <w:rPr>
          <w:rFonts w:ascii="Calibri" w:cs="Calibri" w:eastAsia="Calibri" w:hAnsi="Calibri"/>
          <w:b w:val="false"/>
          <w:bCs w:val="false"/>
          <w:i w:val="false"/>
          <w:iCs w:val="false"/>
          <w:strike w:val="false"/>
          <w:color w:val="1A1A1A"/>
          <w:sz w:val="22"/>
          <w:szCs w:val="22"/>
        </w:rPr>
        <w:t xml:space="preserve"> Producer and Editor refine the cut — pacing, segment flow, guest integration. Script notes applied. B-roll placeholders identified.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Graphics and B-Roll Integration (Day 3–4):</w:t>
      </w:r>
      <w:r>
        <w:rPr>
          <w:rFonts w:ascii="Calibri" w:cs="Calibri" w:eastAsia="Calibri" w:hAnsi="Calibri"/>
          <w:b w:val="false"/>
          <w:bCs w:val="false"/>
          <w:i w:val="false"/>
          <w:iCs w:val="false"/>
          <w:strike w:val="false"/>
          <w:color w:val="1A1A1A"/>
          <w:sz w:val="22"/>
          <w:szCs w:val="22"/>
        </w:rPr>
        <w:t xml:space="preserve"> Motion graphics added. Code/screen recordings cut in. Animated diagrams integrated. Lower thirds applied.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Audio Mix (Day 4–5):</w:t>
      </w:r>
      <w:r>
        <w:rPr>
          <w:rFonts w:ascii="Calibri" w:cs="Calibri" w:eastAsia="Calibri" w:hAnsi="Calibri"/>
          <w:b w:val="false"/>
          <w:bCs w:val="false"/>
          <w:i w:val="false"/>
          <w:iCs w:val="false"/>
          <w:strike w:val="false"/>
          <w:color w:val="1A1A1A"/>
          <w:sz w:val="22"/>
          <w:szCs w:val="22"/>
        </w:rPr>
        <w:t xml:space="preserve"> Audio Engineer balances all audio tracks, applies noise reduction, normalizes to platform standards, integrates music and sound design.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Color Grade (Day 5):</w:t>
      </w:r>
      <w:r>
        <w:rPr>
          <w:rFonts w:ascii="Calibri" w:cs="Calibri" w:eastAsia="Calibri" w:hAnsi="Calibri"/>
          <w:b w:val="false"/>
          <w:bCs w:val="false"/>
          <w:i w:val="false"/>
          <w:iCs w:val="false"/>
          <w:strike w:val="false"/>
          <w:color w:val="1A1A1A"/>
          <w:sz w:val="22"/>
          <w:szCs w:val="22"/>
        </w:rPr>
        <w:t xml:space="preserve"> Colorist applies series LUT (Look-Up Table). Consistent treatment across all episode types.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QA Pass (Day 6):</w:t>
      </w:r>
      <w:r>
        <w:rPr>
          <w:rFonts w:ascii="Calibri" w:cs="Calibri" w:eastAsia="Calibri" w:hAnsi="Calibri"/>
          <w:b w:val="false"/>
          <w:bCs w:val="false"/>
          <w:i w:val="false"/>
          <w:iCs w:val="false"/>
          <w:strike w:val="false"/>
          <w:color w:val="1A1A1A"/>
          <w:sz w:val="22"/>
          <w:szCs w:val="22"/>
        </w:rPr>
        <w:t xml:space="preserve"> Producer watches full episode against script and production bible standards. Technical reviewer spot-checks technical segments. Checklist completed.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Corrections (Day 6–7):</w:t>
      </w:r>
      <w:r>
        <w:rPr>
          <w:rFonts w:ascii="Calibri" w:cs="Calibri" w:eastAsia="Calibri" w:hAnsi="Calibri"/>
          <w:b w:val="false"/>
          <w:bCs w:val="false"/>
          <w:i w:val="false"/>
          <w:iCs w:val="false"/>
          <w:strike w:val="false"/>
          <w:color w:val="1A1A1A"/>
          <w:sz w:val="22"/>
          <w:szCs w:val="22"/>
        </w:rPr>
        <w:t xml:space="preserve"> All QA notes addressed by Editor and Audio Engineer.</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Final Approval (Day 7):</w:t>
      </w:r>
      <w:r>
        <w:rPr>
          <w:rFonts w:ascii="Calibri" w:cs="Calibri" w:eastAsia="Calibri" w:hAnsi="Calibri"/>
          <w:b w:val="false"/>
          <w:bCs w:val="false"/>
          <w:i w:val="false"/>
          <w:iCs w:val="false"/>
          <w:strike w:val="false"/>
          <w:color w:val="1A1A1A"/>
          <w:sz w:val="22"/>
          <w:szCs w:val="22"/>
        </w:rPr>
        <w:t xml:space="preserve"> EP gives final sign-off on video master.</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Platform Preparation (Day 7–8):</w:t>
      </w:r>
      <w:r>
        <w:rPr>
          <w:rFonts w:ascii="Calibri" w:cs="Calibri" w:eastAsia="Calibri" w:hAnsi="Calibri"/>
          <w:b w:val="false"/>
          <w:bCs w:val="false"/>
          <w:i w:val="false"/>
          <w:iCs w:val="false"/>
          <w:strike w:val="false"/>
          <w:color w:val="1A1A1A"/>
          <w:sz w:val="22"/>
          <w:szCs w:val="22"/>
        </w:rPr>
        <w:t xml:space="preserve"> YouTube upload (unlisted). Audio export for podcast. Thumbnail applied. Description, tags, chapters added. Transcript prepared.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Publication (Episode Day):</w:t>
      </w:r>
      <w:r>
        <w:rPr>
          <w:rFonts w:ascii="Calibri" w:cs="Calibri" w:eastAsia="Calibri" w:hAnsi="Calibri"/>
          <w:b w:val="false"/>
          <w:bCs w:val="false"/>
          <w:i w:val="false"/>
          <w:iCs w:val="false"/>
          <w:strike w:val="false"/>
          <w:color w:val="1A1A1A"/>
          <w:sz w:val="22"/>
          <w:szCs w:val="22"/>
        </w:rPr>
        <w:t xml:space="preserve"> Scheduled publish. Social assets queued. Newsletter sent. Discord post live.</w:t>
      </w:r>
    </w:p>
    <w:p>
      <w:pPr>
        <w:pStyle w:val="Heading3"/>
        <w:spacing w:after="80" w:before="280" w:line="384" w:lineRule="auto"/>
      </w:pPr>
      <w:r>
        <w:rPr>
          <w:rFonts w:ascii="Calibri" w:cs="Calibri" w:eastAsia="Calibri" w:hAnsi="Calibri"/>
          <w:color w:val="0D3B4F"/>
          <w:sz w:val="26"/>
          <w:szCs w:val="26"/>
        </w:rPr>
        <w:t xml:space="preserve">Approval Chain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Decision</w:t>
            </w:r>
          </w:p>
        </w:tc>
        <w:tc>
          <w:tcPr>
            <w:tcW w:type="pct" w:w="26%"/>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Authority</w:t>
            </w:r>
          </w:p>
        </w:tc>
        <w:tc>
          <w:tcPr>
            <w:tcW w:type="pct" w:w="41%"/>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Escalation</w:t>
            </w:r>
          </w:p>
        </w:tc>
      </w:tr>
      <w:tr>
        <w:trPr>
          <w:tblHeader w:val="false"/>
        </w:trPr>
        <w:tc>
          <w:tcPr>
            <w:tcW w:type="pct" w:w="33%"/>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Episode topic selection</w:t>
            </w:r>
          </w:p>
        </w:tc>
        <w:tc>
          <w:tcPr>
            <w:tcW w:type="pct" w:w="26%"/>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Executive Producer</w:t>
            </w:r>
          </w:p>
        </w:tc>
        <w:tc>
          <w:tcPr>
            <w:tcW w:type="pct" w:w="41%"/>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N/A</w:t>
            </w:r>
          </w:p>
        </w:tc>
      </w:tr>
      <w:tr>
        <w:trPr>
          <w:tblHeader w:val="false"/>
        </w:trPr>
        <w:tc>
          <w:tcPr>
            <w:tcW w:type="pct" w:w="33%"/>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Script approval (technical)</w:t>
            </w:r>
          </w:p>
        </w:tc>
        <w:tc>
          <w:tcPr>
            <w:tcW w:type="pct" w:w="26%"/>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Technical Reviewer</w:t>
            </w:r>
          </w:p>
        </w:tc>
        <w:tc>
          <w:tcPr>
            <w:tcW w:type="pct" w:w="41%"/>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EP if dispute</w:t>
            </w:r>
          </w:p>
        </w:tc>
      </w:tr>
      <w:tr>
        <w:trPr>
          <w:tblHeader w:val="false"/>
        </w:trPr>
        <w:tc>
          <w:tcPr>
            <w:tcW w:type="pct" w:w="33%"/>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Script approval (editorial)</w:t>
            </w:r>
          </w:p>
        </w:tc>
        <w:tc>
          <w:tcPr>
            <w:tcW w:type="pct" w:w="26%"/>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EP</w:t>
            </w:r>
          </w:p>
        </w:tc>
        <w:tc>
          <w:tcPr>
            <w:tcW w:type="pct" w:w="41%"/>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N/A</w:t>
            </w:r>
          </w:p>
        </w:tc>
      </w:tr>
      <w:tr>
        <w:trPr>
          <w:tblHeader w:val="false"/>
        </w:trPr>
        <w:tc>
          <w:tcPr>
            <w:tcW w:type="pct" w:w="33%"/>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Legal clearance</w:t>
            </w:r>
          </w:p>
        </w:tc>
        <w:tc>
          <w:tcPr>
            <w:tcW w:type="pct" w:w="26%"/>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Legal Counsel</w:t>
            </w:r>
          </w:p>
        </w:tc>
        <w:tc>
          <w:tcPr>
            <w:tcW w:type="pct" w:w="41%"/>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EP (cannot override legal; can adjust content)</w:t>
            </w:r>
          </w:p>
        </w:tc>
      </w:tr>
      <w:tr>
        <w:trPr>
          <w:tblHeader w:val="false"/>
        </w:trPr>
        <w:tc>
          <w:tcPr>
            <w:tcW w:type="pct" w:w="33%"/>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Final edit approval</w:t>
            </w:r>
          </w:p>
        </w:tc>
        <w:tc>
          <w:tcPr>
            <w:tcW w:type="pct" w:w="26%"/>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EP</w:t>
            </w:r>
          </w:p>
        </w:tc>
        <w:tc>
          <w:tcPr>
            <w:tcW w:type="pct" w:w="41%"/>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N/A</w:t>
            </w:r>
          </w:p>
        </w:tc>
      </w:tr>
      <w:tr>
        <w:trPr>
          <w:tblHeader w:val="false"/>
        </w:trPr>
        <w:tc>
          <w:tcPr>
            <w:tcW w:type="pct" w:w="33%"/>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Publication authorization</w:t>
            </w:r>
          </w:p>
        </w:tc>
        <w:tc>
          <w:tcPr>
            <w:tcW w:type="pct" w:w="26%"/>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EP</w:t>
            </w:r>
          </w:p>
        </w:tc>
        <w:tc>
          <w:tcPr>
            <w:tcW w:type="pct" w:w="41%"/>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N/A</w:t>
            </w:r>
          </w:p>
        </w:tc>
      </w:tr>
      <w:tr>
        <w:trPr>
          <w:tblHeader w:val="false"/>
        </w:trPr>
        <w:tc>
          <w:tcPr>
            <w:tcW w:type="pct" w:w="33%"/>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Emergency retraction / content edit</w:t>
            </w:r>
          </w:p>
        </w:tc>
        <w:tc>
          <w:tcPr>
            <w:tcW w:type="pct" w:w="26%"/>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EP + Legal Counsel (joint)</w:t>
            </w:r>
          </w:p>
        </w:tc>
        <w:tc>
          <w:tcPr>
            <w:tcW w:type="pct" w:w="41%"/>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Immediate — 24hr response SLA</w:t>
            </w:r>
          </w:p>
        </w:tc>
      </w:tr>
    </w:tbl>
    <w:p>
      <w:pPr>
        <w:spacing w:after="200" w:before="0"/>
      </w:pPr>
    </w:p>
    <w:p>
      <w:pPr>
        <w:pStyle w:val="Heading3"/>
        <w:spacing w:after="80" w:before="280" w:line="384" w:lineRule="auto"/>
      </w:pPr>
      <w:r>
        <w:rPr>
          <w:rFonts w:ascii="Calibri" w:cs="Calibri" w:eastAsia="Calibri" w:hAnsi="Calibri"/>
          <w:color w:val="0D3B4F"/>
          <w:sz w:val="26"/>
          <w:szCs w:val="26"/>
        </w:rPr>
        <w:t xml:space="preserve">Episode Delivery SLA</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7A8A" w:sz="24"/>
              <w:bottom w:val="nil" w:color="FFFFFF" w:sz="0"/>
              <w:right w:val="nil" w:color="FFFFFF" w:sz="0"/>
            </w:tcBorders>
            <w:shd w:fill="E8F4F8" w:color="auto" w:val="clear"/>
            <w:tcMar>
              <w:top w:type="dxa" w:w="200"/>
              <w:left w:type="dxa" w:w="280"/>
              <w:bottom w:type="dxa" w:w="200"/>
              <w:right w:type="dxa" w:w="280"/>
            </w:tcMar>
          </w:tcPr>
          <w:p>
            <w:pPr>
              <w:spacing w:after="120" w:line="408" w:lineRule="auto"/>
            </w:pPr>
            <w:r>
              <w:rPr>
                <w:b/>
                <w:bCs/>
                <w:i w:val="false"/>
                <w:iCs w:val="false"/>
                <w:color w:val="007A8A"/>
              </w:rPr>
              <w:t xml:space="preserve">// SLA TARGETS</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Content fully approved and ready:</w:t>
            </w:r>
            <w:r>
              <w:rPr>
                <w:rFonts w:ascii="Calibri" w:cs="Calibri" w:eastAsia="Calibri" w:hAnsi="Calibri"/>
                <w:b w:val="false"/>
                <w:bCs w:val="false"/>
                <w:i w:val="false"/>
                <w:iCs w:val="false"/>
                <w:strike w:val="false"/>
                <w:color w:val="1A1A1A"/>
                <w:sz w:val="22"/>
                <w:szCs w:val="22"/>
              </w:rPr>
              <w:t xml:space="preserve"> 72 hours before scheduled publish</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Platform upload complete (unlisted):</w:t>
            </w:r>
            <w:r>
              <w:rPr>
                <w:rFonts w:ascii="Calibri" w:cs="Calibri" w:eastAsia="Calibri" w:hAnsi="Calibri"/>
                <w:b w:val="false"/>
                <w:bCs w:val="false"/>
                <w:i w:val="false"/>
                <w:iCs w:val="false"/>
                <w:strike w:val="false"/>
                <w:color w:val="1A1A1A"/>
                <w:sz w:val="22"/>
                <w:szCs w:val="22"/>
              </w:rPr>
              <w:t xml:space="preserve"> 48 hours before scheduled publish</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All social/platform assets delivered:</w:t>
            </w:r>
            <w:r>
              <w:rPr>
                <w:rFonts w:ascii="Calibri" w:cs="Calibri" w:eastAsia="Calibri" w:hAnsi="Calibri"/>
                <w:b w:val="false"/>
                <w:bCs w:val="false"/>
                <w:i w:val="false"/>
                <w:iCs w:val="false"/>
                <w:strike w:val="false"/>
                <w:color w:val="1A1A1A"/>
                <w:sz w:val="22"/>
                <w:szCs w:val="22"/>
              </w:rPr>
              <w:t xml:space="preserve"> 24 hours before scheduled publish</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Newsletter draft approved:</w:t>
            </w:r>
            <w:r>
              <w:rPr>
                <w:rFonts w:ascii="Calibri" w:cs="Calibri" w:eastAsia="Calibri" w:hAnsi="Calibri"/>
                <w:b w:val="false"/>
                <w:bCs w:val="false"/>
                <w:i w:val="false"/>
                <w:iCs w:val="false"/>
                <w:strike w:val="false"/>
                <w:color w:val="1A1A1A"/>
                <w:sz w:val="22"/>
                <w:szCs w:val="22"/>
              </w:rPr>
              <w:t xml:space="preserve"> 24 hours before scheduled publish</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Publish goes live:</w:t>
            </w:r>
            <w:r>
              <w:rPr>
                <w:rFonts w:ascii="Calibri" w:cs="Calibri" w:eastAsia="Calibri" w:hAnsi="Calibri"/>
                <w:b w:val="false"/>
                <w:bCs w:val="false"/>
                <w:i w:val="false"/>
                <w:iCs w:val="false"/>
                <w:strike w:val="false"/>
                <w:color w:val="1A1A1A"/>
                <w:sz w:val="22"/>
                <w:szCs w:val="22"/>
              </w:rPr>
              <w:t xml:space="preserve"> Tuesday, 06:00 MT, automated scheduler</w:t>
            </w:r>
          </w:p>
          <w:p>
            <w:pPr>
              <w:spacing w:after="140" w:line="384" w:lineRule="auto"/>
            </w:pPr>
            <w:r>
              <w:rPr>
                <w:rFonts w:ascii="Calibri" w:cs="Calibri" w:eastAsia="Calibri" w:hAnsi="Calibri"/>
                <w:b w:val="false"/>
                <w:bCs w:val="false"/>
                <w:i w:val="false"/>
                <w:iCs w:val="false"/>
                <w:strike w:val="false"/>
                <w:color w:val="555555"/>
                <w:sz w:val="22"/>
                <w:szCs w:val="22"/>
              </w:rPr>
              <w:t xml:space="preserve">SLA breaches must be escalated to the EP within 4 hours of identification. A 24-hour delay to publish is preferable to publishing under-prepared content.</w:t>
            </w:r>
          </w:p>
        </w:tc>
      </w:tr>
    </w:tbl>
    <w:p>
      <w:pPr>
        <w:spacing w:after="240" w:before="0"/>
      </w:pPr>
    </w:p>
    <w:p>
      <w:pPr>
        <w:spacing w:after="240" w:line="408" w:lineRule="auto"/>
      </w:pPr>
      <w:r>
        <w:rPr>
          <w:b w:val="false"/>
          <w:bCs w:val="false"/>
          <w:i w:val="false"/>
          <w:iCs w:val="false"/>
          <w:color w:val="007A8A"/>
        </w:rPr>
        <w:t xml:space="preserve">// SECTION 12</w:t>
      </w:r>
    </w:p>
    <w:p>
      <w:pPr>
        <w:pStyle w:val="Heading2"/>
        <w:spacing w:after="100" w:before="440" w:line="384" w:lineRule="auto"/>
      </w:pPr>
      <w:r>
        <w:rPr>
          <w:rFonts w:ascii="Consolas" w:cs="Consolas" w:eastAsia="Consolas" w:hAnsi="Consolas"/>
          <w:color w:val="0D3B4F"/>
          <w:sz w:val="32"/>
          <w:szCs w:val="32"/>
        </w:rPr>
        <w:t xml:space="preserve">APPENDICES</w:t>
      </w:r>
    </w:p>
    <w:p>
      <w:pPr>
        <w:pBdr>
          <w:top w:val="single" w:color="0D3B4F"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1A1A" w:color="auto" w:val="clear"/>
            <w:tcMar>
              <w:top w:type="dxa" w:w="100"/>
              <w:left w:type="dxa" w:w="240"/>
              <w:bottom w:type="dxa" w:w="100"/>
              <w:right w:type="dxa" w:w="240"/>
            </w:tcMar>
          </w:tcPr>
          <w:p>
            <w:pPr>
              <w:spacing w:after="120" w:line="408" w:lineRule="auto"/>
            </w:pPr>
            <w:r>
              <w:t xml:space="preserve">// APPENDIX A — Episode Title Brainstorm Bank</w:t>
            </w:r>
          </w:p>
        </w:tc>
      </w:tr>
    </w:tbl>
    <w:p>
      <w:pPr>
        <w:spacing w:after="240" w:before="0"/>
      </w:pP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The following titles are candidates for Season 1 and future seasons. Titles are working titles and subject to EP approval. Final titles may be refined for SEO and narrative fit.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9%"/>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w:t>
            </w:r>
          </w:p>
        </w:tc>
        <w:tc>
          <w:tcPr>
            <w:tcW w:type="pct" w:w="35%"/>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Candidate Title</w:t>
            </w:r>
          </w:p>
        </w:tc>
        <w:tc>
          <w:tcPr>
            <w:tcW w:type="pct" w:w="56%"/>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Theme / Hook</w:t>
            </w:r>
          </w:p>
        </w:tc>
      </w:tr>
      <w:tr>
        <w:trPr>
          <w:tblHeader w:val="false"/>
        </w:trPr>
        <w:tc>
          <w:tcPr>
            <w:tcW w:type="pct" w:w="9%"/>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1</w:t>
            </w:r>
          </w:p>
        </w:tc>
        <w:tc>
          <w:tcPr>
            <w:tcW w:type="pct" w:w="35%"/>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Zero Day</w:t>
            </w:r>
          </w:p>
        </w:tc>
        <w:tc>
          <w:tcPr>
            <w:tcW w:type="pct" w:w="56%"/>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The concept of the zero-day vulnerability as the purest expression of offensive hacking</w:t>
            </w:r>
          </w:p>
        </w:tc>
      </w:tr>
      <w:tr>
        <w:trPr>
          <w:tblHeader w:val="false"/>
        </w:trPr>
        <w:tc>
          <w:tcPr>
            <w:tcW w:type="pct" w:w="9%"/>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2</w:t>
            </w:r>
          </w:p>
        </w:tc>
        <w:tc>
          <w:tcPr>
            <w:tcW w:type="pct" w:w="35%"/>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The Ransomware Winter</w:t>
            </w:r>
          </w:p>
        </w:tc>
        <w:tc>
          <w:tcPr>
            <w:tcW w:type="pct" w:w="56%"/>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The industrialization of ransomware and its economic ecosystem</w:t>
            </w:r>
          </w:p>
        </w:tc>
      </w:tr>
      <w:tr>
        <w:trPr>
          <w:tblHeader w:val="false"/>
        </w:trPr>
        <w:tc>
          <w:tcPr>
            <w:tcW w:type="pct" w:w="9%"/>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3</w:t>
            </w:r>
          </w:p>
        </w:tc>
        <w:tc>
          <w:tcPr>
            <w:tcW w:type="pct" w:w="35%"/>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Ghost in the Supply Chain</w:t>
            </w:r>
          </w:p>
        </w:tc>
        <w:tc>
          <w:tcPr>
            <w:tcW w:type="pct" w:w="56%"/>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Supply chain attacks — SolarWinds era and beyond</w:t>
            </w:r>
          </w:p>
        </w:tc>
      </w:tr>
      <w:tr>
        <w:trPr>
          <w:tblHeader w:val="false"/>
        </w:trPr>
        <w:tc>
          <w:tcPr>
            <w:tcW w:type="pct" w:w="9%"/>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4</w:t>
            </w:r>
          </w:p>
        </w:tc>
        <w:tc>
          <w:tcPr>
            <w:tcW w:type="pct" w:w="35%"/>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Root Access</w:t>
            </w:r>
          </w:p>
        </w:tc>
        <w:tc>
          <w:tcPr>
            <w:tcW w:type="pct" w:w="56%"/>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Privilege escalation — metaphor for the entire hacking power dynamic</w:t>
            </w:r>
          </w:p>
        </w:tc>
      </w:tr>
      <w:tr>
        <w:trPr>
          <w:tblHeader w:val="false"/>
        </w:trPr>
        <w:tc>
          <w:tcPr>
            <w:tcW w:type="pct" w:w="9%"/>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5</w:t>
            </w:r>
          </w:p>
        </w:tc>
        <w:tc>
          <w:tcPr>
            <w:tcW w:type="pct" w:w="35%"/>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When the Lights Go Out</w:t>
            </w:r>
          </w:p>
        </w:tc>
        <w:tc>
          <w:tcPr>
            <w:tcW w:type="pct" w:w="56%"/>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Attacks on critical infrastructure — energy grids, water systems</w:t>
            </w:r>
          </w:p>
        </w:tc>
      </w:tr>
      <w:tr>
        <w:trPr>
          <w:tblHeader w:val="false"/>
        </w:trPr>
        <w:tc>
          <w:tcPr>
            <w:tcW w:type="pct" w:w="9%"/>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6</w:t>
            </w:r>
          </w:p>
        </w:tc>
        <w:tc>
          <w:tcPr>
            <w:tcW w:type="pct" w:w="35%"/>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The Password That Broke the Internet</w:t>
            </w:r>
          </w:p>
        </w:tc>
        <w:tc>
          <w:tcPr>
            <w:tcW w:type="pct" w:w="56%"/>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Credential stuffing, password reuse, and the weakest link in security</w:t>
            </w:r>
          </w:p>
        </w:tc>
      </w:tr>
      <w:tr>
        <w:trPr>
          <w:tblHeader w:val="false"/>
        </w:trPr>
        <w:tc>
          <w:tcPr>
            <w:tcW w:type="pct" w:w="9%"/>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7</w:t>
            </w:r>
          </w:p>
        </w:tc>
        <w:tc>
          <w:tcPr>
            <w:tcW w:type="pct" w:w="35%"/>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Nation/State</w:t>
            </w:r>
          </w:p>
        </w:tc>
        <w:tc>
          <w:tcPr>
            <w:tcW w:type="pct" w:w="56%"/>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Nation-state hacking — APT groups, Fancy Bear, Lazarus Group</w:t>
            </w:r>
          </w:p>
        </w:tc>
      </w:tr>
      <w:tr>
        <w:trPr>
          <w:tblHeader w:val="false"/>
        </w:trPr>
        <w:tc>
          <w:tcPr>
            <w:tcW w:type="pct" w:w="9%"/>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8</w:t>
            </w:r>
          </w:p>
        </w:tc>
        <w:tc>
          <w:tcPr>
            <w:tcW w:type="pct" w:w="35%"/>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The Patch Tuesday Massacre</w:t>
            </w:r>
          </w:p>
        </w:tc>
        <w:tc>
          <w:tcPr>
            <w:tcW w:type="pct" w:w="56%"/>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The patch management crisis — organizations that couldn't keep up</w:t>
            </w:r>
          </w:p>
        </w:tc>
      </w:tr>
      <w:tr>
        <w:trPr>
          <w:tblHeader w:val="false"/>
        </w:trPr>
        <w:tc>
          <w:tcPr>
            <w:tcW w:type="pct" w:w="9%"/>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9</w:t>
            </w:r>
          </w:p>
        </w:tc>
        <w:tc>
          <w:tcPr>
            <w:tcW w:type="pct" w:w="35%"/>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Social Engineering, Inc.</w:t>
            </w:r>
          </w:p>
        </w:tc>
        <w:tc>
          <w:tcPr>
            <w:tcW w:type="pct" w:w="56%"/>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Human as the attack surface — phishing, vishing, pretexting</w:t>
            </w:r>
          </w:p>
        </w:tc>
      </w:tr>
      <w:tr>
        <w:trPr>
          <w:tblHeader w:val="false"/>
        </w:trPr>
        <w:tc>
          <w:tcPr>
            <w:tcW w:type="pct" w:w="9%"/>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10</w:t>
            </w:r>
          </w:p>
        </w:tc>
        <w:tc>
          <w:tcPr>
            <w:tcW w:type="pct" w:w="35%"/>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Bug Bounty</w:t>
            </w:r>
          </w:p>
        </w:tc>
        <w:tc>
          <w:tcPr>
            <w:tcW w:type="pct" w:w="56%"/>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The economics and ethics of the vulnerability disclosure economy</w:t>
            </w:r>
          </w:p>
        </w:tc>
      </w:tr>
      <w:tr>
        <w:trPr>
          <w:tblHeader w:val="false"/>
        </w:trPr>
        <w:tc>
          <w:tcPr>
            <w:tcW w:type="pct" w:w="9%"/>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11</w:t>
            </w:r>
          </w:p>
        </w:tc>
        <w:tc>
          <w:tcPr>
            <w:tcW w:type="pct" w:w="35%"/>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The Insider</w:t>
            </w:r>
          </w:p>
        </w:tc>
        <w:tc>
          <w:tcPr>
            <w:tcW w:type="pct" w:w="56%"/>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Insider threats — malicious, negligent, and unwitting</w:t>
            </w:r>
          </w:p>
        </w:tc>
      </w:tr>
      <w:tr>
        <w:trPr>
          <w:tblHeader w:val="false"/>
        </w:trPr>
        <w:tc>
          <w:tcPr>
            <w:tcW w:type="pct" w:w="9%"/>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12</w:t>
            </w:r>
          </w:p>
        </w:tc>
        <w:tc>
          <w:tcPr>
            <w:tcW w:type="pct" w:w="35%"/>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Encrypted</w:t>
            </w:r>
          </w:p>
        </w:tc>
        <w:tc>
          <w:tcPr>
            <w:tcW w:type="pct" w:w="56%"/>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The cryptography wars — encryption as a human rights issue</w:t>
            </w:r>
          </w:p>
        </w:tc>
      </w:tr>
      <w:tr>
        <w:trPr>
          <w:tblHeader w:val="false"/>
        </w:trPr>
        <w:tc>
          <w:tcPr>
            <w:tcW w:type="pct" w:w="9%"/>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13</w:t>
            </w:r>
          </w:p>
        </w:tc>
        <w:tc>
          <w:tcPr>
            <w:tcW w:type="pct" w:w="35%"/>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All Your Data Are Belong to Us</w:t>
            </w:r>
          </w:p>
        </w:tc>
        <w:tc>
          <w:tcPr>
            <w:tcW w:type="pct" w:w="56%"/>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The history and future of mass data breaches</w:t>
            </w:r>
          </w:p>
        </w:tc>
      </w:tr>
      <w:tr>
        <w:trPr>
          <w:tblHeader w:val="false"/>
        </w:trPr>
        <w:tc>
          <w:tcPr>
            <w:tcW w:type="pct" w:w="9%"/>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14</w:t>
            </w:r>
          </w:p>
        </w:tc>
        <w:tc>
          <w:tcPr>
            <w:tcW w:type="pct" w:w="35%"/>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The Killswitch</w:t>
            </w:r>
          </w:p>
        </w:tc>
        <w:tc>
          <w:tcPr>
            <w:tcW w:type="pct" w:w="56%"/>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Marcus Hutchins and the WannaCry kill switch — an accidental hero story</w:t>
            </w:r>
          </w:p>
        </w:tc>
      </w:tr>
      <w:tr>
        <w:trPr>
          <w:tblHeader w:val="false"/>
        </w:trPr>
        <w:tc>
          <w:tcPr>
            <w:tcW w:type="pct" w:w="9%"/>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15</w:t>
            </w:r>
          </w:p>
        </w:tc>
        <w:tc>
          <w:tcPr>
            <w:tcW w:type="pct" w:w="35%"/>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Stuxnet: The First Shot</w:t>
            </w:r>
          </w:p>
        </w:tc>
        <w:tc>
          <w:tcPr>
            <w:tcW w:type="pct" w:w="56%"/>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The first publicly known nation-state cyberweapon and its consequences</w:t>
            </w:r>
          </w:p>
        </w:tc>
      </w:tr>
      <w:tr>
        <w:trPr>
          <w:tblHeader w:val="false"/>
        </w:trPr>
        <w:tc>
          <w:tcPr>
            <w:tcW w:type="pct" w:w="9%"/>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16</w:t>
            </w:r>
          </w:p>
        </w:tc>
        <w:tc>
          <w:tcPr>
            <w:tcW w:type="pct" w:w="35%"/>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The Dark Market</w:t>
            </w:r>
          </w:p>
        </w:tc>
        <w:tc>
          <w:tcPr>
            <w:tcW w:type="pct" w:w="56%"/>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Dark web marketplaces for stolen data, credentials, and exploit kits</w:t>
            </w:r>
          </w:p>
        </w:tc>
      </w:tr>
      <w:tr>
        <w:trPr>
          <w:tblHeader w:val="false"/>
        </w:trPr>
        <w:tc>
          <w:tcPr>
            <w:tcW w:type="pct" w:w="9%"/>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17</w:t>
            </w:r>
          </w:p>
        </w:tc>
        <w:tc>
          <w:tcPr>
            <w:tcW w:type="pct" w:w="35%"/>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Jailbreak</w:t>
            </w:r>
          </w:p>
        </w:tc>
        <w:tc>
          <w:tcPr>
            <w:tcW w:type="pct" w:w="56%"/>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iOS and Android security — the cat-and-mouse of mobile exploitation</w:t>
            </w:r>
          </w:p>
        </w:tc>
      </w:tr>
      <w:tr>
        <w:trPr>
          <w:tblHeader w:val="false"/>
        </w:trPr>
        <w:tc>
          <w:tcPr>
            <w:tcW w:type="pct" w:w="9%"/>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18</w:t>
            </w:r>
          </w:p>
        </w:tc>
        <w:tc>
          <w:tcPr>
            <w:tcW w:type="pct" w:w="35%"/>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Red Team, Blue Team</w:t>
            </w:r>
          </w:p>
        </w:tc>
        <w:tc>
          <w:tcPr>
            <w:tcW w:type="pct" w:w="56%"/>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The internal world of penetration testing and incident response</w:t>
            </w:r>
          </w:p>
        </w:tc>
      </w:tr>
      <w:tr>
        <w:trPr>
          <w:tblHeader w:val="false"/>
        </w:trPr>
        <w:tc>
          <w:tcPr>
            <w:tcW w:type="pct" w:w="9%"/>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19</w:t>
            </w:r>
          </w:p>
        </w:tc>
        <w:tc>
          <w:tcPr>
            <w:tcW w:type="pct" w:w="35%"/>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The Confession</w:t>
            </w:r>
          </w:p>
        </w:tc>
        <w:tc>
          <w:tcPr>
            <w:tcW w:type="pct" w:w="56%"/>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An episode structured around the testimony and confession of a convicted hacker</w:t>
            </w:r>
          </w:p>
        </w:tc>
      </w:tr>
      <w:tr>
        <w:trPr>
          <w:tblHeader w:val="false"/>
        </w:trPr>
        <w:tc>
          <w:tcPr>
            <w:tcW w:type="pct" w:w="9%"/>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20</w:t>
            </w:r>
          </w:p>
        </w:tc>
        <w:tc>
          <w:tcPr>
            <w:tcW w:type="pct" w:w="35%"/>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Deepfake Security</w:t>
            </w:r>
          </w:p>
        </w:tc>
        <w:tc>
          <w:tcPr>
            <w:tcW w:type="pct" w:w="56%"/>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AI-generated attacks — deepfake phishing, voice cloning, synthetic identity fraud</w:t>
            </w:r>
          </w:p>
        </w:tc>
      </w:tr>
      <w:tr>
        <w:trPr>
          <w:tblHeader w:val="false"/>
        </w:trPr>
        <w:tc>
          <w:tcPr>
            <w:tcW w:type="pct" w:w="9%"/>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21</w:t>
            </w:r>
          </w:p>
        </w:tc>
        <w:tc>
          <w:tcPr>
            <w:tcW w:type="pct" w:w="35%"/>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The Ethics of Offense</w:t>
            </w:r>
          </w:p>
        </w:tc>
        <w:tc>
          <w:tcPr>
            <w:tcW w:type="pct" w:w="56%"/>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Is it ever acceptable to hack back? The debate over active cyber defense</w:t>
            </w:r>
          </w:p>
        </w:tc>
      </w:tr>
      <w:tr>
        <w:trPr>
          <w:tblHeader w:val="false"/>
        </w:trPr>
        <w:tc>
          <w:tcPr>
            <w:tcW w:type="pct" w:w="9%"/>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22</w:t>
            </w:r>
          </w:p>
        </w:tc>
        <w:tc>
          <w:tcPr>
            <w:tcW w:type="pct" w:w="35%"/>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The Next Attacker</w:t>
            </w:r>
          </w:p>
        </w:tc>
        <w:tc>
          <w:tcPr>
            <w:tcW w:type="pct" w:w="56%"/>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Season finale — who or what will be the dominant threat actor of the next decade?</w:t>
            </w:r>
          </w:p>
        </w:tc>
      </w:tr>
      <w:tr>
        <w:trPr>
          <w:tblHeader w:val="false"/>
        </w:trPr>
        <w:tc>
          <w:tcPr>
            <w:tcW w:type="pct" w:w="9%"/>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23</w:t>
            </w:r>
          </w:p>
        </w:tc>
        <w:tc>
          <w:tcPr>
            <w:tcW w:type="pct" w:w="35%"/>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Penetration Test</w:t>
            </w:r>
          </w:p>
        </w:tc>
        <w:tc>
          <w:tcPr>
            <w:tcW w:type="pct" w:w="56%"/>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Following a real-world pentest engagement (with appropriate permissions)</w:t>
            </w:r>
          </w:p>
        </w:tc>
      </w:tr>
      <w:tr>
        <w:trPr>
          <w:tblHeader w:val="false"/>
        </w:trPr>
        <w:tc>
          <w:tcPr>
            <w:tcW w:type="pct" w:w="9%"/>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24</w:t>
            </w:r>
          </w:p>
        </w:tc>
        <w:tc>
          <w:tcPr>
            <w:tcW w:type="pct" w:w="35%"/>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Log4Shell: The Vulnerability That Was Everywhere</w:t>
            </w:r>
          </w:p>
        </w:tc>
        <w:tc>
          <w:tcPr>
            <w:tcW w:type="pct" w:w="56%"/>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Log4j and the risks of ubiquitous open source dependencies</w:t>
            </w:r>
          </w:p>
        </w:tc>
      </w:tr>
    </w:tbl>
    <w:p>
      <w:pPr>
        <w:spacing w:after="200" w:before="0"/>
      </w:pPr>
    </w:p>
    <w:p>
      <w:pPr>
        <w:pBdr>
          <w:bottom w:val="single" w:color="1A1A1A"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1A1A" w:color="auto" w:val="clear"/>
            <w:tcMar>
              <w:top w:type="dxa" w:w="100"/>
              <w:left w:type="dxa" w:w="240"/>
              <w:bottom w:type="dxa" w:w="100"/>
              <w:right w:type="dxa" w:w="240"/>
            </w:tcMar>
          </w:tcPr>
          <w:p>
            <w:pPr>
              <w:spacing w:after="120" w:line="408" w:lineRule="auto"/>
            </w:pPr>
            <w:r>
              <w:t xml:space="preserve">// APPENDIX B — Recurring Segment Ideas</w:t>
            </w:r>
          </w:p>
        </w:tc>
      </w:tr>
    </w:tbl>
    <w:p>
      <w:pPr>
        <w:spacing w:after="240" w:before="0"/>
      </w:pP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These are optional mini-formats that can be inserted within standard episodes to add variety, educational value, and community engagement. Each segment is 2–5 minutes maximum.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3%"/>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Segment Name</w:t>
            </w:r>
          </w:p>
        </w:tc>
        <w:tc>
          <w:tcPr>
            <w:tcW w:type="pct" w:w="52%"/>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Format</w:t>
            </w:r>
          </w:p>
        </w:tc>
        <w:tc>
          <w:tcPr>
            <w:tcW w:type="pct" w:w="16%"/>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Placement</w:t>
            </w:r>
          </w:p>
        </w:tc>
        <w:tc>
          <w:tcPr>
            <w:tcW w:type="pct" w:w="19%"/>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Frequency Recommendation</w:t>
            </w:r>
          </w:p>
        </w:tc>
      </w:tr>
      <w:tr>
        <w:trPr>
          <w:tblHeader w:val="false"/>
        </w:trPr>
        <w:tc>
          <w:tcPr>
            <w:tcW w:type="pct" w:w="13%"/>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CVE Spotlight</w:t>
            </w:r>
          </w:p>
        </w:tc>
        <w:tc>
          <w:tcPr>
            <w:tcW w:type="pct" w:w="52%"/>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A 90-second deep dive on a single CVE relevant to the episode's topic. Host reads the CVE description, then translates it to plain language with a visual.</w:t>
            </w:r>
          </w:p>
        </w:tc>
        <w:tc>
          <w:tcPr>
            <w:tcW w:type="pct" w:w="16%"/>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Within Deep Dive</w:t>
            </w:r>
          </w:p>
        </w:tc>
        <w:tc>
          <w:tcPr>
            <w:tcW w:type="pct" w:w="19%"/>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Every episode where a specific CVE is featured</w:t>
            </w:r>
          </w:p>
        </w:tc>
      </w:tr>
      <w:tr>
        <w:trPr>
          <w:tblHeader w:val="false"/>
        </w:trPr>
        <w:tc>
          <w:tcPr>
            <w:tcW w:type="pct" w:w="13%"/>
            <w:shd w:fill="F4F8FB" w:color="auto" w:val="clear"/>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The Toolbox</w:t>
            </w:r>
          </w:p>
        </w:tc>
        <w:tc>
          <w:tcPr>
            <w:tcW w:type="pct" w:w="52%"/>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A 2-minute overview of a specific security tool — legitimate, legal, open source — used by defenders or researchers. Shows the tool in a sandboxed demo.</w:t>
            </w:r>
          </w:p>
        </w:tc>
        <w:tc>
          <w:tcPr>
            <w:tcW w:type="pct" w:w="16%"/>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Within Countermeasure</w:t>
            </w:r>
          </w:p>
        </w:tc>
        <w:tc>
          <w:tcPr>
            <w:tcW w:type="pct" w:w="19%"/>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Every other episode</w:t>
            </w:r>
          </w:p>
        </w:tc>
      </w:tr>
      <w:tr>
        <w:trPr>
          <w:tblHeader w:val="false"/>
        </w:trPr>
        <w:tc>
          <w:tcPr>
            <w:tcW w:type="pct" w:w="13%"/>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The Community Question</w:t>
            </w:r>
          </w:p>
        </w:tc>
        <w:tc>
          <w:tcPr>
            <w:tcW w:type="pct" w:w="52%"/>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Host reads a question submitted by a community member (Discord or comments) and answers it live or with a guest. 2–3 minutes.</w:t>
            </w:r>
          </w:p>
        </w:tc>
        <w:tc>
          <w:tcPr>
            <w:tcW w:type="pct" w:w="16%"/>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Outro / Countermeasure</w:t>
            </w:r>
          </w:p>
        </w:tc>
        <w:tc>
          <w:tcPr>
            <w:tcW w:type="pct" w:w="19%"/>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Every episode</w:t>
            </w:r>
          </w:p>
        </w:tc>
      </w:tr>
      <w:tr>
        <w:trPr>
          <w:tblHeader w:val="false"/>
        </w:trPr>
        <w:tc>
          <w:tcPr>
            <w:tcW w:type="pct" w:w="13%"/>
            <w:shd w:fill="F4F8FB" w:color="auto" w:val="clear"/>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Glossary Drop</w:t>
            </w:r>
          </w:p>
        </w:tc>
        <w:tc>
          <w:tcPr>
            <w:tcW w:type="pct" w:w="52%"/>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A 60-second animated card defining a key term from the episode. Styled like a terminal help screen. No narration — text only with audio stinger.</w:t>
            </w:r>
          </w:p>
        </w:tc>
        <w:tc>
          <w:tcPr>
            <w:tcW w:type="pct" w:w="16%"/>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After first use of a Tier 2 term</w:t>
            </w:r>
          </w:p>
        </w:tc>
        <w:tc>
          <w:tcPr>
            <w:tcW w:type="pct" w:w="19%"/>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1–2 per episode</w:t>
            </w:r>
          </w:p>
        </w:tc>
      </w:tr>
      <w:tr>
        <w:trPr>
          <w:tblHeader w:val="false"/>
        </w:trPr>
        <w:tc>
          <w:tcPr>
            <w:tcW w:type="pct" w:w="13%"/>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Timeline Reel</w:t>
            </w:r>
          </w:p>
        </w:tc>
        <w:tc>
          <w:tcPr>
            <w:tcW w:type="pct" w:w="52%"/>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A 90-second animated timeline of the breach event being discussed — dates, key moments, actors. Visual only with music and brief text labels.</w:t>
            </w:r>
          </w:p>
        </w:tc>
        <w:tc>
          <w:tcPr>
            <w:tcW w:type="pct" w:w="16%"/>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End of Setup segment</w:t>
            </w:r>
          </w:p>
        </w:tc>
        <w:tc>
          <w:tcPr>
            <w:tcW w:type="pct" w:w="19%"/>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Standard episodes only</w:t>
            </w:r>
          </w:p>
        </w:tc>
      </w:tr>
      <w:tr>
        <w:trPr>
          <w:tblHeader w:val="false"/>
        </w:trPr>
        <w:tc>
          <w:tcPr>
            <w:tcW w:type="pct" w:w="13%"/>
            <w:shd w:fill="F4F8FB" w:color="auto" w:val="clear"/>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The Counterpoint</w:t>
            </w:r>
          </w:p>
        </w:tc>
        <w:tc>
          <w:tcPr>
            <w:tcW w:type="pct" w:w="52%"/>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A 2-minute segment where the Analyst explicitly steelmans the opposing position from the episode's main narrative — e.g., the attacker's technical justification, or the company's defense.</w:t>
            </w:r>
          </w:p>
        </w:tc>
        <w:tc>
          <w:tcPr>
            <w:tcW w:type="pct" w:w="16%"/>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After Deep Dive or Human Layer</w:t>
            </w:r>
          </w:p>
        </w:tc>
        <w:tc>
          <w:tcPr>
            <w:tcW w:type="pct" w:w="19%"/>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Once per 3 episodes</w:t>
            </w:r>
          </w:p>
        </w:tc>
      </w:tr>
      <w:tr>
        <w:trPr>
          <w:tblHeader w:val="false"/>
        </w:trPr>
        <w:tc>
          <w:tcPr>
            <w:tcW w:type="pct" w:w="13%"/>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Breach by the Numbers</w:t>
            </w:r>
          </w:p>
        </w:tc>
        <w:tc>
          <w:tcPr>
            <w:tcW w:type="pct" w:w="52%"/>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Key statistics from the episode's breach — records exposed, ransom paid, systems affected — displayed as full-screen infographic. 60 seconds, no narration.</w:t>
            </w:r>
          </w:p>
        </w:tc>
        <w:tc>
          <w:tcPr>
            <w:tcW w:type="pct" w:w="16%"/>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Transition into Deep Dive</w:t>
            </w:r>
          </w:p>
        </w:tc>
        <w:tc>
          <w:tcPr>
            <w:tcW w:type="pct" w:w="19%"/>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Every episode with quantifiable breach data</w:t>
            </w:r>
          </w:p>
        </w:tc>
      </w:tr>
    </w:tbl>
    <w:p>
      <w:pPr>
        <w:spacing w:after="200" w:before="0"/>
      </w:pPr>
    </w:p>
    <w:p>
      <w:pPr>
        <w:pBdr>
          <w:bottom w:val="single" w:color="1A1A1A"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1A1A" w:color="auto" w:val="clear"/>
            <w:tcMar>
              <w:top w:type="dxa" w:w="100"/>
              <w:left w:type="dxa" w:w="240"/>
              <w:bottom w:type="dxa" w:w="100"/>
              <w:right w:type="dxa" w:w="240"/>
            </w:tcMar>
          </w:tcPr>
          <w:p>
            <w:pPr>
              <w:spacing w:after="120" w:line="408" w:lineRule="auto"/>
            </w:pPr>
            <w:r>
              <w:t xml:space="preserve">// APPENDIX C — Approved Technical Source List</w:t>
            </w:r>
          </w:p>
        </w:tc>
      </w:tr>
    </w:tbl>
    <w:p>
      <w:pPr>
        <w:spacing w:after="240" w:before="0"/>
      </w:pP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The following sources are pre-approved for technical research and citation in Codicon Hacking content. Additional sources require EP or Technical Reviewer approval before use.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33%"/>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Source</w:t>
            </w:r>
          </w:p>
        </w:tc>
        <w:tc>
          <w:tcPr>
            <w:tcW w:type="pct" w:w="18%"/>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Type</w:t>
            </w:r>
          </w:p>
        </w:tc>
        <w:tc>
          <w:tcPr>
            <w:tcW w:type="pct" w:w="31%"/>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Use Case</w:t>
            </w:r>
          </w:p>
        </w:tc>
        <w:tc>
          <w:tcPr>
            <w:tcW w:type="pct" w:w="18%"/>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Tier</w:t>
            </w:r>
          </w:p>
        </w:tc>
      </w:tr>
      <w:tr>
        <w:trPr>
          <w:tblHeader w:val="false"/>
        </w:trPr>
        <w:tc>
          <w:tcPr>
            <w:tcW w:type="pct" w:w="33%"/>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NVD — National Vulnerability Database (nvd.nist.gov)</w:t>
            </w:r>
          </w:p>
        </w:tc>
        <w:tc>
          <w:tcPr>
            <w:tcW w:type="pct" w:w="18%"/>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Government database</w:t>
            </w:r>
          </w:p>
        </w:tc>
        <w:tc>
          <w:tcPr>
            <w:tcW w:type="pct" w:w="31%"/>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CVE details, CVSS scores, patch status</w:t>
            </w:r>
          </w:p>
        </w:tc>
        <w:tc>
          <w:tcPr>
            <w:tcW w:type="pct" w:w="18%"/>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Primary</w:t>
            </w:r>
          </w:p>
        </w:tc>
      </w:tr>
      <w:tr>
        <w:trPr>
          <w:tblHeader w:val="false"/>
        </w:trPr>
        <w:tc>
          <w:tcPr>
            <w:tcW w:type="pct" w:w="33%"/>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NIST Special Publications (csrc.nist.gov)</w:t>
            </w:r>
          </w:p>
        </w:tc>
        <w:tc>
          <w:tcPr>
            <w:tcW w:type="pct" w:w="18%"/>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Government standard</w:t>
            </w:r>
          </w:p>
        </w:tc>
        <w:tc>
          <w:tcPr>
            <w:tcW w:type="pct" w:w="31%"/>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Security frameworks, technical standards</w:t>
            </w:r>
          </w:p>
        </w:tc>
        <w:tc>
          <w:tcPr>
            <w:tcW w:type="pct" w:w="18%"/>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Primary</w:t>
            </w:r>
          </w:p>
        </w:tc>
      </w:tr>
      <w:tr>
        <w:trPr>
          <w:tblHeader w:val="false"/>
        </w:trPr>
        <w:tc>
          <w:tcPr>
            <w:tcW w:type="pct" w:w="33%"/>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CISA Advisories (cisa.gov)</w:t>
            </w:r>
          </w:p>
        </w:tc>
        <w:tc>
          <w:tcPr>
            <w:tcW w:type="pct" w:w="18%"/>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Government advisory</w:t>
            </w:r>
          </w:p>
        </w:tc>
        <w:tc>
          <w:tcPr>
            <w:tcW w:type="pct" w:w="31%"/>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Active threat alerts, vulnerability advisories</w:t>
            </w:r>
          </w:p>
        </w:tc>
        <w:tc>
          <w:tcPr>
            <w:tcW w:type="pct" w:w="18%"/>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Primary</w:t>
            </w:r>
          </w:p>
        </w:tc>
      </w:tr>
      <w:tr>
        <w:trPr>
          <w:tblHeader w:val="false"/>
        </w:trPr>
        <w:tc>
          <w:tcPr>
            <w:tcW w:type="pct" w:w="33%"/>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MITRE ATT&amp;CK Framework (attack.mitre.org)</w:t>
            </w:r>
          </w:p>
        </w:tc>
        <w:tc>
          <w:tcPr>
            <w:tcW w:type="pct" w:w="18%"/>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Research framework</w:t>
            </w:r>
          </w:p>
        </w:tc>
        <w:tc>
          <w:tcPr>
            <w:tcW w:type="pct" w:w="31%"/>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Technique mapping, threat group profiles</w:t>
            </w:r>
          </w:p>
        </w:tc>
        <w:tc>
          <w:tcPr>
            <w:tcW w:type="pct" w:w="18%"/>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Primary</w:t>
            </w:r>
          </w:p>
        </w:tc>
      </w:tr>
      <w:tr>
        <w:trPr>
          <w:tblHeader w:val="false"/>
        </w:trPr>
        <w:tc>
          <w:tcPr>
            <w:tcW w:type="pct" w:w="33%"/>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Vendor Security Advisories (Microsoft, Google, Apple, Cisco, etc.)</w:t>
            </w:r>
          </w:p>
        </w:tc>
        <w:tc>
          <w:tcPr>
            <w:tcW w:type="pct" w:w="18%"/>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Vendor primary source</w:t>
            </w:r>
          </w:p>
        </w:tc>
        <w:tc>
          <w:tcPr>
            <w:tcW w:type="pct" w:w="31%"/>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Specific product vulnerabilities and patches</w:t>
            </w:r>
          </w:p>
        </w:tc>
        <w:tc>
          <w:tcPr>
            <w:tcW w:type="pct" w:w="18%"/>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Primary</w:t>
            </w:r>
          </w:p>
        </w:tc>
      </w:tr>
      <w:tr>
        <w:trPr>
          <w:tblHeader w:val="false"/>
        </w:trPr>
        <w:tc>
          <w:tcPr>
            <w:tcW w:type="pct" w:w="33%"/>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Krebs on Security (krebsonsecurity.com)</w:t>
            </w:r>
          </w:p>
        </w:tc>
        <w:tc>
          <w:tcPr>
            <w:tcW w:type="pct" w:w="18%"/>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Vetted journalism</w:t>
            </w:r>
          </w:p>
        </w:tc>
        <w:tc>
          <w:tcPr>
            <w:tcW w:type="pct" w:w="31%"/>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Breach context, cybercrime reporting</w:t>
            </w:r>
          </w:p>
        </w:tc>
        <w:tc>
          <w:tcPr>
            <w:tcW w:type="pct" w:w="18%"/>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Secondary</w:t>
            </w:r>
          </w:p>
        </w:tc>
      </w:tr>
      <w:tr>
        <w:trPr>
          <w:tblHeader w:val="false"/>
        </w:trPr>
        <w:tc>
          <w:tcPr>
            <w:tcW w:type="pct" w:w="33%"/>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Wired Security Section (wired.com)</w:t>
            </w:r>
          </w:p>
        </w:tc>
        <w:tc>
          <w:tcPr>
            <w:tcW w:type="pct" w:w="18%"/>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Vetted journalism</w:t>
            </w:r>
          </w:p>
        </w:tc>
        <w:tc>
          <w:tcPr>
            <w:tcW w:type="pct" w:w="31%"/>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Narrative context, policy implications</w:t>
            </w:r>
          </w:p>
        </w:tc>
        <w:tc>
          <w:tcPr>
            <w:tcW w:type="pct" w:w="18%"/>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Secondary</w:t>
            </w:r>
          </w:p>
        </w:tc>
      </w:tr>
      <w:tr>
        <w:trPr>
          <w:tblHeader w:val="false"/>
        </w:trPr>
        <w:tc>
          <w:tcPr>
            <w:tcW w:type="pct" w:w="33%"/>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Ars Technica (arstechnica.com)</w:t>
            </w:r>
          </w:p>
        </w:tc>
        <w:tc>
          <w:tcPr>
            <w:tcW w:type="pct" w:w="18%"/>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Vetted tech journalism</w:t>
            </w:r>
          </w:p>
        </w:tc>
        <w:tc>
          <w:tcPr>
            <w:tcW w:type="pct" w:w="31%"/>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Technical context, breach reporting</w:t>
            </w:r>
          </w:p>
        </w:tc>
        <w:tc>
          <w:tcPr>
            <w:tcW w:type="pct" w:w="18%"/>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Secondary</w:t>
            </w:r>
          </w:p>
        </w:tc>
      </w:tr>
      <w:tr>
        <w:trPr>
          <w:tblHeader w:val="false"/>
        </w:trPr>
        <w:tc>
          <w:tcPr>
            <w:tcW w:type="pct" w:w="33%"/>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The Register (theregister.com)</w:t>
            </w:r>
          </w:p>
        </w:tc>
        <w:tc>
          <w:tcPr>
            <w:tcW w:type="pct" w:w="18%"/>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Vetted tech journalism</w:t>
            </w:r>
          </w:p>
        </w:tc>
        <w:tc>
          <w:tcPr>
            <w:tcW w:type="pct" w:w="31%"/>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Industry context, technical news</w:t>
            </w:r>
          </w:p>
        </w:tc>
        <w:tc>
          <w:tcPr>
            <w:tcW w:type="pct" w:w="18%"/>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Secondary</w:t>
            </w:r>
          </w:p>
        </w:tc>
      </w:tr>
      <w:tr>
        <w:trPr>
          <w:tblHeader w:val="false"/>
        </w:trPr>
        <w:tc>
          <w:tcPr>
            <w:tcW w:type="pct" w:w="33%"/>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Academic papers via Google Scholar / IEEE / ACM</w:t>
            </w:r>
          </w:p>
        </w:tc>
        <w:tc>
          <w:tcPr>
            <w:tcW w:type="pct" w:w="18%"/>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Peer-reviewed research</w:t>
            </w:r>
          </w:p>
        </w:tc>
        <w:tc>
          <w:tcPr>
            <w:tcW w:type="pct" w:w="31%"/>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Technical depth, novel research</w:t>
            </w:r>
          </w:p>
        </w:tc>
        <w:tc>
          <w:tcPr>
            <w:tcW w:type="pct" w:w="18%"/>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Primary (if peer-reviewed)</w:t>
            </w:r>
          </w:p>
        </w:tc>
      </w:tr>
      <w:tr>
        <w:trPr>
          <w:tblHeader w:val="false"/>
        </w:trPr>
        <w:tc>
          <w:tcPr>
            <w:tcW w:type="pct" w:w="33%"/>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DEF CON / Black Hat Talk Archives</w:t>
            </w:r>
          </w:p>
        </w:tc>
        <w:tc>
          <w:tcPr>
            <w:tcW w:type="pct" w:w="18%"/>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Practitioner presentations</w:t>
            </w:r>
          </w:p>
        </w:tc>
        <w:tc>
          <w:tcPr>
            <w:tcW w:type="pct" w:w="31%"/>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Technical techniques, researcher disclosures</w:t>
            </w:r>
          </w:p>
        </w:tc>
        <w:tc>
          <w:tcPr>
            <w:tcW w:type="pct" w:w="18%"/>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Tertiary</w:t>
            </w:r>
          </w:p>
        </w:tc>
      </w:tr>
      <w:tr>
        <w:trPr>
          <w:tblHeader w:val="false"/>
        </w:trPr>
        <w:tc>
          <w:tcPr>
            <w:tcW w:type="pct" w:w="33%"/>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Mandiant / CrowdStrike / Recorded Future Threat Intelligence Reports</w:t>
            </w:r>
          </w:p>
        </w:tc>
        <w:tc>
          <w:tcPr>
            <w:tcW w:type="pct" w:w="18%"/>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Commercial threat intel</w:t>
            </w:r>
          </w:p>
        </w:tc>
        <w:tc>
          <w:tcPr>
            <w:tcW w:type="pct" w:w="31%"/>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APT attribution, campaign analysis — note: vendor bias possible</w:t>
            </w:r>
          </w:p>
        </w:tc>
        <w:tc>
          <w:tcPr>
            <w:tcW w:type="pct" w:w="18%"/>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Secondary (with disclosure)</w:t>
            </w:r>
          </w:p>
        </w:tc>
      </w:tr>
    </w:tbl>
    <w:p>
      <w:pPr>
        <w:spacing w:after="200" w:before="0"/>
      </w:pPr>
    </w:p>
    <w:p>
      <w:pPr>
        <w:pBdr>
          <w:bottom w:val="single" w:color="1A1A1A"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1A1A" w:color="auto" w:val="clear"/>
            <w:tcMar>
              <w:top w:type="dxa" w:w="100"/>
              <w:left w:type="dxa" w:w="240"/>
              <w:bottom w:type="dxa" w:w="100"/>
              <w:right w:type="dxa" w:w="240"/>
            </w:tcMar>
          </w:tcPr>
          <w:p>
            <w:pPr>
              <w:spacing w:after="120" w:line="408" w:lineRule="auto"/>
            </w:pPr>
            <w:r>
              <w:t xml:space="preserve">// APPENDIX D — Guest Briefing Template</w:t>
            </w:r>
          </w:p>
        </w:tc>
      </w:tr>
    </w:tbl>
    <w:p>
      <w:pPr>
        <w:spacing w:after="240" w:before="0"/>
      </w:pP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The following template is sent to all guests 7–10 days before recording. Customize sections in [brackets] for each specific guest and episode.</w:t>
      </w:r>
    </w:p>
    <w:p>
      <w:pPr>
        <w:pStyle w:val="Heading4"/>
        <w:spacing w:after="60" w:before="200" w:line="384" w:lineRule="auto"/>
      </w:pPr>
      <w:r>
        <w:rPr>
          <w:rFonts w:ascii="Calibri" w:cs="Calibri" w:eastAsia="Calibri" w:hAnsi="Calibri"/>
          <w:color w:val="1A1A1A"/>
          <w:sz w:val="22"/>
          <w:szCs w:val="22"/>
        </w:rPr>
        <w:t xml:space="preserve">CODICON HACKING — Guest Briefing Document</w:t>
      </w:r>
    </w:p>
    <w:p>
      <w:pPr>
        <w:spacing w:after="240" w:before="60" w:line="384" w:lineRule="auto"/>
      </w:pPr>
      <w:r>
        <w:rPr>
          <w:rFonts w:ascii="Calibri" w:cs="Calibri" w:eastAsia="Calibri" w:hAnsi="Calibri"/>
          <w:b/>
          <w:bCs/>
          <w:i w:val="false"/>
          <w:iCs w:val="false"/>
          <w:strike w:val="false"/>
          <w:color w:val="1A1A1A"/>
          <w:sz w:val="22"/>
          <w:szCs w:val="22"/>
        </w:rPr>
        <w:t xml:space="preserve">Episode:</w:t>
      </w:r>
      <w:r>
        <w:rPr>
          <w:rFonts w:ascii="Calibri" w:cs="Calibri" w:eastAsia="Calibri" w:hAnsi="Calibri"/>
          <w:b w:val="false"/>
          <w:bCs w:val="false"/>
          <w:i w:val="false"/>
          <w:iCs w:val="false"/>
          <w:strike w:val="false"/>
          <w:color w:val="1A1A1A"/>
          <w:sz w:val="22"/>
          <w:szCs w:val="22"/>
        </w:rPr>
        <w:t xml:space="preserve"> [CODICON-S01E##] — [Episode Title]</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w:t>
      </w:r>
      <w:r>
        <w:rPr>
          <w:rFonts w:ascii="Calibri" w:cs="Calibri" w:eastAsia="Calibri" w:hAnsi="Calibri"/>
          <w:b/>
          <w:bCs/>
          <w:i w:val="false"/>
          <w:iCs w:val="false"/>
          <w:strike w:val="false"/>
          <w:color w:val="1A1A1A"/>
          <w:sz w:val="22"/>
          <w:szCs w:val="22"/>
        </w:rPr>
        <w:t xml:space="preserve">Recording Date:</w:t>
      </w:r>
      <w:r>
        <w:rPr>
          <w:rFonts w:ascii="Calibri" w:cs="Calibri" w:eastAsia="Calibri" w:hAnsi="Calibri"/>
          <w:b w:val="false"/>
          <w:bCs w:val="false"/>
          <w:i w:val="false"/>
          <w:iCs w:val="false"/>
          <w:strike w:val="false"/>
          <w:color w:val="1A1A1A"/>
          <w:sz w:val="22"/>
          <w:szCs w:val="22"/>
        </w:rPr>
        <w:t xml:space="preserve"> [Date, Time, Time Zone]</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w:t>
      </w:r>
      <w:r>
        <w:rPr>
          <w:rFonts w:ascii="Calibri" w:cs="Calibri" w:eastAsia="Calibri" w:hAnsi="Calibri"/>
          <w:b/>
          <w:bCs/>
          <w:i w:val="false"/>
          <w:iCs w:val="false"/>
          <w:strike w:val="false"/>
          <w:color w:val="1A1A1A"/>
          <w:sz w:val="22"/>
          <w:szCs w:val="22"/>
        </w:rPr>
        <w:t xml:space="preserve">Your Role in This Episode:</w:t>
      </w:r>
      <w:r>
        <w:rPr>
          <w:rFonts w:ascii="Calibri" w:cs="Calibri" w:eastAsia="Calibri" w:hAnsi="Calibri"/>
          <w:b w:val="false"/>
          <w:bCs w:val="false"/>
          <w:i w:val="false"/>
          <w:iCs w:val="false"/>
          <w:strike w:val="false"/>
          <w:color w:val="1A1A1A"/>
          <w:sz w:val="22"/>
          <w:szCs w:val="22"/>
        </w:rPr>
        <w:t xml:space="preserve"> [The Witness / The Analyst / The Defender / The Philosopher]</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w:t>
      </w:r>
      <w:r>
        <w:rPr>
          <w:rFonts w:ascii="Calibri" w:cs="Calibri" w:eastAsia="Calibri" w:hAnsi="Calibri"/>
          <w:b/>
          <w:bCs/>
          <w:i w:val="false"/>
          <w:iCs w:val="false"/>
          <w:strike w:val="false"/>
          <w:color w:val="1A1A1A"/>
          <w:sz w:val="22"/>
          <w:szCs w:val="22"/>
        </w:rPr>
        <w:t xml:space="preserve">Estimated Screen Time:</w:t>
      </w:r>
      <w:r>
        <w:rPr>
          <w:rFonts w:ascii="Calibri" w:cs="Calibri" w:eastAsia="Calibri" w:hAnsi="Calibri"/>
          <w:b w:val="false"/>
          <w:bCs w:val="false"/>
          <w:i w:val="false"/>
          <w:iCs w:val="false"/>
          <w:strike w:val="false"/>
          <w:color w:val="1A1A1A"/>
          <w:sz w:val="22"/>
          <w:szCs w:val="22"/>
        </w:rPr>
        <w:t xml:space="preserve"> [10–15 minutes]</w:t>
      </w:r>
    </w:p>
    <w:p>
      <w:pPr>
        <w:spacing w:after="240" w:before="60" w:line="384" w:lineRule="auto"/>
      </w:pPr>
      <w:r>
        <w:rPr>
          <w:rFonts w:ascii="Calibri" w:cs="Calibri" w:eastAsia="Calibri" w:hAnsi="Calibri"/>
          <w:b/>
          <w:bCs/>
          <w:i w:val="false"/>
          <w:iCs w:val="false"/>
          <w:strike w:val="false"/>
          <w:color w:val="1A1A1A"/>
          <w:sz w:val="22"/>
          <w:szCs w:val="22"/>
        </w:rPr>
        <w:t xml:space="preserve">About the Series</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Codicon Hacking is a narrative-driven video and podcast series exploring hacking culture, landmark cybersecurity breaches, and the human stories behind them. We are not a news show and we are not a tutorial channel — we are a storytelling platform that treats technical accuracy and human complexity with equal seriousness. Our audience ranges from technically curious generalists to active security professionals.</w:t>
      </w:r>
    </w:p>
    <w:p>
      <w:pPr>
        <w:spacing w:after="240" w:before="60" w:line="384" w:lineRule="auto"/>
      </w:pPr>
      <w:r>
        <w:rPr>
          <w:rFonts w:ascii="Calibri" w:cs="Calibri" w:eastAsia="Calibri" w:hAnsi="Calibri"/>
          <w:b/>
          <w:bCs/>
          <w:i w:val="false"/>
          <w:iCs w:val="false"/>
          <w:strike w:val="false"/>
          <w:color w:val="1A1A1A"/>
          <w:sz w:val="22"/>
          <w:szCs w:val="22"/>
        </w:rPr>
        <w:t xml:space="preserve">Episode Summary</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[2–3 sentences describing the episode's subject, the key event being explored, and the central narrative question the episode addresses.]</w:t>
      </w:r>
    </w:p>
    <w:p>
      <w:pPr>
        <w:spacing w:after="240" w:before="60" w:line="384" w:lineRule="auto"/>
      </w:pPr>
      <w:r>
        <w:rPr>
          <w:rFonts w:ascii="Calibri" w:cs="Calibri" w:eastAsia="Calibri" w:hAnsi="Calibri"/>
          <w:b/>
          <w:bCs/>
          <w:i w:val="false"/>
          <w:iCs w:val="false"/>
          <w:strike w:val="false"/>
          <w:color w:val="1A1A1A"/>
          <w:sz w:val="22"/>
          <w:szCs w:val="22"/>
        </w:rPr>
        <w:t xml:space="preserve">Your Contribution</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In this episode, we'd like you to speak to [specific aspect of the episode]. We're particularly interested in your perspective on [1–2 specific questions or angles]. Your contribution will appear in [the Deep Dive / Human Layer / Countermeasure / Editorial] segment, where it will be integrated into the narrative alongside [host narration / archival material / other contributors].</w:t>
      </w:r>
    </w:p>
    <w:p>
      <w:pPr>
        <w:spacing w:after="240" w:before="60" w:line="384" w:lineRule="auto"/>
      </w:pPr>
      <w:r>
        <w:rPr>
          <w:rFonts w:ascii="Calibri" w:cs="Calibri" w:eastAsia="Calibri" w:hAnsi="Calibri"/>
          <w:b/>
          <w:bCs/>
          <w:i w:val="false"/>
          <w:iCs w:val="false"/>
          <w:strike w:val="false"/>
          <w:color w:val="1A1A1A"/>
          <w:sz w:val="22"/>
          <w:szCs w:val="22"/>
        </w:rPr>
        <w:t xml:space="preserve">Key Questions (Indicative — Not a Script)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[Primary question — the most important thing we need from you]</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[Secondary question — context or nuance]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[Optional deeper question — only if time and comfort permit]</w:t>
      </w:r>
    </w:p>
    <w:p>
      <w:pPr>
        <w:spacing w:after="240" w:before="60" w:line="384" w:lineRule="auto"/>
      </w:pPr>
      <w:r>
        <w:rPr>
          <w:rFonts w:ascii="Calibri" w:cs="Calibri" w:eastAsia="Calibri" w:hAnsi="Calibri"/>
          <w:b/>
          <w:bCs/>
          <w:i w:val="false"/>
          <w:iCs w:val="false"/>
          <w:strike w:val="false"/>
          <w:color w:val="1A1A1A"/>
          <w:sz w:val="22"/>
          <w:szCs w:val="22"/>
        </w:rPr>
        <w:t xml:space="preserve">What We Will Not Ask</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We will not ask you to [disclose operational details / attribute attacks beyond public record / discuss matters under NDA or legal proceedings / speculate beyond your area of expertise]. If a question goes somewhere you're not comfortable with, simply say so — we'll move on.</w:t>
      </w:r>
    </w:p>
    <w:p>
      <w:pPr>
        <w:spacing w:after="240" w:before="60" w:line="384" w:lineRule="auto"/>
      </w:pPr>
      <w:r>
        <w:rPr>
          <w:rFonts w:ascii="Calibri" w:cs="Calibri" w:eastAsia="Calibri" w:hAnsi="Calibri"/>
          <w:b/>
          <w:bCs/>
          <w:i w:val="false"/>
          <w:iCs w:val="false"/>
          <w:strike w:val="false"/>
          <w:color w:val="1A1A1A"/>
          <w:sz w:val="22"/>
          <w:szCs w:val="22"/>
        </w:rPr>
        <w:t xml:space="preserve">Technical and Accuracy Standards</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All technical content in the episode is fact-checked. If you state something on record that you later realize is inaccurate, please contact us before the episode publishes and we will correct the record. We would rather delay an episode than publish an error.</w:t>
      </w:r>
    </w:p>
    <w:p>
      <w:pPr>
        <w:spacing w:after="240" w:before="60" w:line="384" w:lineRule="auto"/>
      </w:pPr>
      <w:r>
        <w:rPr>
          <w:rFonts w:ascii="Calibri" w:cs="Calibri" w:eastAsia="Calibri" w:hAnsi="Calibri"/>
          <w:b/>
          <w:bCs/>
          <w:i w:val="false"/>
          <w:iCs w:val="false"/>
          <w:strike w:val="false"/>
          <w:color w:val="1A1A1A"/>
          <w:sz w:val="22"/>
          <w:szCs w:val="22"/>
        </w:rPr>
        <w:t xml:space="preserve">Recording Logistics</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[Recording platform — Riverside / Zoom / In-Studio]. Please use [wired internet / a quiet location / your preferred microphone]. Video is preferred. If you would prefer audio only, please let us know in advance. We record a backup of all sessions.</w:t>
      </w:r>
    </w:p>
    <w:p>
      <w:pPr>
        <w:spacing w:after="240" w:before="60" w:line="384" w:lineRule="auto"/>
      </w:pPr>
      <w:r>
        <w:rPr>
          <w:rFonts w:ascii="Calibri" w:cs="Calibri" w:eastAsia="Calibri" w:hAnsi="Calibri"/>
          <w:b/>
          <w:bCs/>
          <w:i w:val="false"/>
          <w:iCs w:val="false"/>
          <w:strike w:val="false"/>
          <w:color w:val="1A1A1A"/>
          <w:sz w:val="22"/>
          <w:szCs w:val="22"/>
        </w:rPr>
        <w:t xml:space="preserve">Release and Consent</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A release form will be sent separately. Please review it before recording. If you have questions about the scope of the release, contact [Producer Name] at [email].</w:t>
      </w:r>
    </w:p>
    <w:p>
      <w:pPr>
        <w:spacing w:after="240" w:before="60" w:line="384" w:lineRule="auto"/>
      </w:pPr>
      <w:r>
        <w:rPr>
          <w:rFonts w:ascii="Calibri" w:cs="Calibri" w:eastAsia="Calibri" w:hAnsi="Calibri"/>
          <w:b/>
          <w:bCs/>
          <w:i w:val="false"/>
          <w:iCs w:val="false"/>
          <w:strike w:val="false"/>
          <w:color w:val="1A1A1A"/>
          <w:sz w:val="22"/>
          <w:szCs w:val="22"/>
        </w:rPr>
        <w:t xml:space="preserve">Your Contact:</w:t>
      </w:r>
      <w:r>
        <w:rPr>
          <w:rFonts w:ascii="Calibri" w:cs="Calibri" w:eastAsia="Calibri" w:hAnsi="Calibri"/>
          <w:b w:val="false"/>
          <w:bCs w:val="false"/>
          <w:i w:val="false"/>
          <w:iCs w:val="false"/>
          <w:strike w:val="false"/>
          <w:color w:val="1A1A1A"/>
          <w:sz w:val="22"/>
          <w:szCs w:val="22"/>
        </w:rPr>
        <w:t xml:space="preserve"> [Producer Name] — [email] — [phone/Signal if applicable]</w:t>
      </w:r>
    </w:p>
    <w:p>
      <w:pPr>
        <w:pBdr>
          <w:bottom w:val="single" w:color="1A1A1A"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1A1A" w:color="auto" w:val="clear"/>
            <w:tcMar>
              <w:top w:type="dxa" w:w="100"/>
              <w:left w:type="dxa" w:w="240"/>
              <w:bottom w:type="dxa" w:w="100"/>
              <w:right w:type="dxa" w:w="240"/>
            </w:tcMar>
          </w:tcPr>
          <w:p>
            <w:pPr>
              <w:spacing w:after="120" w:line="408" w:lineRule="auto"/>
            </w:pPr>
            <w:r>
              <w:t xml:space="preserve">// APPENDIX E — Thumbnail Brief Template</w:t>
            </w:r>
          </w:p>
        </w:tc>
      </w:tr>
    </w:tbl>
    <w:p>
      <w:pPr>
        <w:spacing w:after="240" w:before="0"/>
      </w:pP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Complete this brief and deliver to the design team at T-3 days before recording. Thumbnail must be approved by the EP before scheduling.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9%"/>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Field</w:t>
            </w:r>
          </w:p>
        </w:tc>
        <w:tc>
          <w:tcPr>
            <w:tcW w:type="pct" w:w="81%"/>
            <w:shd w:fill="0D3B4F" w:color="auto" w:val="clear"/>
            <w:tcMar>
              <w:top w:type="dxa" w:w="105"/>
              <w:left w:type="dxa" w:w="150"/>
              <w:bottom w:type="dxa" w:w="105"/>
              <w:right w:type="dxa" w:w="150"/>
            </w:tcMar>
          </w:tcPr>
          <w:p>
            <w:r>
              <w:rPr>
                <w:rFonts w:ascii="Consolas" w:cs="Consolas" w:eastAsia="Consolas" w:hAnsi="Consolas"/>
                <w:b/>
                <w:bCs/>
                <w:i w:val="false"/>
                <w:iCs w:val="false"/>
                <w:strike w:val="false"/>
                <w:color w:val="FFFFFF"/>
                <w:sz w:val="20"/>
                <w:szCs w:val="20"/>
              </w:rPr>
              <w:t xml:space="preserve">Content</w:t>
            </w:r>
          </w:p>
        </w:tc>
      </w:tr>
      <w:tr>
        <w:trPr>
          <w:tblHeader w:val="false"/>
        </w:trPr>
        <w:tc>
          <w:tcPr>
            <w:tcW w:type="pct" w:w="19%"/>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Episode Code</w:t>
            </w:r>
          </w:p>
        </w:tc>
        <w:tc>
          <w:tcPr>
            <w:tcW w:type="pct" w:w="81%"/>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[e.g., CODICON-S01E04]</w:t>
            </w:r>
          </w:p>
        </w:tc>
      </w:tr>
      <w:tr>
        <w:trPr>
          <w:tblHeader w:val="false"/>
        </w:trPr>
        <w:tc>
          <w:tcPr>
            <w:tcW w:type="pct" w:w="19%"/>
            <w:shd w:fill="F4F8FB" w:color="auto" w:val="clear"/>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Episode Title</w:t>
            </w:r>
          </w:p>
        </w:tc>
        <w:tc>
          <w:tcPr>
            <w:tcW w:type="pct" w:w="81%"/>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[Episode title as it will appear on thumbnail — max 4 words preferred]</w:t>
            </w:r>
          </w:p>
        </w:tc>
      </w:tr>
      <w:tr>
        <w:trPr>
          <w:tblHeader w:val="false"/>
        </w:trPr>
        <w:tc>
          <w:tcPr>
            <w:tcW w:type="pct" w:w="19%"/>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Primary Visual (Zone 1)</w:t>
            </w:r>
          </w:p>
        </w:tc>
        <w:tc>
          <w:tcPr>
            <w:tcW w:type="pct" w:w="81%"/>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[Describe the main visual: host portrait / screenshot / symbolic object / stylized graphic. Specify treatment: high contrast, desaturated, color tinted, etc.]</w:t>
            </w:r>
          </w:p>
        </w:tc>
      </w:tr>
      <w:tr>
        <w:trPr>
          <w:tblHeader w:val="false"/>
        </w:trPr>
        <w:tc>
          <w:tcPr>
            <w:tcW w:type="pct" w:w="19%"/>
            <w:shd w:fill="F4F8FB" w:color="auto" w:val="clear"/>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Approved Image Asset</w:t>
            </w:r>
          </w:p>
        </w:tc>
        <w:tc>
          <w:tcPr>
            <w:tcW w:type="pct" w:w="81%"/>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[File name or link to approved image asset. Must be rights-cleared.]</w:t>
            </w:r>
          </w:p>
        </w:tc>
      </w:tr>
      <w:tr>
        <w:trPr>
          <w:tblHeader w:val="false"/>
        </w:trPr>
        <w:tc>
          <w:tcPr>
            <w:tcW w:type="pct" w:w="19%"/>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Text Overlay (Zone 2)</w:t>
            </w:r>
          </w:p>
        </w:tc>
        <w:tc>
          <w:tcPr>
            <w:tcW w:type="pct" w:w="81%"/>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[Episode number in large Acid Green + Episode title in off-white. Specify any subtitle or secondary text.]</w:t>
            </w:r>
          </w:p>
        </w:tc>
      </w:tr>
      <w:tr>
        <w:trPr>
          <w:tblHeader w:val="false"/>
        </w:trPr>
        <w:tc>
          <w:tcPr>
            <w:tcW w:type="pct" w:w="19%"/>
            <w:shd w:fill="F4F8FB" w:color="auto" w:val="clear"/>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Mood / Tone</w:t>
            </w:r>
          </w:p>
        </w:tc>
        <w:tc>
          <w:tcPr>
            <w:tcW w:type="pct" w:w="81%"/>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[e.g., tense, ominous, intellectual, urgent, darkly ironic]</w:t>
            </w:r>
          </w:p>
        </w:tc>
      </w:tr>
      <w:tr>
        <w:trPr>
          <w:tblHeader w:val="false"/>
        </w:trPr>
        <w:tc>
          <w:tcPr>
            <w:tcW w:type="pct" w:w="19%"/>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Background Treatment</w:t>
            </w:r>
          </w:p>
        </w:tc>
        <w:tc>
          <w:tcPr>
            <w:tcW w:type="pct" w:w="81%"/>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[Deep Black with hex grid / Deep Navy with scan lines / custom per episode — specify]</w:t>
            </w:r>
          </w:p>
        </w:tc>
      </w:tr>
      <w:tr>
        <w:trPr>
          <w:tblHeader w:val="false"/>
        </w:trPr>
        <w:tc>
          <w:tcPr>
            <w:tcW w:type="pct" w:w="19%"/>
            <w:shd w:fill="F4F8FB" w:color="auto" w:val="clear"/>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Prohibited Elements</w:t>
            </w:r>
          </w:p>
        </w:tc>
        <w:tc>
          <w:tcPr>
            <w:tcW w:type="pct" w:w="81%"/>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[List anything that must NOT appear: specific individuals, logos, symbols, text, etc.]</w:t>
            </w:r>
          </w:p>
        </w:tc>
      </w:tr>
      <w:tr>
        <w:trPr>
          <w:tblHeader w:val="false"/>
        </w:trPr>
        <w:tc>
          <w:tcPr>
            <w:tcW w:type="pct" w:w="19%"/>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A/B Variant?</w:t>
            </w:r>
          </w:p>
        </w:tc>
        <w:tc>
          <w:tcPr>
            <w:tcW w:type="pct" w:w="81%"/>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[Yes / No. If yes, describe what differs between variants — typically main visual or text treatment]</w:t>
            </w:r>
          </w:p>
        </w:tc>
      </w:tr>
      <w:tr>
        <w:trPr>
          <w:tblHeader w:val="false"/>
        </w:trPr>
        <w:tc>
          <w:tcPr>
            <w:tcW w:type="pct" w:w="19%"/>
            <w:shd w:fill="F4F8FB" w:color="auto" w:val="clear"/>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Delivery Deadline</w:t>
            </w:r>
          </w:p>
        </w:tc>
        <w:tc>
          <w:tcPr>
            <w:tcW w:type="pct" w:w="81%"/>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[T-1 day before publish. Specify exact date.]</w:t>
            </w:r>
          </w:p>
        </w:tc>
      </w:tr>
      <w:tr>
        <w:trPr>
          <w:tblHeader w:val="false"/>
        </w:trPr>
        <w:tc>
          <w:tcPr>
            <w:tcW w:type="pct" w:w="19%"/>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Design Lead Assigned</w:t>
            </w:r>
          </w:p>
        </w:tc>
        <w:tc>
          <w:tcPr>
            <w:tcW w:type="pct" w:w="81%"/>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[Name]</w:t>
            </w:r>
          </w:p>
        </w:tc>
      </w:tr>
      <w:tr>
        <w:trPr>
          <w:tblHeader w:val="false"/>
        </w:trPr>
        <w:tc>
          <w:tcPr>
            <w:tcW w:type="pct" w:w="19%"/>
            <w:shd w:fill="F4F8FB" w:color="auto" w:val="clear"/>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EP Approval Required By</w:t>
            </w:r>
          </w:p>
        </w:tc>
        <w:tc>
          <w:tcPr>
            <w:tcW w:type="pct" w:w="81%"/>
            <w:shd w:fill="F4F8FB" w:color="auto" w:val="clear"/>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[Date/time — must be before platform upload window]</w:t>
            </w:r>
          </w:p>
        </w:tc>
      </w:tr>
      <w:tr>
        <w:trPr>
          <w:tblHeader w:val="false"/>
        </w:trPr>
        <w:tc>
          <w:tcPr>
            <w:tcW w:type="pct" w:w="19%"/>
            <w:tcMar>
              <w:top w:type="dxa" w:w="105"/>
              <w:left w:type="dxa" w:w="150"/>
              <w:bottom w:type="dxa" w:w="105"/>
              <w:right w:type="dxa" w:w="150"/>
            </w:tcMar>
          </w:tcPr>
          <w:p>
            <w:r>
              <w:rPr>
                <w:rFonts w:ascii="Calibri" w:cs="Calibri" w:eastAsia="Calibri" w:hAnsi="Calibri"/>
                <w:b/>
                <w:bCs/>
                <w:i w:val="false"/>
                <w:iCs w:val="false"/>
                <w:strike w:val="false"/>
                <w:color w:val="1A1A1A"/>
                <w:sz w:val="22"/>
                <w:szCs w:val="22"/>
              </w:rPr>
              <w:t xml:space="preserve">Notes</w:t>
            </w:r>
          </w:p>
        </w:tc>
        <w:tc>
          <w:tcPr>
            <w:tcW w:type="pct" w:w="81%"/>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2"/>
                <w:szCs w:val="22"/>
              </w:rPr>
              <w:t xml:space="preserve">[Any additional creative direction, reference images, or specific design constraints]</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47A00" w:sz="24"/>
              <w:bottom w:val="nil" w:color="FFFFFF" w:sz="0"/>
              <w:right w:val="nil" w:color="FFFFFF" w:sz="0"/>
            </w:tcBorders>
            <w:shd w:fill="FFF8E6" w:color="auto" w:val="clear"/>
            <w:tcMar>
              <w:top w:type="dxa" w:w="200"/>
              <w:left w:type="dxa" w:w="280"/>
              <w:bottom w:type="dxa" w:w="200"/>
              <w:right w:type="dxa" w:w="280"/>
            </w:tcMar>
          </w:tcPr>
          <w:p>
            <w:pPr>
              <w:spacing w:after="120" w:line="408" w:lineRule="auto"/>
            </w:pPr>
            <w:r>
              <w:rPr>
                <w:b/>
                <w:bCs/>
                <w:i w:val="false"/>
                <w:iCs w:val="false"/>
                <w:color w:val="C47A00"/>
              </w:rPr>
              <w:t xml:space="preserve">// DESIGN CHECKLIST</w:t>
            </w:r>
          </w:p>
          <w:p>
            <w:pPr>
              <w:spacing w:after="100" w:line="408" w:lineRule="auto"/>
              <w:ind w:left="240"/>
            </w:pPr>
            <w:r>
              <w:t xml:space="preserve">•  </w:t>
            </w:r>
            <w:r>
              <w:rPr>
                <w:rFonts w:ascii="Calibri" w:cs="Calibri" w:eastAsia="Calibri" w:hAnsi="Calibri"/>
                <w:b w:val="false"/>
                <w:bCs w:val="false"/>
                <w:i w:val="false"/>
                <w:iCs w:val="false"/>
                <w:strike w:val="false"/>
                <w:color w:val="1A1A1A"/>
                <w:sz w:val="22"/>
                <w:szCs w:val="22"/>
              </w:rPr>
              <w:t xml:space="preserve">Thumbnail is legible at 120px width (mobile list view)</w:t>
            </w:r>
          </w:p>
          <w:p>
            <w:pPr>
              <w:spacing w:after="100" w:line="408" w:lineRule="auto"/>
              <w:ind w:left="240"/>
            </w:pPr>
            <w:r>
              <w:t xml:space="preserve">•  </w:t>
            </w:r>
            <w:r>
              <w:rPr>
                <w:rFonts w:ascii="Calibri" w:cs="Calibri" w:eastAsia="Calibri" w:hAnsi="Calibri"/>
                <w:b w:val="false"/>
                <w:bCs w:val="false"/>
                <w:i w:val="false"/>
                <w:iCs w:val="false"/>
                <w:strike w:val="false"/>
                <w:color w:val="1A1A1A"/>
                <w:sz w:val="22"/>
                <w:szCs w:val="22"/>
              </w:rPr>
              <w:t xml:space="preserve">No text smaller than 28px in the final render</w:t>
            </w:r>
          </w:p>
          <w:p>
            <w:pPr>
              <w:spacing w:after="100" w:line="408" w:lineRule="auto"/>
              <w:ind w:left="240"/>
            </w:pPr>
            <w:r>
              <w:t xml:space="preserve">•  </w:t>
            </w:r>
            <w:r>
              <w:rPr>
                <w:rFonts w:ascii="Calibri" w:cs="Calibri" w:eastAsia="Calibri" w:hAnsi="Calibri"/>
                <w:b w:val="false"/>
                <w:bCs w:val="false"/>
                <w:i w:val="false"/>
                <w:iCs w:val="false"/>
                <w:strike w:val="false"/>
                <w:color w:val="1A1A1A"/>
                <w:sz w:val="22"/>
                <w:szCs w:val="22"/>
              </w:rPr>
              <w:t xml:space="preserve">Series wordmark present in Electric Cyan, bottom-left</w:t>
            </w:r>
          </w:p>
          <w:p>
            <w:pPr>
              <w:spacing w:after="100" w:line="408" w:lineRule="auto"/>
              <w:ind w:left="240"/>
            </w:pPr>
            <w:r>
              <w:t xml:space="preserve">•  </w:t>
            </w:r>
            <w:r>
              <w:rPr>
                <w:rFonts w:ascii="Calibri" w:cs="Calibri" w:eastAsia="Calibri" w:hAnsi="Calibri"/>
                <w:b w:val="false"/>
                <w:bCs w:val="false"/>
                <w:i w:val="false"/>
                <w:iCs w:val="false"/>
                <w:strike w:val="false"/>
                <w:color w:val="1A1A1A"/>
                <w:sz w:val="22"/>
                <w:szCs w:val="22"/>
              </w:rPr>
              <w:t xml:space="preserve">No clickbait expressions on any human faces depicted</w:t>
            </w:r>
          </w:p>
          <w:p>
            <w:pPr>
              <w:spacing w:after="100" w:line="408" w:lineRule="auto"/>
              <w:ind w:left="240"/>
            </w:pPr>
            <w:r>
              <w:t xml:space="preserve">•  </w:t>
            </w:r>
            <w:r>
              <w:rPr>
                <w:rFonts w:ascii="Calibri" w:cs="Calibri" w:eastAsia="Calibri" w:hAnsi="Calibri"/>
                <w:b w:val="false"/>
                <w:bCs w:val="false"/>
                <w:i w:val="false"/>
                <w:iCs w:val="false"/>
                <w:strike w:val="false"/>
                <w:color w:val="1A1A1A"/>
                <w:sz w:val="22"/>
                <w:szCs w:val="22"/>
              </w:rPr>
              <w:t xml:space="preserve">Colors match approved palette (hex codes only — no approximations)</w:t>
            </w:r>
          </w:p>
          <w:p>
            <w:pPr>
              <w:spacing w:after="100" w:line="408" w:lineRule="auto"/>
              <w:ind w:left="240"/>
            </w:pPr>
            <w:r>
              <w:t xml:space="preserve">•  </w:t>
            </w:r>
            <w:r>
              <w:rPr>
                <w:rFonts w:ascii="Calibri" w:cs="Calibri" w:eastAsia="Calibri" w:hAnsi="Calibri"/>
                <w:b w:val="false"/>
                <w:bCs w:val="false"/>
                <w:i w:val="false"/>
                <w:iCs w:val="false"/>
                <w:strike w:val="false"/>
                <w:color w:val="1A1A1A"/>
                <w:sz w:val="22"/>
                <w:szCs w:val="22"/>
              </w:rPr>
              <w:t xml:space="preserve">File delivered as PNG at 1280×720px, under 2MB</w:t>
            </w:r>
          </w:p>
        </w:tc>
      </w:tr>
    </w:tbl>
    <w:p>
      <w:pPr>
        <w:spacing w:after="240" w:before="0"/>
      </w:pPr>
    </w:p>
    <w:p>
      <w:pPr>
        <w:pBdr>
          <w:bottom w:val="single" w:color="1A1A1A" w:sz="6"/>
        </w:pBdr>
        <w:spacing w:after="240" w:before="240"/>
      </w:pPr>
    </w:p>
    <w:p>
      <w:pPr>
        <w:pBdr>
          <w:bottom w:val="single" w:color="1A1A1A" w:sz="6"/>
        </w:pBdr>
        <w:spacing w:after="240" w:before="240"/>
      </w:pPr>
    </w:p>
    <w:p>
      <w:pPr>
        <w:spacing w:after="240" w:before="60" w:line="384" w:lineRule="auto"/>
        <w:jc w:val="center"/>
      </w:pPr>
      <w:r>
        <w:rPr>
          <w:rFonts w:ascii="Consolas" w:cs="Consolas" w:eastAsia="Consolas" w:hAnsi="Consolas"/>
          <w:b w:val="false"/>
          <w:bCs w:val="false"/>
          <w:i w:val="false"/>
          <w:iCs w:val="false"/>
          <w:strike w:val="false"/>
          <w:color w:val="888888"/>
          <w:sz w:val="22"/>
          <w:szCs w:val="22"/>
        </w:rPr>
        <w:t xml:space="preserve">CODICON HACKING — SEASON 1 PRODUCTION BIBLE  |  VERSION 1.0  |  JULY 2026</w:t>
      </w:r>
      <w:r>
        <w:rPr>
          <w:rFonts w:ascii="Consolas" w:cs="Consolas" w:eastAsia="Consolas" w:hAnsi="Consolas"/>
          <w:b w:val="false"/>
          <w:bCs w:val="false"/>
          <w:i w:val="false"/>
          <w:iCs w:val="false"/>
          <w:color w:val="888888"/>
          <w:sz w:val="22"/>
          <w:szCs w:val="22"/>
        </w:rPr>
        <w:br/>
      </w:r>
      <w:r>
        <w:rPr>
          <w:rFonts w:ascii="Consolas" w:cs="Consolas" w:eastAsia="Consolas" w:hAnsi="Consolas"/>
          <w:b w:val="false"/>
          <w:bCs w:val="false"/>
          <w:i w:val="false"/>
          <w:iCs w:val="false"/>
          <w:strike w:val="false"/>
          <w:color w:val="888888"/>
          <w:sz w:val="22"/>
          <w:szCs w:val="22"/>
        </w:rPr>
        <w:t xml:space="preserve"> INTERNAL DOCUMENT — CONFIDENTIAL — DO NOT DISTRIBUTE WITHOUT EP AUTHORIZATION</w:t>
      </w:r>
      <w:r>
        <w:rPr>
          <w:rFonts w:ascii="Consolas" w:cs="Consolas" w:eastAsia="Consolas" w:hAnsi="Consolas"/>
          <w:b w:val="false"/>
          <w:bCs w:val="false"/>
          <w:i w:val="false"/>
          <w:iCs w:val="false"/>
          <w:color w:val="888888"/>
          <w:sz w:val="22"/>
          <w:szCs w:val="22"/>
        </w:rPr>
        <w:br/>
      </w:r>
      <w:r>
        <w:rPr>
          <w:rFonts w:ascii="Consolas" w:cs="Consolas" w:eastAsia="Consolas" w:hAnsi="Consolas"/>
          <w:b w:val="false"/>
          <w:bCs w:val="false"/>
          <w:i w:val="false"/>
          <w:iCs w:val="false"/>
          <w:strike w:val="false"/>
          <w:color w:val="888888"/>
          <w:sz w:val="22"/>
          <w:szCs w:val="22"/>
        </w:rPr>
        <w:t xml:space="preserve"> © 2026 CODICON HACKING. ALL RIGHTS RESERVED.</w:t>
      </w:r>
    </w:p>
    <w:p>
      <w:pPr>
        <w:spacing w:after="240" w:before="60" w:line="384" w:lineRule="auto"/>
        <w:jc w:val="center"/>
      </w:pPr>
      <w:r>
        <w:rPr>
          <w:rFonts w:ascii="Consolas" w:cs="Consolas" w:eastAsia="Consolas" w:hAnsi="Consolas"/>
          <w:b w:val="false"/>
          <w:bCs w:val="false"/>
          <w:i w:val="false"/>
          <w:iCs w:val="false"/>
          <w:strike w:val="false"/>
          <w:color w:val="CCCCCC"/>
          <w:sz w:val="22"/>
          <w:szCs w:val="22"/>
        </w:rPr>
        <w:t xml:space="preserve">01000011 01001111 01000100 01001001 01000011 01001111 01001110</w:t>
      </w:r>
    </w:p>
    <w:p>
      <w:pPr>
        <w:spacing w:after="240" w:line="240" w:lineRule="auto"/>
      </w:pPr>
      <w:r>
        <w:t xml:space="preserve">* copilot/c45f481</w:t>
        <w:br/>
      </w:r>
      <w:r>
        <w:t xml:space="preserve">  remotes/origin/copilot/c45f481</w:t>
        <w:br/>
      </w:r>
      <w:r>
        <w:t xml:space="preserve">---</w:t>
        <w:br/>
      </w:r>
      <w:r>
        <w:t xml:space="preserve">30c3c24 (HEAD -&gt; copilot/c45f481, origin/copilot/c45f481) Merge pull request #5 from Cleanskiier27/copilot/hidden-secrets-and-safety</w:t>
        <w:br/>
      </w:r>
      <w:r>
        <w:t xml:space="preserve">b4d3d39 (grafted) Rebrand repo landing content for space economy tax</w:t>
        <w:br/>
      </w:r>
      <w:r>
        <w:t xml:space="preserve">f2114f7 (grafted) Merge pull request #4 from Cleanskiier27/copilot/4a26f74-fix-sync</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FgRaE3AZCBrkcEwGBEUFa</dc:title>
  <dc:creator>Un-named</dc:creator>
  <dc:description>Generated document</dc:description>
  <cp:lastModifiedBy>Un-named</cp:lastModifiedBy>
  <cp:revision>1</cp:revision>
  <dcterms:created xsi:type="dcterms:W3CDTF">2026-07-09T12:58:29.589Z</dcterms:created>
  <dcterms:modified xsi:type="dcterms:W3CDTF">2026-07-09T12:58:29.589Z</dcterms:modified>
</cp:coreProperties>
</file>

<file path=docProps/custom.xml><?xml version="1.0" encoding="utf-8"?>
<Properties xmlns="http://schemas.openxmlformats.org/officeDocument/2006/custom-properties" xmlns:vt="http://schemas.openxmlformats.org/officeDocument/2006/docPropsVTypes"/>
</file>