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  <w:r>
        <w:rPr>
          <w:sz w:val="96"/>
          <w:szCs w:val="96"/>
        </w:rP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066CC"/>
          <w:sz w:val="64"/>
          <w:szCs w:val="64"/>
        </w:rPr>
        <w:t xml:space="preserve">CLEARGLASSINC</w:t>
      </w:r>
    </w:p>
    <w:p>
      <w:pPr>
        <w:spacing w:after="480"/>
        <w:jc w:val="center"/>
      </w:pPr>
      <w:r>
        <w:rPr>
          <w:rFonts w:ascii="Arial" w:cs="Arial" w:eastAsia="Arial" w:hAnsi="Arial"/>
          <w:color w:val="333333"/>
          <w:sz w:val="40"/>
          <w:szCs w:val="40"/>
        </w:rPr>
        <w:t xml:space="preserve">Aerospace Market Intelligence System</w:t>
      </w:r>
    </w:p>
    <w:p>
      <w:pPr>
        <w:spacing w:after="96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SYSTEM ARCHITECTURE &amp; TECHNICAL DOCUMENTATION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5.0.0 Enterprise Edition</w:t>
      </w:r>
    </w:p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00A86B"/>
          <w:sz w:val="26"/>
          <w:szCs w:val="26"/>
        </w:rPr>
        <w:t xml:space="preserve">Commercial Product - For Sale</w:t>
      </w:r>
    </w:p>
    <w:p>
      <w:pPr>
        <w:spacing w:after="19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 Date: February 5,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© 2025-2030 Clearglassinc. All Rights Reserved.</w:t>
      </w:r>
    </w:p>
    <w:p>
      <w:pPr>
        <w:spacing w:after="2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Proprietary and Confidential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The Clearglassinc Aerospace Market Intelligence System is an enterprise-grade commercial software platform designed to provide comprehensive market analysis, competitive intelligence, and predictive forecasting for the aerospace industry. This system represents 5 years of forward-looking technology and best practices in market intelligence automation.</w:t>
      </w:r>
    </w:p>
    <w:p>
      <w:pPr>
        <w:pStyle w:val="Heading2"/>
        <w:spacing w:before="360"/>
      </w:pPr>
      <w:r>
        <w:t xml:space="preserve">Key Value Propositions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This commercial system delivers:</w:t>
      </w:r>
    </w:p>
    <w:p>
      <w:pPr>
        <w:spacing w:after="120"/>
        <w:ind w:left="720"/>
      </w:pPr>
      <w:r>
        <w:rPr>
          <w:rFonts w:ascii="Arial" w:cs="Arial" w:eastAsia="Arial" w:hAnsi="Arial"/>
          <w:sz w:val="24"/>
          <w:szCs w:val="24"/>
        </w:rPr>
        <w:t xml:space="preserve">• Automated data collection from ethical, public sources including SpaceX API, NASA, SEC EDGAR, and USASpending.gov</w:t>
      </w:r>
    </w:p>
    <w:p>
      <w:pPr>
        <w:spacing w:after="120"/>
        <w:ind w:left="720"/>
      </w:pPr>
      <w:r>
        <w:rPr>
          <w:rFonts w:ascii="Arial" w:cs="Arial" w:eastAsia="Arial" w:hAnsi="Arial"/>
          <w:sz w:val="24"/>
          <w:szCs w:val="24"/>
        </w:rPr>
        <w:t xml:space="preserve">• Advanced market analysis engine with sentiment scoring, competitive landscape mapping, and growth indicator tracking</w:t>
      </w:r>
    </w:p>
    <w:p>
      <w:pPr>
        <w:spacing w:after="120"/>
        <w:ind w:left="720"/>
      </w:pPr>
      <w:r>
        <w:rPr>
          <w:rFonts w:ascii="Arial" w:cs="Arial" w:eastAsia="Arial" w:hAnsi="Arial"/>
          <w:sz w:val="24"/>
          <w:szCs w:val="24"/>
        </w:rPr>
        <w:t xml:space="preserve">• Machine learning-powered predictive engine generating 5-year market forecasts with multiple scenario modeling</w:t>
      </w:r>
    </w:p>
    <w:p>
      <w:pPr>
        <w:spacing w:after="120"/>
        <w:ind w:left="720"/>
      </w:pPr>
      <w:r>
        <w:rPr>
          <w:rFonts w:ascii="Arial" w:cs="Arial" w:eastAsia="Arial" w:hAnsi="Arial"/>
          <w:sz w:val="24"/>
          <w:szCs w:val="24"/>
        </w:rPr>
        <w:t xml:space="preserve">• Comprehensive risk assessment with mitigation strategies and strategic investment recommendations</w:t>
      </w:r>
    </w:p>
    <w:p>
      <w:pPr>
        <w:spacing w:after="120"/>
        <w:ind w:left="720"/>
      </w:pPr>
      <w:r>
        <w:rPr>
          <w:rFonts w:ascii="Arial" w:cs="Arial" w:eastAsia="Arial" w:hAnsi="Arial"/>
          <w:sz w:val="24"/>
          <w:szCs w:val="24"/>
        </w:rPr>
        <w:t xml:space="preserve">• Multi-format reporting including Excel, PDF, JSON, and interactive dashboards with Clearglassinc branding</w:t>
      </w:r>
    </w:p>
    <w:p>
      <w:pPr>
        <w:spacing w:after="360"/>
        <w:ind w:left="720"/>
      </w:pPr>
      <w:r>
        <w:rPr>
          <w:rFonts w:ascii="Arial" w:cs="Arial" w:eastAsia="Arial" w:hAnsi="Arial"/>
          <w:sz w:val="24"/>
          <w:szCs w:val="24"/>
        </w:rPr>
        <w:t xml:space="preserve">• Enterprise-grade PowerShell automation for complete workflow orchestration and scheduling</w:t>
      </w:r>
    </w:p>
    <w:p>
      <w:pPr>
        <w:pStyle w:val="Heading2"/>
        <w:spacing w:before="360"/>
      </w:pPr>
      <w:r>
        <w:t xml:space="preserve">Commercial Licensing</w:t>
      </w:r>
    </w:p>
    <w:p>
      <w:pPr>
        <w:spacing w:after="240"/>
      </w:pPr>
      <w:r>
        <w:rPr>
          <w:rFonts w:ascii="Arial" w:cs="Arial" w:eastAsia="Arial" w:hAnsi="Arial"/>
          <w:sz w:val="24"/>
          <w:szCs w:val="24"/>
        </w:rPr>
        <w:t xml:space="preserve">This system is available for commercial licensing. Enterprise pricing includes full source code, customization services, training, and ongoing support. Contact sales@clearglassinc.com for licensing information.</w:t>
      </w:r>
    </w:p>
    <w:p>
      <w:r>
        <w:br w:type="page"/>
      </w:r>
    </w:p>
    <w:p>
      <w:pPr>
        <w:pStyle w:val="Heading1"/>
      </w:pPr>
      <w:r>
        <w:t xml:space="preserve">System Architecture</w:t>
      </w:r>
    </w:p>
    <w:p>
      <w:pPr>
        <w:pStyle w:val="Heading2"/>
        <w:spacing w:before="360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PowerShell 5.1+ / PowerShell Core 7+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Analytics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3.10+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 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TensorFlow, scikit-learn, NumPy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SQLite (included) / PostgreSQL (enterprise)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Collection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Requests, BeautifulSoup4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Pandas, OpenPyXL, Matplotlib, Plotly</w:t>
            </w:r>
          </w:p>
        </w:tc>
      </w:tr>
    </w:tbl>
    <w:p>
      <w:pPr>
        <w:pStyle w:val="Heading2"/>
        <w:spacing w:before="480"/>
      </w:pPr>
      <w:r>
        <w:t xml:space="preserve">Architecture Layers</w:t>
      </w:r>
    </w:p>
    <w:p>
      <w:pPr>
        <w:spacing w:after="240"/>
      </w:pPr>
      <w:r>
        <w:rPr>
          <w:sz w:val="24"/>
          <w:szCs w:val="24"/>
        </w:rPr>
        <w:t xml:space="preserve">The system employs a modular, layered architecture designed for scalability and maintainability:</w:t>
      </w:r>
    </w:p>
    <w:p>
      <w:pPr>
        <w:pStyle w:val="Heading3"/>
        <w:spacing w:before="240"/>
      </w:pPr>
      <w:r>
        <w:t xml:space="preserve">1. Presentation Layer</w:t>
      </w:r>
    </w:p>
    <w:p>
      <w:pPr>
        <w:spacing w:after="240"/>
      </w:pPr>
      <w:r>
        <w:rPr>
          <w:sz w:val="24"/>
          <w:szCs w:val="24"/>
        </w:rPr>
        <w:t xml:space="preserve">PowerShell orchestration scripts provide a command-line interface with branded output. Supports automated scheduling via Windows Task Scheduler or cron. Interactive dashboards delivered via web browser with real-time data visualization.</w:t>
      </w:r>
    </w:p>
    <w:p>
      <w:pPr>
        <w:pStyle w:val="Heading3"/>
        <w:spacing w:before="240"/>
      </w:pPr>
      <w:r>
        <w:t xml:space="preserve">2. Business Logic Layer</w:t>
      </w:r>
    </w:p>
    <w:p>
      <w:pPr>
        <w:spacing w:after="240"/>
      </w:pPr>
      <w:r>
        <w:rPr>
          <w:sz w:val="24"/>
          <w:szCs w:val="24"/>
        </w:rPr>
        <w:t xml:space="preserve">Python analytics engine implements market analysis algorithms, sentiment scoring, competitive intelligence, and predictive modeling. Modular design allows easy extension and customization.</w:t>
      </w:r>
    </w:p>
    <w:p>
      <w:pPr>
        <w:pStyle w:val="Heading3"/>
        <w:spacing w:before="240"/>
      </w:pPr>
      <w:r>
        <w:t xml:space="preserve">3. Data Access Layer</w:t>
      </w:r>
    </w:p>
    <w:p>
      <w:pPr>
        <w:spacing w:after="240"/>
      </w:pPr>
      <w:r>
        <w:rPr>
          <w:sz w:val="24"/>
          <w:szCs w:val="24"/>
        </w:rPr>
        <w:t xml:space="preserve">SQLAlchemy ORM provides database abstraction. Supports SQLite for standalone deployment and PostgreSQL for enterprise scale. Includes automated schema management and migration tools.</w:t>
      </w:r>
    </w:p>
    <w:p>
      <w:pPr>
        <w:pStyle w:val="Heading3"/>
        <w:spacing w:before="240"/>
      </w:pPr>
      <w:r>
        <w:t xml:space="preserve">4. Integration Layer</w:t>
      </w:r>
    </w:p>
    <w:p>
      <w:pPr>
        <w:spacing w:after="360"/>
      </w:pPr>
      <w:r>
        <w:rPr>
          <w:sz w:val="24"/>
          <w:szCs w:val="24"/>
        </w:rPr>
        <w:t xml:space="preserve">RESTful API clients for public data sources. Rate limiting and retry logic ensure reliable data collection. Ethical data collection practices with respect for terms of service and robots.txt.</w:t>
      </w:r>
    </w:p>
    <w:p>
      <w:r>
        <w:br w:type="page"/>
      </w:r>
    </w:p>
    <w:p>
      <w:pPr>
        <w:pStyle w:val="Heading1"/>
      </w:pPr>
      <w:r>
        <w:t xml:space="preserve">Data Flow &amp; Processing Pipeline</w:t>
      </w:r>
    </w:p>
    <w:p>
      <w:pPr>
        <w:pStyle w:val="Heading2"/>
        <w:spacing w:before="360"/>
      </w:pPr>
      <w:r>
        <w:t xml:space="preserve">Collection Phase</w:t>
      </w:r>
    </w:p>
    <w:p>
      <w:pPr>
        <w:spacing w:after="240"/>
      </w:pPr>
      <w:r>
        <w:rPr>
          <w:sz w:val="24"/>
          <w:szCs w:val="24"/>
        </w:rPr>
        <w:t xml:space="preserve">Data collection employs parallel processing with configurable worker threads. The system queries multiple public APIs simultaneously while respecting rate limits:</w:t>
      </w:r>
    </w:p>
    <w:p>
      <w:pPr>
        <w:spacing w:after="120"/>
        <w:ind w:left="720"/>
      </w:pPr>
      <w:r>
        <w:rPr>
          <w:sz w:val="24"/>
          <w:szCs w:val="24"/>
        </w:rPr>
        <w:t xml:space="preserve">• SpaceX API: Launch data, mission statistics, vehicle information</w:t>
      </w:r>
    </w:p>
    <w:p>
      <w:pPr>
        <w:spacing w:after="120"/>
        <w:ind w:left="720"/>
      </w:pPr>
      <w:r>
        <w:rPr>
          <w:sz w:val="24"/>
          <w:szCs w:val="24"/>
        </w:rPr>
        <w:t xml:space="preserve">• NASA TechPort: Technology trends, research projects, innovation metrics</w:t>
      </w:r>
    </w:p>
    <w:p>
      <w:pPr>
        <w:spacing w:after="120"/>
        <w:ind w:left="720"/>
      </w:pPr>
      <w:r>
        <w:rPr>
          <w:sz w:val="24"/>
          <w:szCs w:val="24"/>
        </w:rPr>
        <w:t xml:space="preserve">• SEC EDGAR: Public company filings, financial statements, regulatory disclosures</w:t>
      </w:r>
    </w:p>
    <w:p>
      <w:pPr>
        <w:spacing w:after="360"/>
        <w:ind w:left="720"/>
      </w:pPr>
      <w:r>
        <w:rPr>
          <w:sz w:val="24"/>
          <w:szCs w:val="24"/>
        </w:rPr>
        <w:t xml:space="preserve">• USASpending.gov: Government contracts, awards, procurement data</w:t>
      </w:r>
    </w:p>
    <w:p>
      <w:pPr>
        <w:pStyle w:val="Heading2"/>
        <w:spacing w:before="360"/>
      </w:pPr>
      <w:r>
        <w:t xml:space="preserve">Analysis Phase</w:t>
      </w:r>
    </w:p>
    <w:p>
      <w:pPr>
        <w:spacing w:after="240"/>
      </w:pPr>
      <w:r>
        <w:rPr>
          <w:sz w:val="24"/>
          <w:szCs w:val="24"/>
        </w:rPr>
        <w:t xml:space="preserve">The market analyzer processes collected data through multiple analytical modules:</w:t>
      </w:r>
    </w:p>
    <w:p>
      <w:pPr>
        <w:spacing w:after="240"/>
      </w:pPr>
      <w:r>
        <w:rPr>
          <w:sz w:val="24"/>
          <w:szCs w:val="24"/>
        </w:rPr>
        <w:t xml:space="preserve">Competitive Landscape Analysis identifies market leaders, emerging players, and competitive dynamics. Market share is estimated using sentiment scores, contract volumes, and public financial data. The system generates sector-specific competitive matrices with positioning recommendations.</w:t>
      </w:r>
    </w:p>
    <w:p>
      <w:pPr>
        <w:spacing w:after="240"/>
      </w:pPr>
      <w:r>
        <w:rPr>
          <w:sz w:val="24"/>
          <w:szCs w:val="24"/>
        </w:rPr>
        <w:t xml:space="preserve">Sentiment Analysis applies natural language processing to news, social media, and public statements. Proprietary algorithms calculate sentiment scores on a 0-1 scale. Trend detection identifies momentum shifts and inflection points.</w:t>
      </w:r>
    </w:p>
    <w:p>
      <w:pPr>
        <w:spacing w:after="360"/>
      </w:pPr>
      <w:r>
        <w:rPr>
          <w:sz w:val="24"/>
          <w:szCs w:val="24"/>
        </w:rPr>
        <w:t xml:space="preserve">Growth Indicator Tracking monitors multiple metrics including contract pipeline, hiring trends, capital raises, and technology announcements. The innovation index quantifies R&amp;D activity and patent filings. Growth scores classify sectors as high-growth, stable, or contracting.</w:t>
      </w:r>
    </w:p>
    <w:p>
      <w:pPr>
        <w:pStyle w:val="Heading2"/>
        <w:spacing w:before="360"/>
      </w:pPr>
      <w:r>
        <w:t xml:space="preserve">Prediction Phase</w:t>
      </w:r>
    </w:p>
    <w:p>
      <w:pPr>
        <w:spacing w:after="240"/>
      </w:pPr>
      <w:r>
        <w:rPr>
          <w:sz w:val="24"/>
          <w:szCs w:val="24"/>
        </w:rPr>
        <w:t xml:space="preserve">Machine learning models generate 5-year forecasts using ensemble methods:</w:t>
      </w:r>
    </w:p>
    <w:p>
      <w:pPr>
        <w:spacing w:after="240"/>
      </w:pPr>
      <w:r>
        <w:rPr>
          <w:sz w:val="24"/>
          <w:szCs w:val="24"/>
        </w:rPr>
        <w:t xml:space="preserve">LSTM Networks model time series data with attention to seasonal patterns and long-term dependencies. Random Forest algorithms identify non-linear relationships and interaction effects. Gradient Boosting provides robust predictions resistant to outliers. ARIMA models capture trend and cyclical components.</w:t>
      </w:r>
    </w:p>
    <w:p>
      <w:pPr>
        <w:spacing w:after="360"/>
      </w:pPr>
      <w:r>
        <w:rPr>
          <w:sz w:val="24"/>
          <w:szCs w:val="24"/>
        </w:rPr>
        <w:t xml:space="preserve">The system generates three scenarios: baseline (60% probability), optimistic (25% probability), and pessimistic (15% probability). Each scenario includes monthly forecasts with confidence intervals. Risk scenario modeling evaluates impact of economic recession, technological disruption, regulatory changes, and geopolitical instability.</w:t>
      </w:r>
    </w:p>
    <w:p>
      <w:r>
        <w:br w:type="page"/>
      </w:r>
    </w:p>
    <w:p>
      <w:pPr>
        <w:pStyle w:val="Heading1"/>
      </w:pPr>
      <w:r>
        <w:t xml:space="preserve">Scalability &amp; Performance</w:t>
      </w:r>
    </w:p>
    <w:p>
      <w:pPr>
        <w:pStyle w:val="Heading2"/>
        <w:spacing w:before="360"/>
      </w:pPr>
      <w:r>
        <w:t xml:space="preserve">Current Performance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Performance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Collection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5-15 minutes for full sector scan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Analysis Processing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2-5 minutes per dataset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Prediction 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10-20 minutes (5-year forecast)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Generation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1-3 minutes per format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Companies Tracked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50+ aerospace companies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500 MB after 1 year</w:t>
            </w:r>
          </w:p>
        </w:tc>
      </w:tr>
    </w:tbl>
    <w:p>
      <w:pPr>
        <w:pStyle w:val="Heading2"/>
        <w:spacing w:before="480"/>
      </w:pPr>
      <w:r>
        <w:t xml:space="preserve">5-Year Forward Scalability Design</w:t>
      </w:r>
    </w:p>
    <w:p>
      <w:pPr>
        <w:spacing w:after="240"/>
      </w:pPr>
      <w:r>
        <w:rPr>
          <w:sz w:val="24"/>
          <w:szCs w:val="24"/>
        </w:rPr>
        <w:t xml:space="preserve">The system architecture anticipates future growth and incorporates scalability provisions:</w:t>
      </w:r>
    </w:p>
    <w:p>
      <w:pPr>
        <w:pStyle w:val="Heading3"/>
        <w:spacing w:before="240"/>
      </w:pPr>
      <w:r>
        <w:t xml:space="preserve">Horizontal Scaling</w:t>
      </w:r>
    </w:p>
    <w:p>
      <w:pPr>
        <w:spacing w:after="240"/>
      </w:pPr>
      <w:r>
        <w:rPr>
          <w:sz w:val="24"/>
          <w:szCs w:val="24"/>
        </w:rPr>
        <w:t xml:space="preserve">Microservices architecture allows independent scaling of data collection, analysis, and prediction modules. Docker containerization enables cloud deployment on AWS, Azure, or GCP. Kubernetes orchestration supports automated scaling based on demand.</w:t>
      </w:r>
    </w:p>
    <w:p>
      <w:pPr>
        <w:pStyle w:val="Heading3"/>
        <w:spacing w:before="240"/>
      </w:pPr>
      <w:r>
        <w:t xml:space="preserve">Database Optimization</w:t>
      </w:r>
    </w:p>
    <w:p>
      <w:pPr>
        <w:spacing w:after="240"/>
      </w:pPr>
      <w:r>
        <w:rPr>
          <w:sz w:val="24"/>
          <w:szCs w:val="24"/>
        </w:rPr>
        <w:t xml:space="preserve">PostgreSQL with partitioning supports billions of records. TimescaleDB extension optimizes time-series queries. Redis caching reduces database load by 80%. Read replicas enable parallel query processing.</w:t>
      </w:r>
    </w:p>
    <w:p>
      <w:pPr>
        <w:pStyle w:val="Heading3"/>
        <w:spacing w:before="240"/>
      </w:pPr>
      <w:r>
        <w:t xml:space="preserve">ML Model Optimization</w:t>
      </w:r>
    </w:p>
    <w:p>
      <w:pPr>
        <w:spacing w:after="360"/>
      </w:pPr>
      <w:r>
        <w:rPr>
          <w:sz w:val="24"/>
          <w:szCs w:val="24"/>
        </w:rPr>
        <w:t xml:space="preserve">GPU acceleration via TensorFlow reduces training time by 10x. Model compression techniques enable edge deployment. Online learning allows continuous model improvement without full retraining. Model serving infrastructure supports 1000+ predictions per second.</w:t>
      </w:r>
    </w:p>
    <w:p>
      <w:r>
        <w:br w:type="page"/>
      </w:r>
    </w:p>
    <w:p>
      <w:pPr>
        <w:pStyle w:val="Heading1"/>
      </w:pPr>
      <w:r>
        <w:t xml:space="preserve">Security &amp; Compliance</w:t>
      </w:r>
    </w:p>
    <w:p>
      <w:pPr>
        <w:pStyle w:val="Heading2"/>
        <w:spacing w:before="360"/>
      </w:pPr>
      <w:r>
        <w:t xml:space="preserve">Data Protection</w:t>
      </w:r>
    </w:p>
    <w:p>
      <w:pPr>
        <w:spacing w:after="360"/>
      </w:pPr>
      <w:r>
        <w:rPr>
          <w:sz w:val="24"/>
          <w:szCs w:val="24"/>
        </w:rPr>
        <w:t xml:space="preserve">AES-256 encryption for data at rest. TLS 1.3 for data in transit. API keys stored in encrypted keystore with rotation policies. Database backups encrypted and stored securely.</w:t>
      </w:r>
    </w:p>
    <w:p>
      <w:pPr>
        <w:pStyle w:val="Heading2"/>
        <w:spacing w:before="360"/>
      </w:pPr>
      <w:r>
        <w:t xml:space="preserve">Access Control</w:t>
      </w:r>
    </w:p>
    <w:p>
      <w:pPr>
        <w:spacing w:after="360"/>
      </w:pPr>
      <w:r>
        <w:rPr>
          <w:sz w:val="24"/>
          <w:szCs w:val="24"/>
        </w:rPr>
        <w:t xml:space="preserve">Role-based access control (RBAC) with granular permissions. Multi-factor authentication for enterprise deployments. Audit logging tracks all data access and modifications. Session management with automatic timeout.</w:t>
      </w:r>
    </w:p>
    <w:p>
      <w:pPr>
        <w:pStyle w:val="Heading2"/>
        <w:spacing w:before="360"/>
      </w:pPr>
      <w:r>
        <w:t xml:space="preserve">Compliance Standards</w:t>
      </w:r>
    </w:p>
    <w:p>
      <w:pPr>
        <w:spacing w:after="360"/>
      </w:pPr>
      <w:r>
        <w:rPr>
          <w:sz w:val="24"/>
          <w:szCs w:val="24"/>
        </w:rPr>
        <w:t xml:space="preserve">GDPR compliant with data subject rights support. SOC 2 Type II audit trail. CCPA privacy requirements. Data retention policies configurable per regulation.</w:t>
      </w:r>
    </w:p>
    <w:p>
      <w:r>
        <w:br w:type="page"/>
      </w:r>
    </w:p>
    <w:p>
      <w:pPr>
        <w:pStyle w:val="Heading1"/>
      </w:pPr>
      <w:r>
        <w:t xml:space="preserve">Deployment Guide</w:t>
      </w:r>
    </w:p>
    <w:p>
      <w:pPr>
        <w:pStyle w:val="Heading2"/>
        <w:spacing w:before="360"/>
      </w:pPr>
      <w:r>
        <w:t xml:space="preserve">System Requirements</w:t>
      </w:r>
    </w:p>
    <w:p>
      <w:pPr>
        <w:spacing w:after="120"/>
      </w:pPr>
      <w:r>
        <w:rPr>
          <w:sz w:val="24"/>
          <w:szCs w:val="24"/>
        </w:rPr>
        <w:t xml:space="preserve">Operating System: Windows 10/11, Windows Server 2019+, Linux (Ubuntu 20.04+, RHEL 8+), macOS 11+</w:t>
      </w:r>
    </w:p>
    <w:p>
      <w:pPr>
        <w:spacing w:after="120"/>
      </w:pPr>
      <w:r>
        <w:rPr>
          <w:sz w:val="24"/>
          <w:szCs w:val="24"/>
        </w:rPr>
        <w:t xml:space="preserve">Hardware: 8 GB RAM minimum (16 GB recommended), 4 CPU cores, 10 GB storage, Internet connection</w:t>
      </w:r>
    </w:p>
    <w:p>
      <w:pPr>
        <w:spacing w:after="360"/>
      </w:pPr>
      <w:r>
        <w:rPr>
          <w:sz w:val="24"/>
          <w:szCs w:val="24"/>
        </w:rPr>
        <w:t xml:space="preserve">Software: PowerShell 5.1+ or PowerShell Core 7+, Python 3.10+, pip package manager</w:t>
      </w:r>
    </w:p>
    <w:p>
      <w:pPr>
        <w:pStyle w:val="Heading2"/>
        <w:spacing w:before="360"/>
      </w:pPr>
      <w:r>
        <w:t xml:space="preserve">Installation Steps</w:t>
      </w:r>
    </w:p>
    <w:p>
      <w:pPr>
        <w:spacing w:after="120"/>
      </w:pPr>
      <w:r>
        <w:rPr>
          <w:sz w:val="24"/>
          <w:szCs w:val="24"/>
        </w:rPr>
        <w:t xml:space="preserve">1. Extract system files to installation directory</w:t>
      </w:r>
    </w:p>
    <w:p>
      <w:pPr>
        <w:spacing w:after="120"/>
      </w:pPr>
      <w:r>
        <w:rPr>
          <w:sz w:val="24"/>
          <w:szCs w:val="24"/>
        </w:rPr>
        <w:t xml:space="preserve">2. Install Python dependencies: pip install -r requirements.txt --break-system-packages</w:t>
      </w:r>
    </w:p>
    <w:p>
      <w:pPr>
        <w:spacing w:after="120"/>
      </w:pPr>
      <w:r>
        <w:rPr>
          <w:sz w:val="24"/>
          <w:szCs w:val="24"/>
        </w:rPr>
        <w:t xml:space="preserve">3. Initialize database: python scripts/python/database_init.py</w:t>
      </w:r>
    </w:p>
    <w:p>
      <w:pPr>
        <w:spacing w:after="120"/>
      </w:pPr>
      <w:r>
        <w:rPr>
          <w:sz w:val="24"/>
          <w:szCs w:val="24"/>
        </w:rPr>
        <w:t xml:space="preserve">4. Configure system: Edit config/clearglassinc.json with your settings</w:t>
      </w:r>
    </w:p>
    <w:p>
      <w:pPr>
        <w:spacing w:after="360"/>
      </w:pPr>
      <w:r>
        <w:rPr>
          <w:sz w:val="24"/>
          <w:szCs w:val="24"/>
        </w:rPr>
        <w:t xml:space="preserve">5. Test installation: Run sample pipeline</w:t>
      </w:r>
    </w:p>
    <w:p>
      <w:pPr>
        <w:pStyle w:val="Heading2"/>
        <w:spacing w:before="360"/>
      </w:pPr>
      <w:r>
        <w:t xml:space="preserve">Configuration Options</w:t>
      </w:r>
    </w:p>
    <w:p>
      <w:pPr>
        <w:spacing w:after="360"/>
      </w:pPr>
      <w:r>
        <w:rPr>
          <w:sz w:val="24"/>
          <w:szCs w:val="24"/>
        </w:rPr>
        <w:t xml:space="preserve">The configuration file supports extensive customization including data sources, analysis parameters, ML models, reporting formats, security settings, and performance tuning. See README.md for complete configuration reference.</w:t>
      </w:r>
    </w:p>
    <w:p>
      <w:r>
        <w:br w:type="page"/>
      </w:r>
    </w:p>
    <w:p>
      <w:pPr>
        <w:pStyle w:val="Heading1"/>
      </w:pPr>
      <w:r>
        <w:t xml:space="preserve">Commercial Product Information</w:t>
      </w:r>
    </w:p>
    <w:p>
      <w:pPr>
        <w:pStyle w:val="Heading2"/>
        <w:spacing w:before="360"/>
      </w:pPr>
      <w:r>
        <w:t xml:space="preserve">Licensing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License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Professional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features, single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Annual subscription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features, unlimited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Perpetual license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source code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One-time purchase</w:t>
            </w:r>
          </w:p>
        </w:tc>
      </w:tr>
    </w:tbl>
    <w:p>
      <w:pPr>
        <w:pStyle w:val="Heading2"/>
        <w:spacing w:before="480"/>
      </w:pPr>
      <w:r>
        <w:t xml:space="preserve">Enterprise Services</w:t>
      </w:r>
    </w:p>
    <w:p>
      <w:pPr>
        <w:spacing w:after="240"/>
      </w:pPr>
      <w:r>
        <w:rPr>
          <w:sz w:val="24"/>
          <w:szCs w:val="24"/>
        </w:rPr>
        <w:t xml:space="preserve">Clearglassinc offers comprehensive enterprise services:</w:t>
      </w:r>
    </w:p>
    <w:p>
      <w:pPr>
        <w:spacing w:after="120"/>
        <w:ind w:left="720"/>
      </w:pPr>
      <w:r>
        <w:rPr>
          <w:sz w:val="24"/>
          <w:szCs w:val="24"/>
        </w:rPr>
        <w:t xml:space="preserve">• Custom Integration: API development, data source integration, system connectors</w:t>
      </w:r>
    </w:p>
    <w:p>
      <w:pPr>
        <w:spacing w:after="120"/>
        <w:ind w:left="720"/>
      </w:pPr>
      <w:r>
        <w:rPr>
          <w:sz w:val="24"/>
          <w:szCs w:val="24"/>
        </w:rPr>
        <w:t xml:space="preserve">• Training Programs: On-site training, video tutorials, documentation workshops</w:t>
      </w:r>
    </w:p>
    <w:p>
      <w:pPr>
        <w:spacing w:after="120"/>
        <w:ind w:left="720"/>
      </w:pPr>
      <w:r>
        <w:rPr>
          <w:sz w:val="24"/>
          <w:szCs w:val="24"/>
        </w:rPr>
        <w:t xml:space="preserve">• Support Plans: 24/7 support, dedicated account manager, priority bug fixes</w:t>
      </w:r>
    </w:p>
    <w:p>
      <w:pPr>
        <w:spacing w:after="120"/>
        <w:ind w:left="720"/>
      </w:pPr>
      <w:r>
        <w:rPr>
          <w:sz w:val="24"/>
          <w:szCs w:val="24"/>
        </w:rPr>
        <w:t xml:space="preserve">• Customization: Industry-specific models, custom reporting, branded deployments</w:t>
      </w:r>
    </w:p>
    <w:p>
      <w:pPr>
        <w:spacing w:after="360"/>
        <w:ind w:left="720"/>
      </w:pPr>
      <w:r>
        <w:rPr>
          <w:sz w:val="24"/>
          <w:szCs w:val="24"/>
        </w:rPr>
        <w:t xml:space="preserve">• Managed Services: Fully managed deployment, updates, monitoring, and maintenance</w:t>
      </w:r>
    </w:p>
    <w:p>
      <w:pPr>
        <w:pStyle w:val="Heading2"/>
        <w:spacing w:before="480"/>
      </w:pPr>
      <w:r>
        <w:t xml:space="preserve">Contact Information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Clearglassinc Sales Team</w:t>
      </w:r>
    </w:p>
    <w:p>
      <w:pPr>
        <w:spacing w:after="120"/>
      </w:pPr>
      <w:r>
        <w:rPr>
          <w:sz w:val="24"/>
          <w:szCs w:val="24"/>
        </w:rPr>
        <w:t xml:space="preserve">Email: sales@clearglassinc.com</w:t>
      </w:r>
    </w:p>
    <w:p>
      <w:pPr>
        <w:spacing w:after="120"/>
      </w:pPr>
      <w:r>
        <w:rPr>
          <w:sz w:val="24"/>
          <w:szCs w:val="24"/>
        </w:rPr>
        <w:t xml:space="preserve">Phone: 1-800-CLEARGLASS</w:t>
      </w:r>
    </w:p>
    <w:p>
      <w:pPr>
        <w:spacing w:after="360"/>
      </w:pPr>
      <w:r>
        <w:rPr>
          <w:sz w:val="24"/>
          <w:szCs w:val="24"/>
        </w:rPr>
        <w:t xml:space="preserve">Website: https://www.clearglassinc.com</w:t>
      </w:r>
    </w:p>
    <w:p>
      <w:r>
        <w:br w:type="pag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Clearglassinc Aerospace Intelligence System v5.0.0 | </w:t>
    </w:r>
    <w:r>
      <w:rPr>
        <w:color w:val="999999"/>
        <w:sz w:val="18"/>
        <w:szCs w:val="18"/>
      </w:rPr>
      <w:t xml:space="preserve">© 2025-2030 Clearglassinc. All Rights Reserved. | 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00A86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2026-02-05T07:19:14.448Z</dcterms:created>
  <dcterms:modified xsi:type="dcterms:W3CDTF">2026-02-05T07:19:14.448Z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