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272F0">
      <w:pPr>
        <w:pStyle w:val="31"/>
        <w:rPr>
          <w:rFonts w:ascii="Noto Sans CJK SC" w:hAnsi="Noto Sans CJK SC" w:eastAsia="Noto Sans CJK SC" w:cs="Noto Sans CJK SC"/>
          <w:lang w:val="en-US" w:eastAsia="zh-CN"/>
        </w:rPr>
      </w:pPr>
      <w:r>
        <w:rPr>
          <w:rFonts w:ascii="Noto Sans CJK SC" w:hAnsi="Noto Sans CJK SC" w:eastAsia="Noto Sans CJK SC" w:cs="Noto Sans CJK SC"/>
          <w:lang w:val="en-US" w:eastAsia="zh-CN"/>
        </w:rPr>
        <w:t>巨复杂模型的简约模型控制问题</w:t>
      </w:r>
    </w:p>
    <w:p w14:paraId="71E582B8">
      <w:pPr>
        <w:rPr>
          <w:rFonts w:ascii="Noto Sans CJK SC" w:hAnsi="Noto Sans CJK SC" w:eastAsia="Noto Sans CJK SC" w:cs="Noto Sans CJK SC"/>
          <w:b/>
          <w:bCs/>
          <w:color w:val="FF0000"/>
          <w:lang w:val="en-US" w:eastAsia="zh-CN"/>
        </w:rPr>
      </w:pPr>
    </w:p>
    <w:p w14:paraId="0E68FC1B">
      <w:pPr>
        <w:keepNext w:val="0"/>
        <w:keepLines w:val="0"/>
        <w:widowControl/>
        <w:suppressLineNumbers w:val="0"/>
        <w:jc w:val="left"/>
        <w:rPr>
          <w:b/>
          <w:bCs/>
          <w:color w:val="FF0000"/>
        </w:rPr>
      </w:pPr>
      <w:r>
        <w:rPr>
          <w:rFonts w:ascii="宋体" w:hAnsi="宋体" w:eastAsia="宋体" w:cs="宋体"/>
          <w:b/>
          <w:bCs/>
          <w:color w:val="FF0000"/>
          <w:kern w:val="0"/>
          <w:sz w:val="24"/>
          <w:szCs w:val="24"/>
          <w:lang w:val="en-US" w:eastAsia="zh-CN" w:bidi="ar"/>
        </w:rPr>
        <w:t>面向高自由度机器人，在有限在线算力下，根据当前状态、模型误差和计算预算，实时调整 reduced model 的精度/复杂度，用于姿态、质心或动量稳定补偿。</w:t>
      </w:r>
    </w:p>
    <w:p w14:paraId="6FE3E105">
      <w:pPr>
        <w:rPr>
          <w:rFonts w:ascii="Noto Sans CJK SC" w:hAnsi="Noto Sans CJK SC" w:eastAsia="Noto Sans CJK SC" w:cs="Noto Sans CJK SC"/>
          <w:lang w:val="en-US" w:eastAsia="zh-CN"/>
        </w:rPr>
      </w:pPr>
      <w:bookmarkStart w:id="0" w:name="_GoBack"/>
      <w:bookmarkEnd w:id="0"/>
    </w:p>
    <w:p w14:paraId="2C294414">
      <w:pPr>
        <w:rPr>
          <w:rFonts w:ascii="Noto Sans CJK SC" w:hAnsi="Noto Sans CJK SC" w:eastAsia="Noto Sans CJK SC" w:cs="Noto Sans CJK SC"/>
          <w:lang w:val="en-US" w:eastAsia="zh-CN"/>
        </w:rPr>
      </w:pPr>
    </w:p>
    <w:p w14:paraId="48080263">
      <w:r>
        <w:rPr>
          <w:rFonts w:ascii="Times New Roman" w:hAnsi="Times New Roman" w:eastAsia="Noto Serif CJK SC" w:cs="Times New Roman"/>
          <w:lang w:val="en-US" w:eastAsia="zh-CN"/>
        </w:rPr>
        <w:t>调研报告    预测型与反应型用途及 Reduced Model 方法    2026年9月</w:t>
      </w:r>
    </w:p>
    <w:p w14:paraId="5743CF53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1  研究定位与核心判断</w:t>
      </w:r>
    </w:p>
    <w:p w14:paraId="3EE3EBAF">
      <w:r>
        <w:rPr>
          <w:rFonts w:ascii="Times New Roman" w:hAnsi="Times New Roman" w:eastAsia="Noto Serif CJK SC" w:cs="Times New Roman"/>
          <w:lang w:val="en-US" w:eastAsia="zh-CN"/>
        </w:rPr>
        <w:t>面向高自由度、多接触、强耦合机器人，简约模型控制的核心问题是：在给定计算预算和控制周期内，保留哪些动力学信息，才能完成运动任务并维持可接受的约束满足程度。模型维度、预测精度和求解速度都服务于闭环控制效果，不能单独作为模型优劣的判据。</w:t>
      </w:r>
    </w:p>
    <w:p w14:paraId="6ECF525F">
      <w:r>
        <w:rPr>
          <w:rFonts w:ascii="Times New Roman" w:hAnsi="Times New Roman" w:eastAsia="Noto Serif CJK SC" w:cs="Times New Roman"/>
          <w:lang w:val="en-US" w:eastAsia="zh-CN"/>
        </w:rPr>
        <w:t>结合三足机器人运动补偿这一应用线索，建议采用“简约模型预测规划与快速反馈执行相结合”的研究架构。预测层处理未来接触、运动趋势与约束；反馈层利用当前估计状态跟踪计划、抑制扰动，并在规划失败时执行预设回退策略。首个研究问题可聚焦于固定在线预算下的模型复杂度选择，随后再扩展到预测时域与在线更新。</w:t>
      </w:r>
    </w:p>
    <w:p w14:paraId="3A4DA81B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1.1  调研对象与术语边界</w:t>
      </w:r>
    </w:p>
    <w:p w14:paraId="4777826F">
      <w:r>
        <w:rPr>
          <w:rFonts w:ascii="Times New Roman" w:hAnsi="Times New Roman" w:eastAsia="Noto Serif CJK SC" w:cs="Times New Roman"/>
          <w:lang w:val="en-US" w:eastAsia="zh-CN"/>
        </w:rPr>
        <w:t>本文将“巨复杂模型”理解为因维度、非线性、接触切换、耦合或求解成本而难以直接用于实时控制的全阶动力学模型。这里的“巨复杂”是问题描述；检索文献宜使用 reduced-order modeling、model reduction、reduced-order MPC、computation-aware control 等术语。[1–3]</w:t>
      </w:r>
    </w:p>
    <w:p w14:paraId="31384ABE">
      <w:r>
        <w:rPr>
          <w:rFonts w:ascii="Times New Roman" w:hAnsi="Times New Roman" w:eastAsia="Noto Serif CJK SC" w:cs="Times New Roman"/>
          <w:lang w:val="en-US" w:eastAsia="zh-CN"/>
        </w:rPr>
        <w:t>Reduced model 是较宽的概念，既包括质心动力学、单刚体、倒立摆等物理简化，也包括 POD、平衡截断等数学降阶，以及算子推断、稀疏辨识和低维潜空间动力学。策略压缩或模仿学习减少的是控制策略的计算量；若没有状态演化模型，不应直接称为动力学降阶。</w:t>
      </w:r>
    </w:p>
    <w:p w14:paraId="6F1921A8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1.2  文档结构与阅读顺序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6633"/>
      </w:tblGrid>
      <w:tr w14:paraId="327017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A3FDA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章节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26F7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回答的问题</w:t>
            </w:r>
          </w:p>
        </w:tc>
      </w:tr>
      <w:tr w14:paraId="3E10B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1E5E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第2章 用途划分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6A52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预测型和反应型分别需要模型保留什么</w:t>
            </w:r>
          </w:p>
        </w:tc>
      </w:tr>
      <w:tr w14:paraId="5241F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98875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第3章 机器人物理简化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74BC8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质心 SRBD LIPM 的差异及适用条件</w:t>
            </w:r>
          </w:p>
        </w:tc>
      </w:tr>
      <w:tr w14:paraId="644469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7C4C3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第4章 通用降阶方法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F0A0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投影 输入输出 数据驱动方法如何选</w:t>
            </w:r>
          </w:p>
        </w:tc>
      </w:tr>
      <w:tr w14:paraId="0A68D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1E388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第5章 控制架构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840C3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简约模型如何连接规划 反馈和执行</w:t>
            </w:r>
          </w:p>
        </w:tc>
      </w:tr>
      <w:tr w14:paraId="5CD249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593D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第6章 计算预算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4B0557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怎样公平比较模型和控制器</w:t>
            </w:r>
          </w:p>
        </w:tc>
      </w:tr>
      <w:tr w14:paraId="200672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FD1D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第7章 研究切入与实验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4F5D0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如何形成可验证的问题与最小实验</w:t>
            </w:r>
          </w:p>
        </w:tc>
      </w:tr>
      <w:tr w14:paraId="50259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2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5CAD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第8章 文献阅读</w:t>
            </w:r>
          </w:p>
        </w:tc>
        <w:tc>
          <w:tcPr>
            <w:tcW w:w="6633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83C37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代表文献及其用途</w:t>
            </w:r>
          </w:p>
        </w:tc>
      </w:tr>
    </w:tbl>
    <w:p w14:paraId="24E88534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333C1896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2  预测型与反应型的用途划分</w:t>
      </w:r>
    </w:p>
    <w:p w14:paraId="2C8B7D1B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2.1  预测型控制的用途</w:t>
      </w:r>
    </w:p>
    <w:p w14:paraId="5FED7D87">
      <w:r>
        <w:rPr>
          <w:rFonts w:ascii="Times New Roman" w:hAnsi="Times New Roman" w:eastAsia="Noto Serif CJK SC" w:cs="Times New Roman"/>
          <w:lang w:val="en-US" w:eastAsia="zh-CN"/>
        </w:rPr>
        <w:t>预测型控制在决策时显式计算未来状态或输出，利用未来代价和约束选择当前动作。MPC 是代表方法：每次获取状态估计后，在有限时域内优化控制序列，只执行第一步，再根据新观测重新求解。因此，MPC 本身也是反馈控制，并非开环规划的同义词。[2]</w:t>
      </w:r>
    </w:p>
    <w:p w14:paraId="62CAF8BB">
      <w:r>
        <w:rPr>
          <w:rFonts w:ascii="Times New Roman" w:hAnsi="Times New Roman" w:eastAsia="Noto Serif CJK SC" w:cs="Times New Roman"/>
          <w:lang w:val="en-US" w:eastAsia="zh-CN"/>
        </w:rPr>
        <w:t>在机器人中，预测型方法适合提前协调落脚位置、接触力、质心运动和姿态，处理即将发生的支撑切换、执行器饱和及狭窄可行域。所需模型应能在候选控制输入下预测任务相关状态，并正确反映输入对未来约束的影响。仅能拟合一条已有轨迹的模型通常不够。</w:t>
      </w:r>
    </w:p>
    <w:p w14:paraId="038BF9C2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2.2  反应型控制的用途</w:t>
      </w:r>
    </w:p>
    <w:p w14:paraId="2C145295">
      <w:r>
        <w:rPr>
          <w:rFonts w:ascii="Times New Roman" w:hAnsi="Times New Roman" w:eastAsia="Noto Serif CJK SC" w:cs="Times New Roman"/>
          <w:lang w:val="en-US" w:eastAsia="zh-CN"/>
        </w:rPr>
        <w:t>本文把主要根据当前或短历史观测、在线不显式展开多步优化的控制实现称为反应型。典型形式包括 PD/PID、状态反馈、阻抗控制及直接输出动作的策略。它可以包含观测器、内部状态和前馈项，也可以使用精细动力学；“反应型”不等于无模型，更不意味着只能在越过阈值后才动作。</w:t>
      </w:r>
    </w:p>
    <w:p w14:paraId="47FAB272">
      <w:r>
        <w:rPr>
          <w:rFonts w:ascii="Times New Roman" w:hAnsi="Times New Roman" w:eastAsia="Noto Serif CJK SC" w:cs="Times New Roman"/>
          <w:lang w:val="en-US" w:eastAsia="zh-CN"/>
        </w:rPr>
        <w:t>反应型控制适合高频跟踪、接触力调节和扰动抑制。与它配套的简约模型主要用于反馈增益设计、任务空间映射、状态估计和局部稳定性分析。模型应保留可控性、可观性、相位与关键耦合，而不必在所有状态上都具有长期预测精度。[3]</w:t>
      </w:r>
    </w:p>
    <w:p w14:paraId="6B6AE482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2.3  两类用途的直接对照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3969"/>
        <w:gridCol w:w="3969"/>
      </w:tblGrid>
      <w:tr w14:paraId="04C6A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61B6A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比较维度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12CD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预测型用途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D51B28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反应型用途</w:t>
            </w:r>
          </w:p>
        </w:tc>
      </w:tr>
      <w:tr w14:paraId="7DE4AB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752AF0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主要问题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74B47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当前动作对未来有什么影响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62EDA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当前偏差如何及时纠正</w:t>
            </w:r>
          </w:p>
        </w:tc>
      </w:tr>
      <w:tr w14:paraId="33F12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B32D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模型角色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2AAF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滚动预测与约束优化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92AC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反馈设计 观测 前馈补偿</w:t>
            </w:r>
          </w:p>
        </w:tc>
      </w:tr>
      <w:tr w14:paraId="19FBA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FD41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优先保留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6EBE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多步输入响应 接触事件 约束输出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F34E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关键模态 局部增益 相位及耦合</w:t>
            </w:r>
          </w:p>
        </w:tc>
      </w:tr>
      <w:tr w14:paraId="63FE7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BC17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典型方法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0FC5B7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ROM-MPC 质心MPC SRBD-MPC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B32CB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降阶状态反馈 阻抗 局部模型补偿</w:t>
            </w:r>
          </w:p>
        </w:tc>
      </w:tr>
      <w:tr w14:paraId="40E8CE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B4FA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主要风险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881F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滚动误差 求解超时 计划不可执行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4DA429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未建模动态 饱和 延迟 稳定裕度不足</w:t>
            </w:r>
          </w:p>
        </w:tc>
      </w:tr>
      <w:tr w14:paraId="1FAA8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13EA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验证重点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180A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闭环代价 可行性 预测时域与时延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E6FC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扰动恢复 频率响应 鲁棒性与时延</w:t>
            </w:r>
          </w:p>
        </w:tc>
      </w:tr>
    </w:tbl>
    <w:p w14:paraId="7E408169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2.4  用途与方法不是一一对应</w:t>
      </w:r>
    </w:p>
    <w:p w14:paraId="3873B8E6">
      <w:r>
        <w:rPr>
          <w:rFonts w:ascii="Times New Roman" w:hAnsi="Times New Roman" w:eastAsia="Noto Serif CJK SC" w:cs="Times New Roman"/>
          <w:lang w:val="en-US" w:eastAsia="zh-CN"/>
        </w:rPr>
        <w:t>同一个低维状态空间模型既能进入 MPC，也能用于 LQR 或观测器。相反，同一预测控制器可以使用物理简化模型或学习模型。用途决定保留信息的标准，建模方法决定如何获得这些信息；不能据方法名称直接判定它只属于预测型或反应型。</w:t>
      </w:r>
    </w:p>
    <w:p w14:paraId="69175FD9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5320A069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3  机器人领域的物理简约模型</w:t>
      </w:r>
    </w:p>
    <w:p w14:paraId="5B48CEF5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3.1  全身模型与质心动力学</w:t>
      </w:r>
    </w:p>
    <w:p w14:paraId="4E3ED36C">
      <w:r>
        <w:rPr>
          <w:rFonts w:ascii="Times New Roman" w:hAnsi="Times New Roman" w:eastAsia="Noto Serif CJK SC" w:cs="Times New Roman"/>
          <w:lang w:val="en-US" w:eastAsia="zh-CN"/>
        </w:rPr>
        <w:t>全身模型描述浮动基座、各关节、驱动和接触之间的关系。若“21自由度”指21个驱动关节，浮动基座还需额外的位姿和速度变量；若它已包含基座，则维度计算不同。计算难度还取决于接触序列是否待优化、约束形式及求解器，不能仅凭自由度断定全身控制不可实时运行。[1]</w:t>
      </w:r>
    </w:p>
    <w:p w14:paraId="2606C5B3">
      <w:r>
        <w:rPr>
          <w:rFonts w:ascii="Times New Roman" w:hAnsi="Times New Roman" w:eastAsia="Noto Serif CJK SC" w:cs="Times New Roman"/>
          <w:lang w:val="en-US" w:eastAsia="zh-CN"/>
        </w:rPr>
        <w:t>质心动力学聚合总线动量和总角动量，用外部接触合力与合力矩描述其变化。该动量平衡关系本身可由全身动力学精确导出；简化来自只保留聚合变量，并对构型依赖、运动学或可执行性作进一步处理。质心计划仍需全身运动与驱动力分配，才能验证关节、碰撞及接触约束。[4]</w:t>
      </w:r>
    </w:p>
    <w:p w14:paraId="4423CD61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3.2  单刚体模型与线性倒立摆</w:t>
      </w:r>
    </w:p>
    <w:p w14:paraId="266D1E4E">
      <w:r>
        <w:rPr>
          <w:rFonts w:ascii="Times New Roman" w:hAnsi="Times New Roman" w:eastAsia="Noto Serif CJK SC" w:cs="Times New Roman"/>
          <w:lang w:val="en-US" w:eastAsia="zh-CN"/>
        </w:rPr>
        <w:t>单刚体动力学模型 SRBD 将主体作为一个刚体，通常弱化或忽略肢体惯性贡献。结合已知接触时序和适当线性化，它可形成用于接触力规划的高效优化问题。MIT Cheetah 3 的凸 MPC 是代表实例；其性能依赖具体建模、接触和执行条件，不能直接外推到其他结构机器人。[5]</w:t>
      </w:r>
    </w:p>
    <w:p w14:paraId="43AFF2DA">
      <w:r>
        <w:rPr>
          <w:rFonts w:ascii="Times New Roman" w:hAnsi="Times New Roman" w:eastAsia="Noto Serif CJK SC" w:cs="Times New Roman"/>
          <w:lang w:val="en-US" w:eastAsia="zh-CN"/>
        </w:rPr>
        <w:t>常见恒高 LIPM 进一步简化质心运动，依赖重力支撑、近似恒定质心高度及角动量变化受限等条件。它适合部分步行和平衡任务，但不适合直接描述显著高度变化、强烈姿态耦合或失重自由漂浮。选用该模型前，必须先检查任务是否满足假设。[1]</w:t>
      </w:r>
    </w:p>
    <w:p w14:paraId="4A027907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3.3  方法选择矩阵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2494"/>
        <w:gridCol w:w="2835"/>
        <w:gridCol w:w="2835"/>
      </w:tblGrid>
      <w:tr w14:paraId="03C3C5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D32F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模型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0FCD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主要保留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77CF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预测与反馈用途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F5D9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关键限制</w:t>
            </w:r>
          </w:p>
        </w:tc>
      </w:tr>
      <w:tr w14:paraId="0B12B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D818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质心模型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24445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质心与总动量 外部接触作用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D6419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动量规划 受力分配 反馈调节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2BDAA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需补充构型和全身可实现性</w:t>
            </w:r>
          </w:p>
        </w:tc>
      </w:tr>
      <w:tr w14:paraId="56725F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9ACB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SRBD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BEB3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主体平移 转动 接触力矩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61F3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接触力MPC 姿态反馈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E692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大幅肢体运动时惯性误差可能增大</w:t>
            </w:r>
          </w:p>
        </w:tc>
      </w:tr>
      <w:tr w14:paraId="4CB264C3"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165BD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LIPM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0337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简化的水平质心动态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BAC7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落脚规划 捕获与平衡反馈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4B5D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恒高 重力支撑等前提较强</w:t>
            </w:r>
          </w:p>
        </w:tc>
      </w:tr>
      <w:tr w14:paraId="081772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C3B3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局部线性模型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0254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工作点附近输入输出响应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EBCB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线性MPC LQR 观测器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B3ACC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有效域有限 切换需处理</w:t>
            </w:r>
          </w:p>
        </w:tc>
      </w:tr>
      <w:tr w14:paraId="61D04D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0A8880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分段或多模型</w:t>
            </w:r>
          </w:p>
        </w:tc>
        <w:tc>
          <w:tcPr>
            <w:tcW w:w="249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E867A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多个接触或工况下的局部动态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D72D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分模式规划与增益调度</w:t>
            </w:r>
          </w:p>
        </w:tc>
        <w:tc>
          <w:tcPr>
            <w:tcW w:w="283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95DB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模式识别和切换一致性</w:t>
            </w:r>
          </w:p>
        </w:tc>
      </w:tr>
    </w:tbl>
    <w:p w14:paraId="62D0C110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3.4  三足与空间场景的特殊性</w:t>
      </w:r>
    </w:p>
    <w:p w14:paraId="671F33DB">
      <w:r>
        <w:rPr>
          <w:rFonts w:ascii="Times New Roman" w:hAnsi="Times New Roman" w:eastAsia="Noto Serif CJK SC" w:cs="Times New Roman"/>
          <w:lang w:val="en-US" w:eastAsia="zh-CN"/>
        </w:rPr>
        <w:t>三个足端不意味着始终存在二维支撑多边形；单足、双足、窄梁及抓附接触的可行受力集合不同。空间机器人还应区分有支撑运动与自由漂浮运动：无外部力矩时，内部关节运动不能改变系统总角动量，但能通过耦合改变各部分姿态。此时需要保留基座与肢体的动量交换，不能照搬地面 LIPM。</w:t>
      </w:r>
    </w:p>
    <w:p w14:paraId="16F67092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1676FDDF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4  通用 Reduced Model 方法及用途映射</w:t>
      </w:r>
    </w:p>
    <w:p w14:paraId="1CC5BBFD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4.1  投影降阶与超降阶</w:t>
      </w:r>
    </w:p>
    <w:p w14:paraId="1620F5A3">
      <w:r>
        <w:rPr>
          <w:rFonts w:ascii="Times New Roman" w:hAnsi="Times New Roman" w:eastAsia="Noto Serif CJK SC" w:cs="Times New Roman"/>
          <w:lang w:val="en-US" w:eastAsia="zh-CN"/>
        </w:rPr>
        <w:t>POD 从状态快照提取低维基，Galerkin 或 Petrov–Galerkin 投影再构造低维动力学。POD 优先保留所选范数下的快照能量，但低能量模态也可能对控制输入、传感输出或失稳起重要作用。因此，重构误差低不自动保证控制效果好，应以任务输出和闭环验证补足。[3]</w:t>
      </w:r>
    </w:p>
    <w:p w14:paraId="6FE451A7">
      <w:r>
        <w:rPr>
          <w:rFonts w:ascii="Times New Roman" w:hAnsi="Times New Roman" w:eastAsia="Noto Serif CJK SC" w:cs="Times New Roman"/>
          <w:lang w:val="en-US" w:eastAsia="zh-CN"/>
        </w:rPr>
        <w:t>非线性系统即使降低了状态维度，计算非线性项仍可能依赖全阶维度。DEIM 等超降阶方法通过选择性采样和近似降低这部分开销。它解决的是算子求值成本，而非单纯减少状态数量；导数、约束及重构成本也必须一并计入。[6]</w:t>
      </w:r>
    </w:p>
    <w:p w14:paraId="56F54E94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4.2  面向输入输出的降阶</w:t>
      </w:r>
    </w:p>
    <w:p w14:paraId="1BACA0F0">
      <w:r>
        <w:rPr>
          <w:rFonts w:ascii="Times New Roman" w:hAnsi="Times New Roman" w:eastAsia="Noto Serif CJK SC" w:cs="Times New Roman"/>
          <w:lang w:val="en-US" w:eastAsia="zh-CN"/>
        </w:rPr>
        <w:t>平衡截断依据可控性和可观性保留输入输出重要方向，适合线性模型的预测、反馈和观测器设计。经典稳定性与误差界具有稳定线性系统等前提；对不稳定或非线性系统需专门扩展。Balanced POD 通过正向及伴随快照近似平衡降阶，适合大型系统，但所需数据与算子接口更多。[3]</w:t>
      </w:r>
    </w:p>
    <w:p w14:paraId="15BED280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4.3  数据驱动动力学模型</w:t>
      </w:r>
    </w:p>
    <w:p w14:paraId="387E6DED">
      <w:r>
        <w:rPr>
          <w:rFonts w:ascii="Times New Roman" w:hAnsi="Times New Roman" w:eastAsia="Noto Serif CJK SC" w:cs="Times New Roman"/>
          <w:lang w:val="en-US" w:eastAsia="zh-CN"/>
        </w:rPr>
        <w:t>算子推断 OpInf 在低维坐标中从数据识别动力学算子，适合全阶仿真可调用、内部算子难以获取的情况。SINDYc 则在含输入的候选函数库中寻找稀疏动力学。两者都应使用具有足够输入激励的数据，并验证闭环会访问的工况；稀疏或低维结构本身不保证稳定。[7,8]</w:t>
      </w:r>
    </w:p>
    <w:p w14:paraId="499B1462">
      <w:r>
        <w:rPr>
          <w:rFonts w:ascii="Times New Roman" w:hAnsi="Times New Roman" w:eastAsia="Noto Serif CJK SC" w:cs="Times New Roman"/>
          <w:lang w:val="en-US" w:eastAsia="zh-CN"/>
        </w:rPr>
        <w:t>Koopman/EDMD 将状态映射到特征空间，拟合近似线性预测器，便于使用线性优化。特征空间可能升维，所以它不天然是“降维”，是否降计算成本要看特征数量、约束表示和求解开销。自编码器方法用非线性低维流形表示状态，还需构造潜空间动态，并计入编码、解码与导数成本。[9,10]</w:t>
      </w:r>
    </w:p>
    <w:p w14:paraId="5FB6024D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4.4  通用方法的选择原则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3175"/>
        <w:gridCol w:w="3288"/>
      </w:tblGrid>
      <w:tr w14:paraId="42E66D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FC11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已有条件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3609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优先考虑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F80FB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主要检查</w:t>
            </w:r>
          </w:p>
        </w:tc>
      </w:tr>
      <w:tr w14:paraId="5135E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AC37C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明确机器人结构与受力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5E4A59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物理简化和局部线性模型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967FD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关键耦合是否被删 计划能否执行</w:t>
            </w:r>
          </w:p>
        </w:tc>
      </w:tr>
      <w:tr w14:paraId="6730F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E69DCA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有高维状态和算子接口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41E9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POD加投影 必要时加超降阶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9F950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闭环相关模态及真实算子成本</w:t>
            </w:r>
          </w:p>
        </w:tc>
      </w:tr>
      <w:tr w14:paraId="6C8AE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62358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线性输入输出关系关键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79CA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平衡截断或Balanced POD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8C30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稳定性前提与传感执行器覆盖</w:t>
            </w:r>
          </w:p>
        </w:tc>
      </w:tr>
      <w:tr w14:paraId="02D42E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FC471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只有受控仿真或实验数据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83B6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OpInf SINDYc Koopman预测器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F2CEF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输入激励 预测稳定性 外推</w:t>
            </w:r>
          </w:p>
        </w:tc>
      </w:tr>
      <w:tr w14:paraId="59E750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B550EE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线性低维表示明显不足</w:t>
            </w:r>
          </w:p>
        </w:tc>
        <w:tc>
          <w:tcPr>
            <w:tcW w:w="317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2D3A0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非线性流形或残差模型</w:t>
            </w:r>
          </w:p>
        </w:tc>
        <w:tc>
          <w:tcPr>
            <w:tcW w:w="328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85C8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数据与训练成本 在线导数成本</w:t>
            </w:r>
          </w:p>
        </w:tc>
      </w:tr>
    </w:tbl>
    <w:p w14:paraId="6957EBBD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51247310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5  从简约模型到闭环控制</w:t>
      </w:r>
    </w:p>
    <w:p w14:paraId="0B8F1D6A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5.1  预测层与反馈层的接口</w:t>
      </w:r>
    </w:p>
    <w:p w14:paraId="58BE4817">
      <w:r>
        <w:rPr>
          <w:rFonts w:ascii="Times New Roman" w:hAnsi="Times New Roman" w:eastAsia="Noto Serif CJK SC" w:cs="Times New Roman"/>
          <w:lang w:val="en-US" w:eastAsia="zh-CN"/>
        </w:rPr>
        <w:t>推荐的信号链为：传感与状态估计 → 简约模型预测与优化 → 质心、姿态、足端或接触力参考 → 全身分配与快速反馈 → 机器人。实际观测再返回估计器和预测层。规划变量必须映射为底层可执行量，例如把期望接触力转为满足动力学与驱动约束的关节力矩。[1,4,5]</w:t>
      </w:r>
    </w:p>
    <w:p w14:paraId="359E0799">
      <w:r>
        <w:rPr>
          <w:rFonts w:ascii="Times New Roman" w:hAnsi="Times New Roman" w:eastAsia="Noto Serif CJK SC" w:cs="Times New Roman"/>
          <w:lang w:val="en-US" w:eastAsia="zh-CN"/>
        </w:rPr>
        <w:t>全身控制 WBC 通常是任务协调和执行框架，可采用当前时刻的逆动力学优化，也可与预测控制结合。它不必是低阶模型，也不宜简单等同于反应型控制。上层是否预测与下层是否使用全身动力学属于两个不同设计选择。</w:t>
      </w:r>
    </w:p>
    <w:p w14:paraId="737F671D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5.2  简约模型误差如何影响控制</w:t>
      </w:r>
    </w:p>
    <w:p w14:paraId="69702760">
      <w:pPr>
        <w:pStyle w:val="5"/>
      </w:pPr>
      <w:r>
        <w:rPr>
          <w:rFonts w:ascii="Noto Sans CJK SC" w:hAnsi="Noto Sans CJK SC" w:eastAsia="Noto Sans CJK SC" w:cs="Noto Sans CJK SC"/>
          <w:lang w:val="en-US" w:eastAsia="zh-CN"/>
        </w:rPr>
        <w:t>5.2.1  预测误差与约束误差</w:t>
      </w:r>
    </w:p>
    <w:p w14:paraId="33532A77">
      <w:r>
        <w:rPr>
          <w:rFonts w:ascii="Times New Roman" w:hAnsi="Times New Roman" w:eastAsia="Noto Serif CJK SC" w:cs="Times New Roman"/>
          <w:lang w:val="en-US" w:eastAsia="zh-CN"/>
        </w:rPr>
        <w:t>模型可能准确预测质心轨迹，却错误预测接触力、关节可达性或姿态变化；优化器就可能选择现实中无法执行的动作。验证应覆盖任务输出、约束输出和输入响应，而不只报告全状态均方误差。训练时固定输入下的开环精度也不能代替闭环验证。</w:t>
      </w:r>
    </w:p>
    <w:p w14:paraId="301FE2CE">
      <w:pPr>
        <w:pStyle w:val="5"/>
      </w:pPr>
      <w:r>
        <w:rPr>
          <w:rFonts w:ascii="Noto Sans CJK SC" w:hAnsi="Noto Sans CJK SC" w:eastAsia="Noto Sans CJK SC" w:cs="Noto Sans CJK SC"/>
          <w:lang w:val="en-US" w:eastAsia="zh-CN"/>
        </w:rPr>
        <w:t>5.2.2  反馈补偿与鲁棒处理</w:t>
      </w:r>
    </w:p>
    <w:p w14:paraId="72CC649C">
      <w:r>
        <w:rPr>
          <w:rFonts w:ascii="Times New Roman" w:hAnsi="Times New Roman" w:eastAsia="Noto Serif CJK SC" w:cs="Times New Roman"/>
          <w:lang w:val="en-US" w:eastAsia="zh-CN"/>
        </w:rPr>
        <w:t>反馈可纠正部分模型误差，但受采样、延迟、噪声、执行器饱和及接触条件限制。ROMPC 文献把降阶和估计误差纳入误差界与约束收紧，说明可行性不能仅靠“小误差”直觉论证。相关保证依赖论文规定的线性模型、扰动集合与稳定性条件，不能无条件移植到接触机器人。[2,11]</w:t>
      </w:r>
    </w:p>
    <w:p w14:paraId="2B7D81F6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5.3  计算超时和模型切换</w:t>
      </w:r>
    </w:p>
    <w:p w14:paraId="349D243D">
      <w:r>
        <w:rPr>
          <w:rFonts w:ascii="Times New Roman" w:hAnsi="Times New Roman" w:eastAsia="Noto Serif CJK SC" w:cs="Times New Roman"/>
          <w:lang w:val="en-US" w:eastAsia="zh-CN"/>
        </w:rPr>
        <w:t>若本次优化未及时完成，应提前规定复用可行计划、缩短计划有效期或切换到稳定反馈的条件，并记录触发次数。回退动作是否安全必须按任务单独验证。平均求解很快，仍可能因少量长尾延迟导致计划过期。</w:t>
      </w:r>
    </w:p>
    <w:p w14:paraId="38F89E06">
      <w:r>
        <w:rPr>
          <w:rFonts w:ascii="Times New Roman" w:hAnsi="Times New Roman" w:eastAsia="Noto Serif CJK SC" w:cs="Times New Roman"/>
          <w:lang w:val="en-US" w:eastAsia="zh-CN"/>
        </w:rPr>
        <w:t>在多种模型间切换时，需要把观测映射到新状态空间，重新检查约束与参考一致性，并处理热启动。可先用滞回阈值和最小驻留时间减少频繁切换；这些是工程措施，不等同于闭环稳定性证明。跨接触模式时还需考虑状态重置和冲击，不能只替换连续动力学。</w:t>
      </w:r>
    </w:p>
    <w:p w14:paraId="2422B92E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5.4  在线学习的合适位置</w:t>
      </w:r>
    </w:p>
    <w:p w14:paraId="50F7C3CB">
      <w:r>
        <w:rPr>
          <w:rFonts w:ascii="Times New Roman" w:hAnsi="Times New Roman" w:eastAsia="Noto Serif CJK SC" w:cs="Times New Roman"/>
          <w:lang w:val="en-US" w:eastAsia="zh-CN"/>
        </w:rPr>
        <w:t>在线学习可先用于质量、惯量或有界残差更新，并设置可接受参数范围与冻结条件。每次更新都可能改变预测模型和原控制保证，因此应分阶段比较固定模型、离线校正和在线更新。首篇若同时引入复杂学习、模型切换与新控制器，将很难识别性能提升的来源。</w:t>
      </w:r>
    </w:p>
    <w:p w14:paraId="157EF0FD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4BCA2F76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6  计算预算下如何评价模型</w:t>
      </w:r>
    </w:p>
    <w:p w14:paraId="1286D88A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6.1  把预算写成可测约束</w:t>
      </w:r>
    </w:p>
    <w:p w14:paraId="33795038">
      <w:r>
        <w:rPr>
          <w:rFonts w:ascii="Times New Roman" w:hAnsi="Times New Roman" w:eastAsia="Noto Serif CJK SC" w:cs="Times New Roman"/>
          <w:lang w:val="en-US" w:eastAsia="zh-CN"/>
        </w:rPr>
        <w:t>在线预算应覆盖状态估计、模型更新、预测及导数计算、优化、控制分配和通信输出。离线预算另行统计数据生成、辨识或训练、调参与验证。24 TOPS 仅是特定精度和算子条件下的峰值指标，不能换算为 MPC 延迟；应报告实际处理器、数值精度、内存、线程与求解器配置。</w:t>
      </w:r>
    </w:p>
    <w:p w14:paraId="299611DE">
      <w:r>
        <w:rPr>
          <w:rFonts w:ascii="Times New Roman" w:hAnsi="Times New Roman" w:eastAsia="Noto Serif CJK SC" w:cs="Times New Roman"/>
          <w:lang w:val="en-US" w:eastAsia="zh-CN"/>
        </w:rPr>
        <w:t>一种可检验的问题表述是：在相同任务分布与在线时限下，选择模型、预测时域和求解设置，使实际闭环代价最小，同时满足规定的约束违例与失败率要求。这里的代价来自机器人或独立高保真仿真，而不是由待评估简约模型自行打分。</w:t>
      </w:r>
    </w:p>
    <w:p w14:paraId="6368D7DA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6.2  区分模型复杂度与求解复杂度</w:t>
      </w:r>
    </w:p>
    <w:p w14:paraId="4D365C06">
      <w:r>
        <w:rPr>
          <w:rFonts w:ascii="Times New Roman" w:hAnsi="Times New Roman" w:eastAsia="Noto Serif CJK SC" w:cs="Times New Roman"/>
          <w:lang w:val="en-US" w:eastAsia="zh-CN"/>
        </w:rPr>
        <w:t>预测时域应同时报告步数 N 和步长 Δt，物理预见时间为 NΔt。相同 N 并不意味着相同预见能力。计算复杂度还受稀疏结构、控制参数化、接触变量、约束数量、导数计算及迭代次数影响；固定模型维度不能确保公平比较。</w:t>
      </w:r>
    </w:p>
    <w:p w14:paraId="5840BDA2">
      <w:r>
        <w:rPr>
          <w:rFonts w:ascii="Times New Roman" w:hAnsi="Times New Roman" w:eastAsia="Noto Serif CJK SC" w:cs="Times New Roman"/>
          <w:lang w:val="en-US" w:eastAsia="zh-CN"/>
        </w:rPr>
        <w:t>更长时域也未必带来更好的闭环性能：它可能增加误差累积和延迟。更复杂模型可能因求解超时失去优势。应先通过基准实验得到性能与耗时的折中曲线，再研究自适应选择，避免预设“算力越少就固定换成某一种模型”的规则。</w:t>
      </w:r>
    </w:p>
    <w:p w14:paraId="387CABC7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6.3  必须记录的评价指标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969"/>
        <w:gridCol w:w="3912"/>
      </w:tblGrid>
      <w:tr w14:paraId="64906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34C01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类别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CD725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主要指标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2A47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报告要求</w:t>
            </w:r>
          </w:p>
        </w:tc>
      </w:tr>
      <w:tr w14:paraId="44F083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CAC9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闭环任务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672F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跟踪误差 累积代价 成功率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D632A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独立工况 多次试验 同一代价定义</w:t>
            </w:r>
          </w:p>
        </w:tc>
      </w:tr>
      <w:tr w14:paraId="765CB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F6B017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约束与稳定表现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2C345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力矩超限 摩擦约束违例 跌落或发散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4CA7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分别报告频次 幅值与持续时间</w:t>
            </w:r>
          </w:p>
        </w:tc>
      </w:tr>
      <w:tr w14:paraId="61599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A219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实时性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755C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端到端时延 中位数 P95 P99 超时率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B50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固定设备 计入模型切换与更新</w:t>
            </w:r>
          </w:p>
        </w:tc>
      </w:tr>
      <w:tr w14:paraId="1CEEE7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7E93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预测有效性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FED64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多步任务输出误差 接触事件误差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4E15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按预测时间与接触模式分组</w:t>
            </w:r>
          </w:p>
        </w:tc>
      </w:tr>
      <w:tr w14:paraId="266FBA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B217E1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资源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E9992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峰值内存 离线总耗时 在线更新耗时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6CC44C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能耗仅在有可靠测量时报告</w:t>
            </w:r>
          </w:p>
        </w:tc>
      </w:tr>
      <w:tr w14:paraId="10671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AC0F6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恢复与泛化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B1E4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扰动恢复时间 未见负载和初态表现</w:t>
            </w:r>
          </w:p>
        </w:tc>
        <w:tc>
          <w:tcPr>
            <w:tcW w:w="391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8F9D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训练验证测试按轨迹或工况分开</w:t>
            </w:r>
          </w:p>
        </w:tc>
      </w:tr>
    </w:tbl>
    <w:p w14:paraId="1E8D1071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6.4  公平比较与结论边界</w:t>
      </w:r>
    </w:p>
    <w:p w14:paraId="08722189">
      <w:r>
        <w:rPr>
          <w:rFonts w:ascii="Times New Roman" w:hAnsi="Times New Roman" w:eastAsia="Noto Serif CJK SC" w:cs="Times New Roman"/>
          <w:lang w:val="en-US" w:eastAsia="zh-CN"/>
        </w:rPr>
        <w:t>同时做两种比较：固定求解设置，观察模型误差的影响；固定计算预算，允许各方法在验证集内调参，比较最终闭环表现。所有方法共享测试场景、状态估计条件及回退口径。有限次试验中的最大时延不是最坏执行时间保证，仿真中没有失败也不构成全局稳定性证明。</w:t>
      </w:r>
    </w:p>
    <w:p w14:paraId="4673A479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6386DF66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7  面向当前课题的研究切入与实验</w:t>
      </w:r>
    </w:p>
    <w:p w14:paraId="620785D1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7.1  建议优先验证的问题</w:t>
      </w:r>
    </w:p>
    <w:p w14:paraId="5A7939C0">
      <w:r>
        <w:rPr>
          <w:rFonts w:ascii="Times New Roman" w:hAnsi="Times New Roman" w:eastAsia="Noto Serif CJK SC" w:cs="Times New Roman"/>
          <w:lang w:val="en-US" w:eastAsia="zh-CN"/>
        </w:rPr>
        <w:t>建议首阶段聚焦“同一在线时限内，什么时候需要保留肢体与基座的动量耦合，什么时候简单模型已经足够”。以三足机器人运动补偿为对象，先比较两种假设明确、控制接口一致的模型，固定预测时域和反馈层。若有稳定的性能差异，再设计基于当前运动强度或预测残差的模型选择规则。</w:t>
      </w:r>
    </w:p>
    <w:p w14:paraId="4A91CF1C">
      <w:r>
        <w:rPr>
          <w:rFonts w:ascii="Times New Roman" w:hAnsi="Times New Roman" w:eastAsia="Noto Serif CJK SC" w:cs="Times New Roman"/>
          <w:lang w:val="en-US" w:eastAsia="zh-CN"/>
        </w:rPr>
        <w:t>一个待验证假设是：缓慢或近名义构型运动下，简化惯性模型可以满足任务；快速摆腿、姿态调整或接触转换时，忽略构型与动量耦合会显著增加姿态误差或约束违例。该假设是实验起点，并非已经确认的创新点。是否存在研究空白仍需针对 variable-fidelity MPC、adaptive model complexity 和机器人动量补偿开展近邻文献核查。</w:t>
      </w:r>
    </w:p>
    <w:p w14:paraId="2DE52830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7.2  最小实验设计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654"/>
      </w:tblGrid>
      <w:tr w14:paraId="2E7DD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CC3C06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实验要素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B23D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/>
                <w:sz w:val="18"/>
                <w:lang w:val="en-US" w:eastAsia="zh-CN"/>
              </w:rPr>
              <w:t>建议设置</w:t>
            </w:r>
          </w:p>
        </w:tc>
      </w:tr>
      <w:tr w14:paraId="4F90E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6AC4A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被控对象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6D2A67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同一全身机器人仿真 先固定环境与接触任务</w:t>
            </w:r>
          </w:p>
        </w:tc>
      </w:tr>
      <w:tr w14:paraId="55D693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F7A6D4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模型候选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96A73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经条件核验的SRBD或简化惯性模型 加保留关键耦合的模型</w:t>
            </w:r>
          </w:p>
        </w:tc>
      </w:tr>
      <w:tr w14:paraId="388FEB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9C0C20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控制基线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F3ED1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快速反馈 固定简模型MPC 固定复杂模型MPC</w:t>
            </w:r>
          </w:p>
        </w:tc>
      </w:tr>
      <w:tr w14:paraId="7CA67E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AE0C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候选方法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12552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预算内模型选择加同一MPC 同一反馈和回退机制</w:t>
            </w:r>
          </w:p>
        </w:tc>
      </w:tr>
      <w:tr w14:paraId="5E5B1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87EA8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测试变量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0694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肢体运动速度 负载 初始姿态 外部扰动 接触转换</w:t>
            </w:r>
          </w:p>
        </w:tc>
      </w:tr>
      <w:tr w14:paraId="122CF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1322D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主要结果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AC605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闭环代价 约束违例 端到端时延 失败与回退频次</w:t>
            </w:r>
          </w:p>
        </w:tc>
      </w:tr>
      <w:tr w14:paraId="6EEF9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AFE96B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必要消融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EFDB6F">
            <w:pPr>
              <w:spacing w:after="40" w:line="260" w:lineRule="exact"/>
            </w:pPr>
            <w:r>
              <w:rPr>
                <w:rFonts w:ascii="Times New Roman" w:hAnsi="Times New Roman" w:eastAsia="Noto Serif CJK SC" w:cs="Times New Roman"/>
                <w:b w:val="0"/>
                <w:sz w:val="18"/>
                <w:lang w:val="en-US" w:eastAsia="zh-CN"/>
              </w:rPr>
              <w:t>固定模型与切换 去掉切换开销 去掉滞回的影响</w:t>
            </w:r>
          </w:p>
        </w:tc>
      </w:tr>
    </w:tbl>
    <w:p w14:paraId="4D719081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7.3  分阶段形成证据</w:t>
      </w:r>
    </w:p>
    <w:p w14:paraId="3E37EA88">
      <w:r>
        <w:rPr>
          <w:rFonts w:ascii="Times New Roman" w:hAnsi="Times New Roman" w:eastAsia="Noto Serif CJK SC" w:cs="Times New Roman"/>
          <w:lang w:val="en-US" w:eastAsia="zh-CN"/>
        </w:rPr>
        <w:t>第一阶段跑通稳定闭环与统一日志，确认两种模型输出和底层执行接口一致。第二阶段做预算扫描和误差分析，识别简单模型失效而复杂模型仍有余量的区域。第三阶段提出选择规则，并在未参与调参的轨迹、初值和负载上检验；最后才加入预测时域联合选择或在线残差。</w:t>
      </w:r>
    </w:p>
    <w:p w14:paraId="0FF44416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7.4  预期贡献与停止条件</w:t>
      </w:r>
    </w:p>
    <w:p w14:paraId="4ADAA356">
      <w:r>
        <w:rPr>
          <w:rFonts w:ascii="Times New Roman" w:hAnsi="Times New Roman" w:eastAsia="Noto Serif CJK SC" w:cs="Times New Roman"/>
          <w:lang w:val="en-US" w:eastAsia="zh-CN"/>
        </w:rPr>
        <w:t>有说服力的贡献应包含明确的失效机制、预算内的选择依据，以及独立测试中的闭环收益；如能给出局部误差界或可行性条件，可进一步增强方法论。若复杂模型没有带来可重复收益，或选择开销抵消收益，应调整问题而不是继续增加模型复杂度。不能把“ROM加MPC”组合本身或单次速度提升当成新颖性证据。</w:t>
      </w:r>
    </w:p>
    <w:p w14:paraId="3B324C9E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1EB03530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8  代表文献与阅读路径</w:t>
      </w:r>
    </w:p>
    <w:p w14:paraId="5B8653DA">
      <w:r>
        <w:rPr>
          <w:rFonts w:ascii="Times New Roman" w:hAnsi="Times New Roman" w:eastAsia="Noto Serif CJK SC" w:cs="Times New Roman"/>
          <w:lang w:val="en-US" w:eastAsia="zh-CN"/>
        </w:rPr>
        <w:t>以下文献用于建立方法脉络和核查具体结论。优先阅读机器人综述与质心动力学，再读代表控制实现和降阶误差分析；通用数据驱动方法按是否需要学习动力学选择阅读。文中编号对应下列条目，链接指向论文或作者稿。</w:t>
      </w:r>
    </w:p>
    <w:p w14:paraId="46069AA8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[1] Wensing P M, Posa M, Hu Y, et al. Optimization-Based Control for Dynamic Legged Robots. IEEE Transactions on Robotics, 40: 43–63, 2024.</w:t>
      </w:r>
    </w:p>
    <w:p w14:paraId="0D5034BE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https://arxiv.org/abs/2211.11644</w:t>
      </w:r>
    </w:p>
    <w:p w14:paraId="3870E16C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用途：了解接触处理 模型简化和在线优化之间的关系。</w:t>
      </w:r>
    </w:p>
    <w:p w14:paraId="010A0BCF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[2] Lorenzetti J, McClellan A, Farhat C, Pavone M. Linear Reduced Order Model Predictive Control. arXiv:2012.03384, 2020.</w:t>
      </w:r>
    </w:p>
    <w:p w14:paraId="7A6A60B1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https://arxiv.org/abs/2012.03384</w:t>
      </w:r>
    </w:p>
    <w:p w14:paraId="43CEDE12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用途：学习线性ROMPC框架及其对模型误差的处理。</w:t>
      </w:r>
    </w:p>
    <w:p w14:paraId="790427A8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[3] Rowley C W, Dawson S T M. Model Reduction for Flow Analysis and Control. Annual Review of Fluid Mechanics, 49: 387–417, 2017.</w:t>
      </w:r>
    </w:p>
    <w:p w14:paraId="0403B24F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https://math.jhu.edu/~data/speakerDocs/Rowley_Dawson17.pdf</w:t>
      </w:r>
    </w:p>
    <w:p w14:paraId="4CEB461C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用途：区分能量最优表示与控制相关的输入输出表示。</w:t>
      </w:r>
    </w:p>
    <w:p w14:paraId="00250DE7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[4] Orin D E, Goswami A, Lee S H. Centroidal Dynamics of a Humanoid Robot. Autonomous Robots, 35: 161–176, 2013.</w:t>
      </w:r>
    </w:p>
    <w:p w14:paraId="2FF434F3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https://doi.org/10.1007/s10514-013-9341-4</w:t>
      </w:r>
    </w:p>
    <w:p w14:paraId="2ACC1BF7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用途：理解质心动量矩阵和全身动力学的关系。</w:t>
      </w:r>
    </w:p>
    <w:p w14:paraId="5DBCE874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[5] Di Carlo J, Wensing P M, Katz B, Bledt G, Kim S. Dynamic Locomotion in the MIT Cheetah 3 Through Convex Model-Predictive Control. IROS, 2018.</w:t>
      </w:r>
    </w:p>
    <w:p w14:paraId="531C88D2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https://doi.org/10.1109/IROS.2018.8594448</w:t>
      </w:r>
    </w:p>
    <w:p w14:paraId="32E03276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用途：研究物理简化模型如何与接触力规划和执行连接。</w:t>
      </w:r>
    </w:p>
    <w:p w14:paraId="13126AB8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[6] Chaturantabut S, Sorensen D C. Nonlinear Model Reduction via Discrete Empirical Interpolation. SIAM Journal on Scientific Computing, 32(5): 2737–2764, 2010.</w:t>
      </w:r>
    </w:p>
    <w:p w14:paraId="5A9F7428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https://doi.org/10.1137/090766498</w:t>
      </w:r>
    </w:p>
    <w:p w14:paraId="5969448A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用途：理解为什么降维后仍可能需要降低非线性求值成本。</w:t>
      </w:r>
    </w:p>
    <w:p w14:paraId="194C4505">
      <w:r>
        <w:rPr>
          <w:rFonts w:ascii="Times New Roman" w:hAnsi="Times New Roman" w:eastAsia="Noto Serif CJK SC" w:cs="Times New Roman"/>
          <w:lang w:val="en-US" w:eastAsia="zh-CN"/>
        </w:rPr>
        <w:br w:type="page"/>
      </w:r>
    </w:p>
    <w:p w14:paraId="1A302050">
      <w:pPr>
        <w:pStyle w:val="3"/>
      </w:pPr>
      <w:r>
        <w:rPr>
          <w:rFonts w:ascii="Noto Sans CJK SC" w:hAnsi="Noto Sans CJK SC" w:eastAsia="Noto Sans CJK SC" w:cs="Noto Sans CJK SC"/>
          <w:lang w:val="en-US" w:eastAsia="zh-CN"/>
        </w:rPr>
        <w:t>8  代表文献与阅读路径续</w:t>
      </w:r>
    </w:p>
    <w:p w14:paraId="58186F34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[7] Peherstorfer B, Willcox K. Data-Driven Operator Inference for Nonintrusive Projection-Based Model Reduction. Computer Methods in Applied Mechanics and Engineering, 306: 196–215, 2016.</w:t>
      </w:r>
    </w:p>
    <w:p w14:paraId="03C377F1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https://doi.org/10.1016/j.cma.2016.03.025</w:t>
      </w:r>
    </w:p>
    <w:p w14:paraId="3DB3D98A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用途：学习从受控轨迹数据辨识低维动力学算子。</w:t>
      </w:r>
    </w:p>
    <w:p w14:paraId="66F0E26F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[8] Kaiser E, Kutz J N, Brunton S L. Sparse Identification of Nonlinear Dynamics for Model Predictive Control in the Low-Data Limit. Proceedings of the Royal Society A, 474: 20180335, 2018.</w:t>
      </w:r>
    </w:p>
    <w:p w14:paraId="3B7D073D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https://pmc.ncbi.nlm.nih.gov/articles/PMC6283900/</w:t>
      </w:r>
    </w:p>
    <w:p w14:paraId="6201355C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用途：学习稀疏动力学辨识与MPC的连接。</w:t>
      </w:r>
    </w:p>
    <w:p w14:paraId="4E7FD221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[9] Korda M, Mezić I. Linear Predictors for Nonlinear Dynamical Systems: Koopman Operator Meets Model Predictive Control. Automatica, 93: 149–160, 2018.</w:t>
      </w:r>
    </w:p>
    <w:p w14:paraId="23536694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https://arxiv.org/abs/1611.03537</w:t>
      </w:r>
    </w:p>
    <w:p w14:paraId="0E7C0B08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用途：理解特征升维 线性预测与优化成本的关系。</w:t>
      </w:r>
    </w:p>
    <w:p w14:paraId="4FF90CF6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[10] Lee K, Carlberg K T. Model Reduction of Dynamical Systems on Nonlinear Manifolds Using Deep Convolutional Autoencoders. Journal of Computational Physics, 404: 108973, 2020.</w:t>
      </w:r>
    </w:p>
    <w:p w14:paraId="6937C2E0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https://arxiv.org/abs/1812.08373</w:t>
      </w:r>
    </w:p>
    <w:p w14:paraId="39D5688E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用途：在线性降阶不足时了解非线性低维流形方法。</w:t>
      </w:r>
    </w:p>
    <w:p w14:paraId="4499A6A0">
      <w:pPr>
        <w:keepNext/>
      </w:pPr>
      <w:r>
        <w:rPr>
          <w:rFonts w:ascii="Times New Roman" w:hAnsi="Times New Roman" w:eastAsia="Noto Serif CJK SC" w:cs="Times New Roman"/>
          <w:lang w:val="en-US" w:eastAsia="zh-CN"/>
        </w:rPr>
        <w:t>[11] Lorenzetti J, Pavone M. Error Bounds for Reduced Order Model Predictive Control. arXiv:1911.12349, 2019.</w:t>
      </w:r>
    </w:p>
    <w:p w14:paraId="6DE9269C">
      <w:pPr>
        <w:keepNext/>
      </w:pPr>
      <w:r>
        <w:rPr>
          <w:rFonts w:ascii="Times New Roman" w:hAnsi="Times New Roman" w:eastAsia="Noto Serif CJK SC" w:cs="Times New Roman"/>
          <w:sz w:val="18"/>
          <w:lang w:val="en-US" w:eastAsia="zh-CN"/>
        </w:rPr>
        <w:t>https://arxiv.org/abs/1911.12349</w:t>
      </w:r>
    </w:p>
    <w:p w14:paraId="371937BC">
      <w:pPr>
        <w:spacing w:after="240"/>
      </w:pPr>
      <w:r>
        <w:rPr>
          <w:rFonts w:ascii="Times New Roman" w:hAnsi="Times New Roman" w:eastAsia="Noto Serif CJK SC" w:cs="Times New Roman"/>
          <w:lang w:val="en-US" w:eastAsia="zh-CN"/>
        </w:rPr>
        <w:t>用途：学习如何将降阶与估计误差转化为约束收紧。</w:t>
      </w:r>
    </w:p>
    <w:p w14:paraId="11EE9F12">
      <w:pPr>
        <w:pStyle w:val="4"/>
      </w:pPr>
      <w:r>
        <w:rPr>
          <w:rFonts w:ascii="Noto Sans CJK SC" w:hAnsi="Noto Sans CJK SC" w:eastAsia="Noto Sans CJK SC" w:cs="Noto Sans CJK SC"/>
          <w:lang w:val="en-US" w:eastAsia="zh-CN"/>
        </w:rPr>
        <w:t>8.1  阅读记录的统一问题</w:t>
      </w:r>
    </w:p>
    <w:p w14:paraId="3C2B4858">
      <w:r>
        <w:rPr>
          <w:rFonts w:ascii="Times New Roman" w:hAnsi="Times New Roman" w:eastAsia="Noto Serif CJK SC" w:cs="Times New Roman"/>
          <w:lang w:val="en-US" w:eastAsia="zh-CN"/>
        </w:rPr>
        <w:t>每篇文献记录六项：保留与省略的状态；输入与接触假设；模型在控制器中的作用；离线和在线成本；稳定性或可行性结论的前提；最接近当前三足机器人任务的证据与局限。由这些字段建立方法对照，才能区分已有成果、可迁移方法与待验证研究假设。</w:t>
      </w:r>
    </w:p>
    <w:sectPr>
      <w:footerReference r:id="rId5" w:type="default"/>
      <w:pgSz w:w="11906" w:h="16838"/>
      <w:pgMar w:top="1134" w:right="1276" w:bottom="1077" w:left="127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A069D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EE6D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0" w:lineRule="exact"/>
    </w:pPr>
    <w:rPr>
      <w:rFonts w:ascii="Times New Roman" w:hAnsi="Times New Roman" w:eastAsia="Noto Serif CJK SC" w:cs="Times New Roman"/>
      <w:color w:val="000000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00" w:after="140" w:line="380" w:lineRule="exact"/>
      <w:outlineLvl w:val="0"/>
    </w:pPr>
    <w:rPr>
      <w:rFonts w:ascii="Noto Sans CJK SC" w:hAnsi="Noto Sans CJK SC" w:eastAsia="Noto Sans CJK SC" w:cs="Noto Sans CJK SC"/>
      <w:b/>
      <w:bCs/>
      <w:color w:val="000000"/>
      <w:sz w:val="32"/>
      <w:szCs w:val="28"/>
      <w:lang w:val="en-US" w:eastAsia="zh-CN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40" w:line="380" w:lineRule="exact"/>
      <w:outlineLvl w:val="1"/>
    </w:pPr>
    <w:rPr>
      <w:rFonts w:ascii="Noto Sans CJK SC" w:hAnsi="Noto Sans CJK SC" w:eastAsia="Noto Sans CJK SC" w:cs="Noto Sans CJK SC"/>
      <w:b/>
      <w:bCs/>
      <w:color w:val="000000"/>
      <w:sz w:val="24"/>
      <w:szCs w:val="26"/>
      <w:lang w:val="en-US" w:eastAsia="zh-CN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380" w:lineRule="exact"/>
      <w:outlineLvl w:val="2"/>
    </w:pPr>
    <w:rPr>
      <w:rFonts w:ascii="Noto Sans CJK SC" w:hAnsi="Noto Sans CJK SC" w:eastAsia="Noto Sans CJK SC" w:cs="Noto Sans CJK SC"/>
      <w:b/>
      <w:bCs/>
      <w:color w:val="000000"/>
      <w:sz w:val="21"/>
      <w:lang w:val="en-US" w:eastAsia="zh-CN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Noto Serif CJK SC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Noto Serif CJK SC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Noto Serif CJK SC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Noto Serif CJK SC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Noto Serif CJK SC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Noto Serif CJK SC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Noto Serif CJK SC"/>
      <w:color w:val="000000"/>
    </w:rPr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Noto Serif CJK SC" w:cs="Times New Roman"/>
      <w:color w:val="000000"/>
      <w:sz w:val="20"/>
      <w:szCs w:val="20"/>
      <w:lang w:val="en-US" w:eastAsia="zh-CN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  <w:rPr>
      <w:rFonts w:ascii="Times New Roman" w:hAnsi="Times New Roman" w:eastAsia="Noto Serif CJK SC"/>
      <w:color w:val="000000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Noto Serif CJK SC"/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Noto Serif CJK SC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Noto Serif CJK SC"/>
      <w:b/>
      <w:bCs/>
      <w:color w:val="000000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Noto Serif CJK SC"/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Noto Serif CJK SC"/>
      <w:color w:val="000000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Noto Serif CJK SC"/>
      <w:color w:val="000000"/>
    </w:r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Times New Roman" w:hAnsi="Times New Roman" w:eastAsia="Noto Serif CJK SC"/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Noto Serif CJK SC"/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Noto Serif CJK SC"/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Noto Serif CJK SC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Noto Serif CJK SC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  <w:color w:val="000000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Noto Serif CJK SC"/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  <w:lang w:val="en-US" w:eastAsia="zh-CN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Noto Serif CJK SC"/>
      <w:color w:val="000000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hAnsi="Times New Roman" w:eastAsia="Noto Serif CJK SC"/>
      <w:color w:val="000000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Noto Serif CJK SC"/>
      <w:color w:val="000000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Noto Serif CJK SC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before="0" w:after="140" w:line="480" w:lineRule="exact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44"/>
      <w:szCs w:val="52"/>
      <w:lang w:val="en-US" w:eastAsia="zh-CN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Noto Serif CJK SC"/>
      <w:b/>
      <w:bCs/>
      <w:color w:val="000000"/>
    </w:rPr>
  </w:style>
  <w:style w:type="character" w:styleId="134">
    <w:name w:val="Emphasis"/>
    <w:basedOn w:val="132"/>
    <w:qFormat/>
    <w:uiPriority w:val="20"/>
    <w:rPr>
      <w:rFonts w:ascii="Times New Roman" w:hAnsi="Times New Roman" w:eastAsia="Noto Serif CJK SC"/>
      <w:i/>
      <w:iCs/>
      <w:color w:val="000000"/>
    </w:rPr>
  </w:style>
  <w:style w:type="character" w:customStyle="1" w:styleId="135">
    <w:name w:val="Header Char"/>
    <w:basedOn w:val="132"/>
    <w:link w:val="25"/>
    <w:qFormat/>
    <w:uiPriority w:val="99"/>
    <w:rPr>
      <w:rFonts w:ascii="Times New Roman" w:hAnsi="Times New Roman" w:eastAsia="Noto Serif CJK SC"/>
      <w:color w:val="000000"/>
    </w:rPr>
  </w:style>
  <w:style w:type="character" w:customStyle="1" w:styleId="136">
    <w:name w:val="Footer Char"/>
    <w:basedOn w:val="132"/>
    <w:link w:val="24"/>
    <w:qFormat/>
    <w:uiPriority w:val="99"/>
    <w:rPr>
      <w:rFonts w:ascii="Times New Roman" w:hAnsi="Times New Roman" w:eastAsia="Noto Serif CJK SC"/>
      <w:color w:val="000000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Noto Serif CJK SC" w:cs="Times New Roman"/>
      <w:color w:val="000000"/>
      <w:sz w:val="22"/>
      <w:szCs w:val="22"/>
      <w:lang w:val="en-US" w:eastAsia="zh-CN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Noto Sans CJK SC" w:hAnsi="Noto Sans CJK SC" w:eastAsia="Noto Sans CJK SC" w:cs="Noto Sans CJK SC"/>
      <w:b/>
      <w:bCs/>
      <w:color w:val="000000"/>
      <w:sz w:val="28"/>
      <w:szCs w:val="28"/>
      <w:lang w:val="en-US" w:eastAsia="zh-CN"/>
    </w:rPr>
  </w:style>
  <w:style w:type="character" w:customStyle="1" w:styleId="139">
    <w:name w:val="Heading 2 Char"/>
    <w:basedOn w:val="132"/>
    <w:link w:val="4"/>
    <w:qFormat/>
    <w:uiPriority w:val="9"/>
    <w:rPr>
      <w:rFonts w:ascii="Noto Sans CJK SC" w:hAnsi="Noto Sans CJK SC" w:eastAsia="Noto Sans CJK SC" w:cs="Noto Sans CJK SC"/>
      <w:b/>
      <w:bCs/>
      <w:color w:val="000000"/>
      <w:sz w:val="26"/>
      <w:szCs w:val="26"/>
      <w:lang w:val="en-US" w:eastAsia="zh-CN"/>
    </w:rPr>
  </w:style>
  <w:style w:type="character" w:customStyle="1" w:styleId="140">
    <w:name w:val="Heading 3 Char"/>
    <w:basedOn w:val="132"/>
    <w:link w:val="5"/>
    <w:qFormat/>
    <w:uiPriority w:val="9"/>
    <w:rPr>
      <w:rFonts w:ascii="Noto Sans CJK SC" w:hAnsi="Noto Sans CJK SC" w:eastAsia="Noto Sans CJK SC" w:cs="Noto Sans CJK SC"/>
      <w:b/>
      <w:bCs/>
      <w:color w:val="000000"/>
      <w:lang w:val="en-US" w:eastAsia="zh-CN"/>
    </w:rPr>
  </w:style>
  <w:style w:type="character" w:customStyle="1" w:styleId="141">
    <w:name w:val="Title Char"/>
    <w:basedOn w:val="132"/>
    <w:link w:val="31"/>
    <w:qFormat/>
    <w:uiPriority w:val="10"/>
    <w:rPr>
      <w:rFonts w:ascii="Noto Sans CJK SC" w:hAnsi="Noto Sans CJK SC" w:eastAsia="Noto Sans CJK SC" w:cs="Noto Sans CJK SC"/>
      <w:color w:val="000000"/>
      <w:spacing w:val="5"/>
      <w:kern w:val="28"/>
      <w:sz w:val="52"/>
      <w:szCs w:val="52"/>
      <w:lang w:val="en-US" w:eastAsia="zh-CN"/>
    </w:rPr>
  </w:style>
  <w:style w:type="character" w:customStyle="1" w:styleId="142">
    <w:name w:val="Subtitle Char"/>
    <w:basedOn w:val="132"/>
    <w:link w:val="26"/>
    <w:qFormat/>
    <w:uiPriority w:val="11"/>
    <w:rPr>
      <w:rFonts w:ascii="Noto Sans CJK SC" w:hAnsi="Noto Sans CJK SC" w:eastAsia="Noto Sans CJK SC" w:cs="Noto Sans CJK SC"/>
      <w:i/>
      <w:iCs/>
      <w:color w:val="000000"/>
      <w:spacing w:val="15"/>
      <w:sz w:val="24"/>
      <w:szCs w:val="24"/>
      <w:lang w:val="en-US" w:eastAsia="zh-CN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Noto Serif CJK SC"/>
      <w:color w:val="000000"/>
    </w:rPr>
  </w:style>
  <w:style w:type="character" w:customStyle="1" w:styleId="144">
    <w:name w:val="Body Text Char"/>
    <w:basedOn w:val="132"/>
    <w:link w:val="19"/>
    <w:qFormat/>
    <w:uiPriority w:val="99"/>
    <w:rPr>
      <w:rFonts w:ascii="Times New Roman" w:hAnsi="Times New Roman" w:eastAsia="Noto Serif CJK SC"/>
      <w:color w:val="000000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Noto Serif CJK SC"/>
      <w:color w:val="000000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Noto Serif CJK SC"/>
      <w:color w:val="000000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Times New Roman" w:hAnsi="Times New Roman" w:eastAsia="Noto Serif CJK SC"/>
      <w:color w:val="000000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Noto Serif CJK SC"/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rFonts w:ascii="Times New Roman" w:hAnsi="Times New Roman" w:eastAsia="Noto Serif CJK SC"/>
      <w:i/>
      <w:iCs/>
      <w:color w:val="000000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Noto Serif CJK SC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Noto Serif CJK SC"/>
      <w:color w:val="00000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Times New Roman" w:hAnsi="Times New Roman" w:eastAsia="Noto Serif CJK SC"/>
      <w:i/>
      <w:iCs/>
      <w:color w:val="00000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Noto Serif CJK SC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Noto Serif CJK SC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Noto Serif CJK SC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Times New Roman" w:hAnsi="Times New Roman" w:eastAsia="Noto Serif CJK SC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rFonts w:ascii="Times New Roman" w:hAnsi="Times New Roman" w:eastAsia="Noto Serif CJK SC"/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Noto Serif CJK SC"/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Noto Serif CJK SC"/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Noto Serif CJK SC"/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Noto Serif CJK SC"/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Noto Serif CJK SC"/>
      <w:b/>
      <w:bCs/>
      <w:smallCaps/>
      <w:color w:val="000000"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Noto Serif CJK SC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Noto Sans CJK SC"/>
        <a:cs typeface=""/>
        <a:font script="Jpan" typeface="ＭＳ ゴシック"/>
        <a:font script="Hang" typeface="맑은 고딕"/>
        <a:font script="Hans" typeface="Noto Sans CJK SC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Noto Serif CJK SC"/>
        <a:cs typeface=""/>
        <a:font script="Jpan" typeface="ＭＳ 明朝"/>
        <a:font script="Hang" typeface="맑은 고딕"/>
        <a:font script="Hans" typeface="Noto Serif CJK SC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天博</cp:lastModifiedBy>
  <dcterms:modified xsi:type="dcterms:W3CDTF">2026-09-14T14:55:57Z</dcterms:modified>
  <dc:subject>预测型与反应型用途及Reduced Model方法调研</dc:subject>
  <dc:title>巨复杂模型的简约模型控制问题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A0636E18FE0071D97D9AA76A68BD928E_42</vt:lpwstr>
  </property>
</Properties>
</file>