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Inter" w:hAnsi="Inter"/>
          <w:b w:val="0"/>
          <w:color w:val="121718"/>
          <w:sz w:val="22"/>
        </w:rPr>
      </w:r>
    </w:p>
    <w:p>
      <w:pPr>
        <w:spacing w:after="80"/>
        <w:jc w:val="center"/>
      </w:pPr>
      <w:r>
        <w:rPr>
          <w:rFonts w:ascii="Inter" w:hAnsi="Inter"/>
          <w:b/>
          <w:color w:val="1B9B5E"/>
          <w:sz w:val="48"/>
        </w:rPr>
        <w:t>CHANNEL STRATEGY &amp; CUSTOMER JOURNEY</w:t>
      </w:r>
    </w:p>
    <w:p>
      <w:pPr>
        <w:spacing w:after="80"/>
        <w:jc w:val="center"/>
      </w:pPr>
      <w:r>
        <w:rPr>
          <w:rFonts w:ascii="Inter" w:hAnsi="Inter"/>
          <w:b w:val="0"/>
          <w:color w:val="121718"/>
          <w:sz w:val="28"/>
        </w:rPr>
        <w:t>Strategy &amp; Projections Template</w:t>
      </w:r>
    </w:p>
    <w:p>
      <w:pPr>
        <w:spacing w:after="320"/>
        <w:jc w:val="center"/>
      </w:pPr>
      <w:r>
        <w:rPr>
          <w:rFonts w:ascii="Inter" w:hAnsi="Inter"/>
          <w:b w:val="0"/>
          <w:color w:val="999999"/>
          <w:sz w:val="20"/>
        </w:rPr>
        <w:t>ClearLaunch System | Step 6: Channel Strategy &amp; Customer Journey</w:t>
      </w:r>
    </w:p>
    <w:p>
      <w:pPr>
        <w:spacing w:after="240"/>
        <w:jc w:val="left"/>
      </w:pPr>
      <w:r>
        <w:rPr>
          <w:rFonts w:ascii="Inter" w:hAnsi="Inter"/>
          <w:b w:val="0"/>
          <w:color w:val="666666"/>
          <w:sz w:val="20"/>
        </w:rPr>
        <w:t>Purpose: This template documents the complete channel strategy and customer journey for a ClearLaunch client. It evaluates all viable marketing channels, recommends a focused channel mix with budget allocation and performance projections, and maps the customer journey from awareness through purchase.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5F5EC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121718"/>
                <w:sz w:val="20"/>
              </w:rPr>
              <w:t>Client / Business Name</w:t>
            </w:r>
          </w:p>
        </w:tc>
        <w:tc>
          <w:tcPr>
            <w:tcW w:type="dxa" w:w="4320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999999"/>
                <w:sz w:val="20"/>
              </w:rPr>
              <w:t>[________________]</w:t>
            </w:r>
          </w:p>
        </w:tc>
      </w:tr>
      <w:tr>
        <w:tc>
          <w:tcPr>
            <w:tcW w:type="dxa" w:w="4320"/>
            <w:shd w:fill="E5F5EC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121718"/>
                <w:sz w:val="20"/>
              </w:rPr>
              <w:t>Industry / Vertical</w:t>
            </w:r>
          </w:p>
        </w:tc>
        <w:tc>
          <w:tcPr>
            <w:tcW w:type="dxa" w:w="4320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999999"/>
                <w:sz w:val="20"/>
              </w:rPr>
              <w:t>[________________]</w:t>
            </w:r>
          </w:p>
        </w:tc>
      </w:tr>
      <w:tr>
        <w:tc>
          <w:tcPr>
            <w:tcW w:type="dxa" w:w="4320"/>
            <w:shd w:fill="E5F5EC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121718"/>
                <w:sz w:val="20"/>
              </w:rPr>
              <w:t>Date</w:t>
            </w:r>
          </w:p>
        </w:tc>
        <w:tc>
          <w:tcPr>
            <w:tcW w:type="dxa" w:w="4320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999999"/>
                <w:sz w:val="20"/>
              </w:rPr>
              <w:t>[________________]</w:t>
            </w:r>
          </w:p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B9B5E"/>
          <w:sz w:val="28"/>
        </w:rPr>
        <w:t>1. Executive Summary</w:t>
      </w:r>
    </w:p>
    <w:p>
      <w:pPr>
        <w:spacing w:after="40"/>
        <w:jc w:val="left"/>
      </w:pPr>
      <w:r>
        <w:rPr>
          <w:rFonts w:ascii="Inter" w:hAnsi="Inter"/>
          <w:b w:val="0"/>
          <w:color w:val="666666"/>
          <w:sz w:val="19"/>
        </w:rPr>
        <w:t>High-level overview of channel strategy findings. Populated after Phase A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5F5EC"/>
            <w:tcBorders>
              <w:top w:val="single" w:sz="4" w:space="0" w:color="1B9B5E"/>
              <w:bottom w:val="single" w:sz="4" w:space="0" w:color="1B9B5E"/>
              <w:left w:val="single" w:sz="4" w:space="0" w:color="1B9B5E"/>
              <w:right w:val="single" w:sz="4" w:space="0" w:color="1B9B5E"/>
            </w:tcBorders>
          </w:tcPr>
          <w:p>
            <w:r>
              <w:rPr>
                <w:rFonts w:ascii="Inter" w:hAnsi="Inter"/>
                <w:color w:val="999999"/>
                <w:sz w:val="19"/>
              </w:rPr>
              <w:t>[Key Insight: 1-2 sentence summary of the strategic rationale for the recommended channel mix — why these channels, why this budget split, what the data shows.]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Client</w:t>
            </w:r>
          </w:p>
        </w:tc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[Client Name]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Industry</w:t>
            </w:r>
          </w:p>
        </w:tc>
        <w:tc>
          <w:tcPr>
            <w:tcW w:type="dxa" w:w="57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[Industry Context]</w:t>
            </w:r>
          </w:p>
        </w:tc>
      </w:tr>
      <w:tr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Location</w:t>
            </w:r>
          </w:p>
        </w:tc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[Geographic Market]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Target Audience</w:t>
            </w:r>
          </w:p>
        </w:tc>
        <w:tc>
          <w:tcPr>
            <w:tcW w:type="dxa" w:w="57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[ICP Description from Step 2]</w:t>
            </w:r>
          </w:p>
        </w:tc>
      </w:tr>
      <w:tr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Recommended Channels</w:t>
            </w:r>
          </w:p>
        </w:tc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[Primary 1], [Primary 2], [Supporting]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Monthly Investment</w:t>
            </w:r>
          </w:p>
        </w:tc>
        <w:tc>
          <w:tcPr>
            <w:tcW w:type="dxa" w:w="57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[Total monthly budget]</w:t>
            </w:r>
          </w:p>
        </w:tc>
      </w:tr>
      <w:tr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Projected Monthly Revenue</w:t>
            </w:r>
          </w:p>
        </w:tc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[Combined projected revenue]</w:t>
            </w:r>
          </w:p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B9B5E"/>
          <w:sz w:val="28"/>
        </w:rPr>
        <w:t>2. Customer Journey Map</w:t>
      </w:r>
    </w:p>
    <w:p>
      <w:pPr>
        <w:spacing w:after="40"/>
        <w:jc w:val="left"/>
      </w:pPr>
      <w:r>
        <w:rPr>
          <w:rFonts w:ascii="Inter" w:hAnsi="Inter"/>
          <w:b w:val="0"/>
          <w:color w:val="666666"/>
          <w:sz w:val="19"/>
        </w:rPr>
        <w:t>Maps the customer experience from first awareness through purchase across the confirmed channels. This section is populated in Phase B after the client confirms the channel strategy.</w:t>
      </w:r>
    </w:p>
    <w:p>
      <w:pPr>
        <w:spacing w:after="160"/>
      </w:pPr>
      <w:r>
        <w:rPr>
          <w:rFonts w:ascii="Inter" w:hAnsi="Inter"/>
          <w:i/>
          <w:color w:val="1B9B5E"/>
          <w:sz w:val="17"/>
        </w:rPr>
        <w:t>Agent Note: For B2B, journeys tend to be longer with more consideration-stage touchpoints. For local services, journeys are shorter with urgency-driven BOFU. For e-commerce, journeys may include browse/compare behaviors. For SaaS, free trial or demo often bridges MOFU to BOFU.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16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Customer Mindset</w:t>
            </w:r>
          </w:p>
        </w:tc>
        <w:tc>
          <w:tcPr>
            <w:tcW w:type="dxa" w:w="216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Content / Touchpoints</w:t>
            </w:r>
          </w:p>
        </w:tc>
        <w:tc>
          <w:tcPr>
            <w:tcW w:type="dxa" w:w="1728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Channels</w:t>
            </w:r>
          </w:p>
        </w:tc>
        <w:tc>
          <w:tcPr>
            <w:tcW w:type="dxa" w:w="1728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Key KPI</w:t>
            </w:r>
          </w:p>
        </w:tc>
      </w:tr>
      <w:tr>
        <w:tc>
          <w:tcPr>
            <w:tcW w:type="dxa" w:w="1584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TOFU (Awareness)</w:t>
            </w:r>
          </w:p>
        </w:tc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[What the customer is thinking/feeling]</w:t>
            </w:r>
          </w:p>
        </w:tc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[Content types and touchpoints]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[Active channels]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[Primary metric]</w:t>
            </w:r>
          </w:p>
        </w:tc>
      </w:tr>
      <w:tr>
        <w:tc>
          <w:tcPr>
            <w:tcW w:type="dxa" w:w="1584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MOFU (Consideration)</w:t>
            </w:r>
          </w:p>
        </w:tc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[What the customer is thinking/feeling]</w:t>
            </w:r>
          </w:p>
        </w:tc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[Content types and touchpoints]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[Active channels]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[Primary metric]</w:t>
            </w:r>
          </w:p>
        </w:tc>
      </w:tr>
      <w:tr>
        <w:tc>
          <w:tcPr>
            <w:tcW w:type="dxa" w:w="1584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BOFU (Decision)</w:t>
            </w:r>
          </w:p>
        </w:tc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[What the customer is thinking/feeling]</w:t>
            </w:r>
          </w:p>
        </w:tc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[Content types and touchpoints]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[Active channels]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[Primary metric]</w:t>
            </w:r>
          </w:p>
        </w:tc>
      </w:tr>
      <w:tr>
        <w:tc>
          <w:tcPr>
            <w:tcW w:type="dxa" w:w="1584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Purchase</w:t>
            </w:r>
          </w:p>
        </w:tc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[What the customer is thinking/feeling]</w:t>
            </w:r>
          </w:p>
        </w:tc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[Content types and touchpoints]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[Active channels]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[Primary metric]</w:t>
            </w:r>
          </w:p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21718"/>
          <w:sz w:val="20"/>
        </w:rPr>
        <w:t>Journey Insights:</w:t>
      </w:r>
    </w:p>
    <w:p>
      <w:pPr>
        <w:spacing w:after="160"/>
        <w:jc w:val="left"/>
      </w:pPr>
      <w:r>
        <w:rPr>
          <w:rFonts w:ascii="Inter" w:hAnsi="Inter"/>
          <w:b w:val="0"/>
          <w:color w:val="999999"/>
          <w:sz w:val="19"/>
        </w:rPr>
        <w:t>[Key insights from the client decision call about how their customers currently find and engage with the business. Include any industry-specific journey patterns.]</w:t>
      </w:r>
    </w:p>
    <w:p>
      <w:pPr>
        <w:spacing w:after="80"/>
        <w:jc w:val="left"/>
      </w:pPr>
      <w:r>
        <w:rPr>
          <w:rFonts w:ascii="Inter" w:hAnsi="Inter"/>
          <w:b/>
          <w:color w:val="1B9B5E"/>
          <w:sz w:val="28"/>
        </w:rPr>
        <w:t>3. Channel Universe Assessment</w:t>
      </w:r>
    </w:p>
    <w:p>
      <w:pPr>
        <w:spacing w:after="40"/>
        <w:jc w:val="left"/>
      </w:pPr>
      <w:r>
        <w:rPr>
          <w:rFonts w:ascii="Inter" w:hAnsi="Inter"/>
          <w:b w:val="0"/>
          <w:color w:val="666666"/>
          <w:sz w:val="19"/>
        </w:rPr>
        <w:t>All 7 channels in the ClearLaunch channel universe evaluated against the client's ICP, budget, and data availability.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1584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Traffic Type</w:t>
            </w:r>
          </w:p>
        </w:tc>
        <w:tc>
          <w:tcPr>
            <w:tcW w:type="dxa" w:w="144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Stage Served</w:t>
            </w:r>
          </w:p>
        </w:tc>
        <w:tc>
          <w:tcPr>
            <w:tcW w:type="dxa" w:w="1152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Data Avail.</w:t>
            </w:r>
          </w:p>
        </w:tc>
        <w:tc>
          <w:tcPr>
            <w:tcW w:type="dxa" w:w="1152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ICP Fit (1-5)</w:t>
            </w:r>
          </w:p>
        </w:tc>
        <w:tc>
          <w:tcPr>
            <w:tcW w:type="dxa" w:w="1728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Google Ads</w:t>
            </w:r>
          </w:p>
        </w:tc>
        <w:tc>
          <w:tcPr>
            <w:tcW w:type="dxa" w:w="1584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Paid / Intent</w:t>
            </w:r>
          </w:p>
        </w:tc>
        <w:tc>
          <w:tcPr>
            <w:tcW w:type="dxa" w:w="144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MOFU-BOFU</w:t>
            </w:r>
          </w:p>
        </w:tc>
        <w:tc>
          <w:tcPr>
            <w:tcW w:type="dxa" w:w="115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High</w:t>
            </w:r>
          </w:p>
        </w:tc>
        <w:tc>
          <w:tcPr>
            <w:tcW w:type="dxa" w:w="115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[score]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[tier]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Meta Ads</w:t>
            </w:r>
          </w:p>
        </w:tc>
        <w:tc>
          <w:tcPr>
            <w:tcW w:type="dxa" w:w="1584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Paid / Interruption</w:t>
            </w:r>
          </w:p>
        </w:tc>
        <w:tc>
          <w:tcPr>
            <w:tcW w:type="dxa" w:w="144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TOFU-MOFU</w:t>
            </w:r>
          </w:p>
        </w:tc>
        <w:tc>
          <w:tcPr>
            <w:tcW w:type="dxa" w:w="115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Moderate</w:t>
            </w:r>
          </w:p>
        </w:tc>
        <w:tc>
          <w:tcPr>
            <w:tcW w:type="dxa" w:w="115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[score]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[tier]</w:t>
            </w:r>
          </w:p>
        </w:tc>
      </w:tr>
      <w:tr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LinkedIn Ads</w:t>
            </w:r>
          </w:p>
        </w:tc>
        <w:tc>
          <w:tcPr>
            <w:tcW w:type="dxa" w:w="1584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Paid / Professional</w:t>
            </w:r>
          </w:p>
        </w:tc>
        <w:tc>
          <w:tcPr>
            <w:tcW w:type="dxa" w:w="144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TOFU-MOFU</w:t>
            </w:r>
          </w:p>
        </w:tc>
        <w:tc>
          <w:tcPr>
            <w:tcW w:type="dxa" w:w="115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Moderate</w:t>
            </w:r>
          </w:p>
        </w:tc>
        <w:tc>
          <w:tcPr>
            <w:tcW w:type="dxa" w:w="115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[score]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[tier]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TikTok</w:t>
            </w:r>
          </w:p>
        </w:tc>
        <w:tc>
          <w:tcPr>
            <w:tcW w:type="dxa" w:w="1584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Paid / Interruption</w:t>
            </w:r>
          </w:p>
        </w:tc>
        <w:tc>
          <w:tcPr>
            <w:tcW w:type="dxa" w:w="144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TOFU</w:t>
            </w:r>
          </w:p>
        </w:tc>
        <w:tc>
          <w:tcPr>
            <w:tcW w:type="dxa" w:w="115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Low</w:t>
            </w:r>
          </w:p>
        </w:tc>
        <w:tc>
          <w:tcPr>
            <w:tcW w:type="dxa" w:w="115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[score]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[tier]</w:t>
            </w:r>
          </w:p>
        </w:tc>
      </w:tr>
      <w:tr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SEO</w:t>
            </w:r>
          </w:p>
        </w:tc>
        <w:tc>
          <w:tcPr>
            <w:tcW w:type="dxa" w:w="1584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Organic / Intent</w:t>
            </w:r>
          </w:p>
        </w:tc>
        <w:tc>
          <w:tcPr>
            <w:tcW w:type="dxa" w:w="144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TOFU-BOFU</w:t>
            </w:r>
          </w:p>
        </w:tc>
        <w:tc>
          <w:tcPr>
            <w:tcW w:type="dxa" w:w="115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High</w:t>
            </w:r>
          </w:p>
        </w:tc>
        <w:tc>
          <w:tcPr>
            <w:tcW w:type="dxa" w:w="115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[score]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[tier]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Content Marketing</w:t>
            </w:r>
          </w:p>
        </w:tc>
        <w:tc>
          <w:tcPr>
            <w:tcW w:type="dxa" w:w="1584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Organic / Educational</w:t>
            </w:r>
          </w:p>
        </w:tc>
        <w:tc>
          <w:tcPr>
            <w:tcW w:type="dxa" w:w="144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TOFU-MOFU</w:t>
            </w:r>
          </w:p>
        </w:tc>
        <w:tc>
          <w:tcPr>
            <w:tcW w:type="dxa" w:w="115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Moderate</w:t>
            </w:r>
          </w:p>
        </w:tc>
        <w:tc>
          <w:tcPr>
            <w:tcW w:type="dxa" w:w="115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[score]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[tier]</w:t>
            </w:r>
          </w:p>
        </w:tc>
      </w:tr>
      <w:tr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Organic Social</w:t>
            </w:r>
          </w:p>
        </w:tc>
        <w:tc>
          <w:tcPr>
            <w:tcW w:type="dxa" w:w="1584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Organic / Community</w:t>
            </w:r>
          </w:p>
        </w:tc>
        <w:tc>
          <w:tcPr>
            <w:tcW w:type="dxa" w:w="144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TOFU</w:t>
            </w:r>
          </w:p>
        </w:tc>
        <w:tc>
          <w:tcPr>
            <w:tcW w:type="dxa" w:w="115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Low</w:t>
            </w:r>
          </w:p>
        </w:tc>
        <w:tc>
          <w:tcPr>
            <w:tcW w:type="dxa" w:w="115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[score]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[tier]</w:t>
            </w:r>
          </w:p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B9B5E"/>
          <w:sz w:val="24"/>
        </w:rPr>
        <w:t>3.1 Channel Selection Rationale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5F5EC"/>
            <w:tcBorders>
              <w:top w:val="single" w:sz="4" w:space="0" w:color="1B9B5E"/>
              <w:bottom w:val="single" w:sz="4" w:space="0" w:color="1B9B5E"/>
              <w:left w:val="single" w:sz="4" w:space="0" w:color="1B9B5E"/>
              <w:right w:val="single" w:sz="4" w:space="0" w:color="1B9B5E"/>
            </w:tcBorders>
          </w:tcPr>
          <w:p>
            <w:r>
              <w:rPr>
                <w:rFonts w:ascii="Inter" w:hAnsi="Inter"/>
                <w:color w:val="999999"/>
                <w:sz w:val="19"/>
              </w:rPr>
              <w:t>[Decision Rules Applied:</w:t>
              <w:br/>
              <w:t>1. ICP Presence Gate — [which channels passed/failed and why]</w:t>
              <w:br/>
              <w:t>2. Budget Viability Gate — [which channels are affordable at this budget]</w:t>
              <w:br/>
              <w:t>3. Journey Coverage Check — [how the recommended set covers TOFU/MOFU/BOFU]</w:t>
              <w:br/>
              <w:t>4. Data Availability Tiebreaker — [any tiebreaker decisions made]]</w:t>
            </w:r>
          </w:p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B9B5E"/>
          <w:sz w:val="28"/>
        </w:rPr>
        <w:t>4. Recommended Channel Strategy</w:t>
      </w:r>
    </w:p>
    <w:p>
      <w:pPr>
        <w:spacing w:after="40"/>
        <w:jc w:val="left"/>
      </w:pPr>
      <w:r>
        <w:rPr>
          <w:rFonts w:ascii="Inter" w:hAnsi="Inter"/>
          <w:b w:val="0"/>
          <w:color w:val="666666"/>
          <w:sz w:val="19"/>
        </w:rPr>
        <w:t>Defines the role each recommended channel plays in the overall strategy.</w:t>
      </w:r>
    </w:p>
    <w:p>
      <w:pPr>
        <w:spacing w:after="80"/>
        <w:jc w:val="left"/>
      </w:pPr>
      <w:r>
        <w:rPr>
          <w:rFonts w:ascii="Inter" w:hAnsi="Inter"/>
          <w:b/>
          <w:color w:val="1B9B5E"/>
          <w:sz w:val="24"/>
        </w:rPr>
        <w:t>4.1 Channel Roles</w:t>
      </w:r>
    </w:p>
    <w:p>
      <w:pPr>
        <w:spacing w:after="40"/>
      </w:pPr>
      <w:r>
        <w:rPr>
          <w:rFonts w:ascii="Inter" w:hAnsi="Inter"/>
          <w:b/>
          <w:color w:val="121718"/>
          <w:sz w:val="22"/>
        </w:rPr>
        <w:t xml:space="preserve">[Primary Channel 1] </w:t>
      </w:r>
      <w:r>
        <w:rPr>
          <w:rFonts w:ascii="Inter" w:hAnsi="Inter"/>
          <w:i/>
          <w:color w:val="1B9B5E"/>
          <w:sz w:val="22"/>
        </w:rPr>
        <w:t xml:space="preserve">— [Role Title] </w:t>
      </w:r>
      <w:r>
        <w:rPr>
          <w:rFonts w:ascii="Inter" w:hAnsi="Inter"/>
          <w:b/>
          <w:color w:val="1B9B5E"/>
          <w:sz w:val="18"/>
        </w:rPr>
        <w:t>(PRIMARY)</w:t>
      </w:r>
    </w:p>
    <w:p>
      <w:pPr>
        <w:spacing w:after="160"/>
        <w:jc w:val="left"/>
      </w:pPr>
      <w:r>
        <w:rPr>
          <w:rFonts w:ascii="Inter" w:hAnsi="Inter"/>
          <w:b w:val="0"/>
          <w:color w:val="999999"/>
          <w:sz w:val="19"/>
        </w:rPr>
        <w:t>[2-3 sentences explaining this channel's role, what funnel stages it serves, and why it's primary for this client.]</w:t>
      </w:r>
    </w:p>
    <w:p>
      <w:pPr>
        <w:spacing w:after="40"/>
      </w:pPr>
      <w:r>
        <w:rPr>
          <w:rFonts w:ascii="Inter" w:hAnsi="Inter"/>
          <w:b/>
          <w:color w:val="121718"/>
          <w:sz w:val="22"/>
        </w:rPr>
        <w:t xml:space="preserve">[Primary Channel 2] </w:t>
      </w:r>
      <w:r>
        <w:rPr>
          <w:rFonts w:ascii="Inter" w:hAnsi="Inter"/>
          <w:i/>
          <w:color w:val="1B9B5E"/>
          <w:sz w:val="22"/>
        </w:rPr>
        <w:t xml:space="preserve">— [Role Title] </w:t>
      </w:r>
      <w:r>
        <w:rPr>
          <w:rFonts w:ascii="Inter" w:hAnsi="Inter"/>
          <w:b/>
          <w:color w:val="1B9B5E"/>
          <w:sz w:val="18"/>
        </w:rPr>
        <w:t>(PRIMARY)</w:t>
      </w:r>
    </w:p>
    <w:p>
      <w:pPr>
        <w:spacing w:after="160"/>
        <w:jc w:val="left"/>
      </w:pPr>
      <w:r>
        <w:rPr>
          <w:rFonts w:ascii="Inter" w:hAnsi="Inter"/>
          <w:b w:val="0"/>
          <w:color w:val="999999"/>
          <w:sz w:val="19"/>
        </w:rPr>
        <w:t>[2-3 sentences explaining this channel's role, what funnel stages it serves, and why it's primary for this client.]</w:t>
      </w:r>
    </w:p>
    <w:p>
      <w:pPr>
        <w:spacing w:after="40"/>
      </w:pPr>
      <w:r>
        <w:rPr>
          <w:rFonts w:ascii="Inter" w:hAnsi="Inter"/>
          <w:b/>
          <w:color w:val="121718"/>
          <w:sz w:val="22"/>
        </w:rPr>
        <w:t xml:space="preserve">[Supporting Channel] </w:t>
      </w:r>
      <w:r>
        <w:rPr>
          <w:rFonts w:ascii="Inter" w:hAnsi="Inter"/>
          <w:i/>
          <w:color w:val="1B9B5E"/>
          <w:sz w:val="22"/>
        </w:rPr>
        <w:t xml:space="preserve">— [Role Title] </w:t>
      </w:r>
      <w:r>
        <w:rPr>
          <w:rFonts w:ascii="Inter" w:hAnsi="Inter"/>
          <w:b/>
          <w:color w:val="1B9B5E"/>
          <w:sz w:val="18"/>
        </w:rPr>
        <w:t>(SUPPORTING)</w:t>
      </w:r>
    </w:p>
    <w:p>
      <w:pPr>
        <w:spacing w:after="160"/>
        <w:jc w:val="left"/>
      </w:pPr>
      <w:r>
        <w:rPr>
          <w:rFonts w:ascii="Inter" w:hAnsi="Inter"/>
          <w:b w:val="0"/>
          <w:color w:val="999999"/>
          <w:sz w:val="19"/>
        </w:rPr>
        <w:t>[2-3 sentences explaining this channel's role, what funnel stages it serves, and why it's supporting rather than primary.]</w:t>
      </w:r>
    </w:p>
    <w:p>
      <w:pPr>
        <w:spacing w:after="80"/>
        <w:jc w:val="left"/>
      </w:pPr>
      <w:r>
        <w:rPr>
          <w:rFonts w:ascii="Inter" w:hAnsi="Inter"/>
          <w:b/>
          <w:color w:val="1B9B5E"/>
          <w:sz w:val="28"/>
        </w:rPr>
        <w:t>5. Investment Overview</w:t>
      </w:r>
    </w:p>
    <w:p>
      <w:pPr>
        <w:spacing w:after="40"/>
        <w:jc w:val="left"/>
      </w:pPr>
      <w:r>
        <w:rPr>
          <w:rFonts w:ascii="Inter" w:hAnsi="Inter"/>
          <w:b w:val="0"/>
          <w:color w:val="666666"/>
          <w:sz w:val="19"/>
        </w:rPr>
        <w:t>Budget allocation across recommended channels. Retainers are fixed management costs. Ad spend is the adjustable control variable.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1728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Monthly Retainer</w:t>
            </w:r>
          </w:p>
        </w:tc>
        <w:tc>
          <w:tcPr>
            <w:tcW w:type="dxa" w:w="1728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Monthly Ad Spend</w:t>
            </w:r>
          </w:p>
        </w:tc>
        <w:tc>
          <w:tcPr>
            <w:tcW w:type="dxa" w:w="1728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Total Monthly</w:t>
            </w:r>
          </w:p>
        </w:tc>
        <w:tc>
          <w:tcPr>
            <w:tcW w:type="dxa" w:w="1872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[Channel 1]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[context]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[Channel 2]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[context]</w:t>
            </w:r>
          </w:p>
        </w:tc>
      </w:tr>
      <w:tr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[Channel 3]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[context]</w:t>
            </w:r>
          </w:p>
        </w:tc>
      </w:tr>
      <w:tr>
        <w:tc>
          <w:tcPr>
            <w:tcW w:type="dxa" w:w="1872"/>
            <w:shd w:fill="E5F5EC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121718"/>
                <w:sz w:val="18"/>
              </w:rPr>
              <w:t>Total</w:t>
            </w:r>
          </w:p>
        </w:tc>
        <w:tc>
          <w:tcPr>
            <w:tcW w:type="dxa" w:w="1728"/>
            <w:shd w:fill="E5F5EC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999999"/>
                <w:sz w:val="18"/>
              </w:rPr>
              <w:t>[total retainers]</w:t>
            </w:r>
          </w:p>
        </w:tc>
        <w:tc>
          <w:tcPr>
            <w:tcW w:type="dxa" w:w="1728"/>
            <w:shd w:fill="E5F5EC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999999"/>
                <w:sz w:val="18"/>
              </w:rPr>
              <w:t>[total ad spend]</w:t>
            </w:r>
          </w:p>
        </w:tc>
        <w:tc>
          <w:tcPr>
            <w:tcW w:type="dxa" w:w="1728"/>
            <w:shd w:fill="E5F5EC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999999"/>
                <w:sz w:val="18"/>
              </w:rPr>
              <w:t>[total monthly]</w:t>
            </w:r>
          </w:p>
        </w:tc>
        <w:tc>
          <w:tcPr>
            <w:tcW w:type="dxa" w:w="1872"/>
            <w:shd w:fill="E5F5EC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121718"/>
                <w:sz w:val="18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5F5EC"/>
            <w:tcBorders>
              <w:top w:val="single" w:sz="4" w:space="0" w:color="1B9B5E"/>
              <w:bottom w:val="single" w:sz="4" w:space="0" w:color="1B9B5E"/>
              <w:left w:val="single" w:sz="4" w:space="0" w:color="1B9B5E"/>
              <w:right w:val="single" w:sz="4" w:space="0" w:color="1B9B5E"/>
            </w:tcBorders>
          </w:tcPr>
          <w:p>
            <w:r>
              <w:rPr>
                <w:rFonts w:ascii="Inter" w:hAnsi="Inter"/>
                <w:color w:val="999999"/>
                <w:sz w:val="19"/>
              </w:rPr>
              <w:t>[Key Insight: Note about budget philosophy — retainers are fixed operational costs, ad spend is the adjustable control variable. Scaling up means increasing ad spend, not adding channels.]</w:t>
            </w:r>
          </w:p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B9B5E"/>
          <w:sz w:val="28"/>
        </w:rPr>
        <w:t>6. Channel Projections — Data-Backed</w:t>
      </w:r>
    </w:p>
    <w:p>
      <w:pPr>
        <w:spacing w:after="40"/>
        <w:jc w:val="left"/>
      </w:pPr>
      <w:r>
        <w:rPr>
          <w:rFonts w:ascii="Inter" w:hAnsi="Inter"/>
          <w:b w:val="0"/>
          <w:color w:val="666666"/>
          <w:sz w:val="19"/>
        </w:rPr>
        <w:t>Projections built from real keyword data (Step 3 Market Research). Bottom-up methodology: Clicks = Budget ÷ CPC → Leads → Clients → Revenue.</w:t>
      </w:r>
    </w:p>
    <w:p>
      <w:pPr>
        <w:spacing w:after="80"/>
        <w:jc w:val="left"/>
      </w:pPr>
      <w:r>
        <w:rPr>
          <w:rFonts w:ascii="Inter" w:hAnsi="Inter"/>
          <w:b/>
          <w:color w:val="1B9B5E"/>
          <w:sz w:val="24"/>
        </w:rPr>
        <w:t>6.1 [Data-Backed Channel] — Service Line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72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[Service Line 1]</w:t>
            </w:r>
          </w:p>
        </w:tc>
        <w:tc>
          <w:tcPr>
            <w:tcW w:type="dxa" w:w="1872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[Service Line 2]</w:t>
            </w:r>
          </w:p>
        </w:tc>
        <w:tc>
          <w:tcPr>
            <w:tcW w:type="dxa" w:w="288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DFY Management Retainer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—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Fixed monthly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Avg CPC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From Step 3 keyword data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Monthly Ad Budget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Input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LP Conversion Rate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[rate]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[rate]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Input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Sales Closing Rate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[rate]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[rate]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Input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Revenue Per Client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From Step 5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Monthly Clicks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Budget ÷ CPC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Monthly Leads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Clicks × Conv Rate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Cost Per Lead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Budget ÷ Leads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New Clients/Month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Leads × Close Rate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Cost Per Acquisition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Budget ÷ Clients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Monthly Revenue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Clients × Rev/Client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Ad Spend ROAS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Revenue ÷ Ad Spend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Monthly Profit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Revenue − Ad Spend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Profit Margin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Profit ÷ Revenue</w:t>
            </w:r>
          </w:p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21718"/>
          <w:sz w:val="20"/>
        </w:rPr>
        <w:t>Combined Profitability (includes retainer):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Combined</w:t>
            </w:r>
          </w:p>
        </w:tc>
      </w:tr>
      <w:tr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Total Revenue</w:t>
            </w:r>
          </w:p>
        </w:tc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[sum of service lines]</w:t>
            </w:r>
          </w:p>
        </w:tc>
      </w:tr>
      <w:tr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Total Ad Spend</w:t>
            </w:r>
          </w:p>
        </w:tc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[sum of service line budgets]</w:t>
            </w:r>
          </w:p>
        </w:tc>
      </w:tr>
      <w:tr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Total Investment</w:t>
            </w:r>
          </w:p>
        </w:tc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[ad spend + retainer]</w:t>
            </w:r>
          </w:p>
        </w:tc>
      </w:tr>
      <w:tr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New Clients</w:t>
            </w:r>
          </w:p>
        </w:tc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[sum]</w:t>
            </w:r>
          </w:p>
        </w:tc>
      </w:tr>
      <w:tr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True ROAS</w:t>
            </w:r>
          </w:p>
        </w:tc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[Revenue ÷ Total Investment]</w:t>
            </w:r>
          </w:p>
        </w:tc>
      </w:tr>
      <w:tr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CPA</w:t>
            </w:r>
          </w:p>
        </w:tc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[Total Investment ÷ Clients]</w:t>
            </w:r>
          </w:p>
        </w:tc>
      </w:tr>
      <w:tr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Profit</w:t>
            </w:r>
          </w:p>
        </w:tc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[Revenue − Total Investment]</w:t>
            </w:r>
          </w:p>
        </w:tc>
      </w:tr>
      <w:tr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Profit Margin</w:t>
            </w:r>
          </w:p>
        </w:tc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[Profit ÷ Revenue]</w:t>
            </w:r>
          </w:p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B9B5E"/>
          <w:sz w:val="28"/>
        </w:rPr>
        <w:t>7. Channel Projections — Modeled Estimates</w:t>
      </w:r>
    </w:p>
    <w:p>
      <w:pPr>
        <w:spacing w:after="40"/>
        <w:jc w:val="left"/>
      </w:pPr>
      <w:r>
        <w:rPr>
          <w:rFonts w:ascii="Inter" w:hAnsi="Inter"/>
          <w:b w:val="0"/>
          <w:color w:val="666666"/>
          <w:sz w:val="19"/>
        </w:rPr>
        <w:t>Projections built from industry CPM/CTR benchmarks. Top-down methodology: Impressions = Budget ÷ CPM × 1000 → Clicks → Leads → Clients → Revenue.</w:t>
      </w:r>
    </w:p>
    <w:p>
      <w:pPr>
        <w:spacing w:after="80"/>
        <w:jc w:val="left"/>
      </w:pPr>
      <w:r>
        <w:rPr>
          <w:rFonts w:ascii="Inter" w:hAnsi="Inter"/>
          <w:b/>
          <w:color w:val="1B9B5E"/>
          <w:sz w:val="24"/>
        </w:rPr>
        <w:t>7.1 [Modeled Channel] — Service Line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72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[Service Line 1]</w:t>
            </w:r>
          </w:p>
        </w:tc>
        <w:tc>
          <w:tcPr>
            <w:tcW w:type="dxa" w:w="1872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[Service Line 2]</w:t>
            </w:r>
          </w:p>
        </w:tc>
        <w:tc>
          <w:tcPr>
            <w:tcW w:type="dxa" w:w="288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DFY Management Retainer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—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Fixed monthly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Daily Ad Budget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Input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Monthly Ad Budget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Daily × 30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CPM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Industry benchmark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CTR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[rate]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[rate]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Industry benchmark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Effective CPC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CPM ÷ (CTR × 1000)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LP Conversion Rate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[rate]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[rate]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Input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Sales Closing Rate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[rate]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[rate]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Input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Revenue Per Client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[amount]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From Step 5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Monthly Impressions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Budget ÷ CPM × 1000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Monthly Clicks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Impressions × CTR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Monthly Leads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Clicks × Conv Rate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Cost Per Lead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Budget ÷ Leads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New Clients/Month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Leads × Close Rate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Cost Per Acquisition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Budget ÷ Clients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Monthly Revenue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Clients × Rev/Client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Ad Spend ROAS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Revenue ÷ Ad Spend</w:t>
            </w:r>
          </w:p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Monthly Profit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Revenue − Ad Spend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Profit Margin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187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[calculated]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= Profit ÷ Revenue</w:t>
            </w:r>
          </w:p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21718"/>
          <w:sz w:val="20"/>
        </w:rPr>
        <w:t>Benchmark Sources: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28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[Source 1]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CPM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[range]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[context]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[Source 2]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CTR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[range]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[context]</w:t>
            </w:r>
          </w:p>
        </w:tc>
      </w:tr>
      <w:tr>
        <w:tc>
          <w:tcPr>
            <w:tcW w:type="dxa" w:w="259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[Source 3]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LP Conv Rate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[range]</w:t>
            </w:r>
          </w:p>
        </w:tc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[context]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[Source 4]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Close Rate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[range]</w:t>
            </w:r>
          </w:p>
        </w:tc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[context]</w:t>
            </w:r>
          </w:p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21718"/>
          <w:sz w:val="20"/>
        </w:rPr>
        <w:t>Combined Profitability (includes retainer):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Combined</w:t>
            </w:r>
          </w:p>
        </w:tc>
      </w:tr>
      <w:tr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Total Revenue</w:t>
            </w:r>
          </w:p>
        </w:tc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[sum of service lines]</w:t>
            </w:r>
          </w:p>
        </w:tc>
      </w:tr>
      <w:tr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Total Ad Spend</w:t>
            </w:r>
          </w:p>
        </w:tc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[sum of service line budgets]</w:t>
            </w:r>
          </w:p>
        </w:tc>
      </w:tr>
      <w:tr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Total Investment</w:t>
            </w:r>
          </w:p>
        </w:tc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[ad spend + retainer]</w:t>
            </w:r>
          </w:p>
        </w:tc>
      </w:tr>
      <w:tr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New Clients</w:t>
            </w:r>
          </w:p>
        </w:tc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[sum]</w:t>
            </w:r>
          </w:p>
        </w:tc>
      </w:tr>
      <w:tr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True ROAS</w:t>
            </w:r>
          </w:p>
        </w:tc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[Revenue ÷ Total Investment]</w:t>
            </w:r>
          </w:p>
        </w:tc>
      </w:tr>
      <w:tr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CPA</w:t>
            </w:r>
          </w:p>
        </w:tc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[Total Investment ÷ Clients]</w:t>
            </w:r>
          </w:p>
        </w:tc>
      </w:tr>
      <w:tr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Profit</w:t>
            </w:r>
          </w:p>
        </w:tc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[Revenue − Total Investment]</w:t>
            </w:r>
          </w:p>
        </w:tc>
      </w:tr>
      <w:tr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121718"/>
                <w:sz w:val="18"/>
              </w:rPr>
              <w:t>Profit Margin</w:t>
            </w:r>
          </w:p>
        </w:tc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[Profit ÷ Revenue]</w:t>
            </w:r>
          </w:p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B9B5E"/>
          <w:sz w:val="28"/>
        </w:rPr>
        <w:t>8. Content &amp; SEO Foundation</w:t>
      </w:r>
    </w:p>
    <w:p>
      <w:pPr>
        <w:spacing w:after="40"/>
        <w:jc w:val="left"/>
      </w:pPr>
      <w:r>
        <w:rPr>
          <w:rFonts w:ascii="Inter" w:hAnsi="Inter"/>
          <w:b w:val="0"/>
          <w:color w:val="666666"/>
          <w:sz w:val="19"/>
        </w:rPr>
        <w:t>Inventory of foundation pages and SEO services needed to support the channel strategy. Content is the storefront — channels drive traffic to it.</w:t>
      </w:r>
    </w:p>
    <w:p>
      <w:pPr>
        <w:spacing w:after="80"/>
        <w:jc w:val="left"/>
      </w:pPr>
      <w:r>
        <w:rPr>
          <w:rFonts w:ascii="Inter" w:hAnsi="Inter"/>
          <w:b/>
          <w:color w:val="1B9B5E"/>
          <w:sz w:val="24"/>
        </w:rPr>
        <w:t>8.1 Foundation Page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152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Pages</w:t>
            </w:r>
          </w:p>
        </w:tc>
        <w:tc>
          <w:tcPr>
            <w:tcW w:type="dxa" w:w="1728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Asset Value</w:t>
            </w:r>
          </w:p>
        </w:tc>
        <w:tc>
          <w:tcPr>
            <w:tcW w:type="dxa" w:w="3168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[Page Category 1]</w:t>
            </w:r>
          </w:p>
        </w:tc>
        <w:tc>
          <w:tcPr>
            <w:tcW w:type="dxa" w:w="115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[qty]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[cost]</w:t>
            </w:r>
          </w:p>
        </w:tc>
        <w:tc>
          <w:tcPr>
            <w:tcW w:type="dxa" w:w="316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[description]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[Page Category 2]</w:t>
            </w:r>
          </w:p>
        </w:tc>
        <w:tc>
          <w:tcPr>
            <w:tcW w:type="dxa" w:w="115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[qty]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[cost]</w:t>
            </w:r>
          </w:p>
        </w:tc>
        <w:tc>
          <w:tcPr>
            <w:tcW w:type="dxa" w:w="316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[description]</w:t>
            </w:r>
          </w:p>
        </w:tc>
      </w:tr>
      <w:tr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[Page Category 3]</w:t>
            </w:r>
          </w:p>
        </w:tc>
        <w:tc>
          <w:tcPr>
            <w:tcW w:type="dxa" w:w="115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[qty]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[cost]</w:t>
            </w:r>
          </w:p>
        </w:tc>
        <w:tc>
          <w:tcPr>
            <w:tcW w:type="dxa" w:w="316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[description]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[Page Category 4]</w:t>
            </w:r>
          </w:p>
        </w:tc>
        <w:tc>
          <w:tcPr>
            <w:tcW w:type="dxa" w:w="115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[qty]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[cost]</w:t>
            </w:r>
          </w:p>
        </w:tc>
        <w:tc>
          <w:tcPr>
            <w:tcW w:type="dxa" w:w="316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[description]</w:t>
            </w:r>
          </w:p>
        </w:tc>
      </w:tr>
      <w:tr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[Page Category 5]</w:t>
            </w:r>
          </w:p>
        </w:tc>
        <w:tc>
          <w:tcPr>
            <w:tcW w:type="dxa" w:w="1152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[qty]</w:t>
            </w:r>
          </w:p>
        </w:tc>
        <w:tc>
          <w:tcPr>
            <w:tcW w:type="dxa" w:w="172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[cost]</w:t>
            </w:r>
          </w:p>
        </w:tc>
        <w:tc>
          <w:tcPr>
            <w:tcW w:type="dxa" w:w="3168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[description]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[Page Category 6]</w:t>
            </w:r>
          </w:p>
        </w:tc>
        <w:tc>
          <w:tcPr>
            <w:tcW w:type="dxa" w:w="1152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[qty]</w:t>
            </w:r>
          </w:p>
        </w:tc>
        <w:tc>
          <w:tcPr>
            <w:tcW w:type="dxa" w:w="172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[cost]</w:t>
            </w:r>
          </w:p>
        </w:tc>
        <w:tc>
          <w:tcPr>
            <w:tcW w:type="dxa" w:w="3168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[description]</w:t>
            </w:r>
          </w:p>
        </w:tc>
      </w:tr>
      <w:tr>
        <w:tc>
          <w:tcPr>
            <w:tcW w:type="dxa" w:w="2880"/>
            <w:shd w:fill="E5F5EC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121718"/>
                <w:sz w:val="18"/>
              </w:rPr>
              <w:t>Content Marketing Subtotal</w:t>
            </w:r>
          </w:p>
        </w:tc>
        <w:tc>
          <w:tcPr>
            <w:tcW w:type="dxa" w:w="1152"/>
            <w:shd w:fill="E5F5EC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999999"/>
                <w:sz w:val="18"/>
              </w:rPr>
              <w:t>[total pages]</w:t>
            </w:r>
          </w:p>
        </w:tc>
        <w:tc>
          <w:tcPr>
            <w:tcW w:type="dxa" w:w="1728"/>
            <w:shd w:fill="E5F5EC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999999"/>
                <w:sz w:val="18"/>
              </w:rPr>
              <w:t>[total cost]</w:t>
            </w:r>
          </w:p>
        </w:tc>
        <w:tc>
          <w:tcPr>
            <w:tcW w:type="dxa" w:w="3168"/>
            <w:shd w:fill="E5F5EC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121718"/>
                <w:sz w:val="18"/>
              </w:rPr>
            </w:r>
          </w:p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B9B5E"/>
          <w:sz w:val="24"/>
        </w:rPr>
        <w:t>8.2 SEO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60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2160"/>
            <w:shd w:fill="121718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[Service 1]</w:t>
            </w:r>
          </w:p>
        </w:tc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[description]</w:t>
            </w:r>
          </w:p>
        </w:tc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[cost or range]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[Service 2]</w:t>
            </w:r>
          </w:p>
        </w:tc>
        <w:tc>
          <w:tcPr>
            <w:tcW w:type="dxa" w:w="360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[description]</w:t>
            </w:r>
          </w:p>
        </w:tc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[cost or range]</w:t>
            </w:r>
          </w:p>
        </w:tc>
      </w:tr>
      <w:tr>
        <w:tc>
          <w:tcPr>
            <w:tcW w:type="dxa" w:w="288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[Service 3]</w:t>
            </w:r>
          </w:p>
        </w:tc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[description]</w:t>
            </w:r>
          </w:p>
        </w:tc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 w:val="0"/>
                <w:color w:val="999999"/>
                <w:sz w:val="18"/>
              </w:rPr>
              <w:t>[cost or range]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5F5EC"/>
            <w:tcBorders>
              <w:top w:val="single" w:sz="4" w:space="0" w:color="1B9B5E"/>
              <w:bottom w:val="single" w:sz="4" w:space="0" w:color="1B9B5E"/>
              <w:left w:val="single" w:sz="4" w:space="0" w:color="1B9B5E"/>
              <w:right w:val="single" w:sz="4" w:space="0" w:color="1B9B5E"/>
            </w:tcBorders>
          </w:tcPr>
          <w:p>
            <w:r>
              <w:rPr>
                <w:rFonts w:ascii="Inter" w:hAnsi="Inter"/>
                <w:color w:val="999999"/>
                <w:sz w:val="19"/>
              </w:rPr>
              <w:t>[Key Insight: Content is the foundation that all channels drive traffic to. Without landing pages, blog content, and a strong SEO base, paid channels have nowhere to send prospects. Content marketing is a one-time investment that compounds over time.]</w:t>
            </w:r>
          </w:p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B9B5E"/>
          <w:sz w:val="28"/>
        </w:rPr>
        <w:t>9. Key Takeaways &amp; Next Steps</w:t>
      </w:r>
    </w:p>
    <w:p>
      <w:pPr>
        <w:spacing w:after="40"/>
        <w:jc w:val="left"/>
      </w:pPr>
      <w:r>
        <w:rPr>
          <w:rFonts w:ascii="Inter" w:hAnsi="Inter"/>
          <w:b w:val="0"/>
          <w:color w:val="666666"/>
          <w:sz w:val="19"/>
        </w:rPr>
        <w:t>Top findings and bridge to Step 7 (Success Metrics &amp; Launch Roadmap).</w:t>
      </w:r>
    </w:p>
    <w:p>
      <w:pPr>
        <w:spacing w:after="80"/>
        <w:jc w:val="left"/>
      </w:pPr>
      <w:r>
        <w:rPr>
          <w:rFonts w:ascii="Inter" w:hAnsi="Inter"/>
          <w:b/>
          <w:color w:val="1B9B5E"/>
          <w:sz w:val="24"/>
        </w:rPr>
        <w:t>Key Takeaways</w:t>
      </w:r>
    </w:p>
    <w:p>
      <w:pPr>
        <w:spacing w:after="80"/>
      </w:pPr>
      <w:r>
        <w:rPr>
          <w:rFonts w:ascii="Inter" w:hAnsi="Inter"/>
          <w:color w:val="1B9B5E"/>
          <w:sz w:val="20"/>
        </w:rPr>
        <w:t xml:space="preserve">▸  </w:t>
      </w:r>
      <w:r>
        <w:rPr>
          <w:rFonts w:ascii="Inter" w:hAnsi="Inter"/>
          <w:color w:val="999999"/>
          <w:sz w:val="20"/>
        </w:rPr>
        <w:t>[Takeaway about primary channel role and why it's the foundation]</w:t>
      </w:r>
    </w:p>
    <w:p>
      <w:pPr>
        <w:spacing w:after="80"/>
      </w:pPr>
      <w:r>
        <w:rPr>
          <w:rFonts w:ascii="Inter" w:hAnsi="Inter"/>
          <w:color w:val="1B9B5E"/>
          <w:sz w:val="20"/>
        </w:rPr>
        <w:t xml:space="preserve">▸  </w:t>
      </w:r>
      <w:r>
        <w:rPr>
          <w:rFonts w:ascii="Inter" w:hAnsi="Inter"/>
          <w:color w:val="999999"/>
          <w:sz w:val="20"/>
        </w:rPr>
        <w:t>[Takeaway about secondary channel role and how it complements]</w:t>
      </w:r>
    </w:p>
    <w:p>
      <w:pPr>
        <w:spacing w:after="80"/>
      </w:pPr>
      <w:r>
        <w:rPr>
          <w:rFonts w:ascii="Inter" w:hAnsi="Inter"/>
          <w:color w:val="1B9B5E"/>
          <w:sz w:val="20"/>
        </w:rPr>
        <w:t xml:space="preserve">▸  </w:t>
      </w:r>
      <w:r>
        <w:rPr>
          <w:rFonts w:ascii="Inter" w:hAnsi="Inter"/>
          <w:color w:val="999999"/>
          <w:sz w:val="20"/>
        </w:rPr>
        <w:t>[Takeaway about supporting channel role and demand generation]</w:t>
      </w:r>
    </w:p>
    <w:p>
      <w:pPr>
        <w:spacing w:after="80"/>
      </w:pPr>
      <w:r>
        <w:rPr>
          <w:rFonts w:ascii="Inter" w:hAnsi="Inter"/>
          <w:color w:val="1B9B5E"/>
          <w:sz w:val="20"/>
        </w:rPr>
        <w:t xml:space="preserve">▸  </w:t>
      </w:r>
      <w:r>
        <w:rPr>
          <w:rFonts w:ascii="Inter" w:hAnsi="Inter"/>
          <w:color w:val="999999"/>
          <w:sz w:val="20"/>
        </w:rPr>
        <w:t>[Takeaway about funnel architecture and how channels work together]</w:t>
      </w:r>
    </w:p>
    <w:p>
      <w:pPr>
        <w:spacing w:after="80"/>
      </w:pPr>
      <w:r>
        <w:rPr>
          <w:rFonts w:ascii="Inter" w:hAnsi="Inter"/>
          <w:color w:val="1B9B5E"/>
          <w:sz w:val="20"/>
        </w:rPr>
        <w:t xml:space="preserve">▸  </w:t>
      </w:r>
      <w:r>
        <w:rPr>
          <w:rFonts w:ascii="Inter" w:hAnsi="Inter"/>
          <w:color w:val="999999"/>
          <w:sz w:val="20"/>
        </w:rPr>
        <w:t>[Takeaway about budget control lever and scaling strategy]</w:t>
      </w:r>
    </w:p>
    <w:p>
      <w:pPr>
        <w:spacing w:after="80"/>
        <w:jc w:val="left"/>
      </w:pPr>
      <w:r>
        <w:rPr>
          <w:rFonts w:ascii="Inter" w:hAnsi="Inter"/>
          <w:b/>
          <w:color w:val="1B9B5E"/>
          <w:sz w:val="24"/>
        </w:rPr>
        <w:t>Next Steps — Bridge to Step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5F5EC"/>
            <w:tcBorders>
              <w:top w:val="single" w:sz="4" w:space="0" w:color="1B9B5E"/>
              <w:bottom w:val="single" w:sz="4" w:space="0" w:color="1B9B5E"/>
              <w:left w:val="single" w:sz="4" w:space="0" w:color="1B9B5E"/>
              <w:right w:val="single" w:sz="4" w:space="0" w:color="1B9B5E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Step 6 answered: "Where should we show up, and what should we expect?"</w:t>
              <w:br/>
              <w:br/>
              <w:t>Step 7 will answer: "How do we execute, in what order, and how do we know it's working?"</w:t>
              <w:br/>
              <w:br/>
              <w:t>•  Launch sequencing and 90-day roadmap (Step 7)</w:t>
              <w:br/>
              <w:t>•  KPI targets with success/warning/failure thresholds (Step 7)</w:t>
              <w:br/>
              <w:t>•  Weekly milestone tracking framework (Step 7)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