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04BFE">
      <w:pPr>
        <w:rPr>
          <w:rFonts w:hint="eastAsia" w:ascii="黑体" w:hAnsi="黑体" w:eastAsia="黑体"/>
          <w:lang w:val="en-US" w:eastAsia="zh-CN"/>
        </w:rPr>
      </w:pPr>
      <w:r>
        <w:rPr>
          <w:rFonts w:ascii="黑体" w:hAnsi="黑体" w:eastAsia="黑体"/>
        </w:rPr>
        <w:t>附件</w:t>
      </w:r>
      <w:r>
        <w:rPr>
          <w:rFonts w:hint="eastAsia" w:ascii="黑体" w:hAnsi="黑体" w:eastAsia="黑体"/>
          <w:lang w:val="en-US" w:eastAsia="zh-CN"/>
        </w:rPr>
        <w:t>1</w:t>
      </w:r>
    </w:p>
    <w:p w14:paraId="693014F4">
      <w:pPr>
        <w:pStyle w:val="23"/>
      </w:pPr>
      <w:r>
        <w:t>调研提纲</w:t>
      </w:r>
    </w:p>
    <w:p w14:paraId="74A0D1FE">
      <w:pPr>
        <w:ind w:firstLine="640" w:firstLineChars="200"/>
      </w:pPr>
    </w:p>
    <w:p w14:paraId="58A4F90E">
      <w:pPr>
        <w:pStyle w:val="25"/>
        <w:rPr>
          <w:b w:val="0"/>
          <w:bCs/>
        </w:rPr>
      </w:pPr>
      <w:r>
        <w:rPr>
          <w:rFonts w:hint="eastAsia"/>
          <w:b w:val="0"/>
          <w:bCs/>
        </w:rPr>
        <w:t>请各</w:t>
      </w:r>
      <w:bookmarkStart w:id="0" w:name="_GoBack"/>
      <w:r>
        <w:rPr>
          <w:rFonts w:hint="eastAsia"/>
          <w:b w:val="0"/>
          <w:bCs/>
        </w:rPr>
        <w:t>企业</w:t>
      </w:r>
      <w:bookmarkEnd w:id="0"/>
      <w:r>
        <w:rPr>
          <w:rFonts w:hint="eastAsia"/>
          <w:b w:val="0"/>
          <w:bCs/>
        </w:rPr>
        <w:t>根据发展阶段和行业特点在回答共性调研问题的基础上，针对性回应个性调研问题。</w:t>
      </w:r>
    </w:p>
    <w:p w14:paraId="4BF36A9F">
      <w:pPr>
        <w:pStyle w:val="19"/>
        <w:ind w:firstLine="640" w:firstLineChars="200"/>
      </w:pPr>
      <w:r>
        <w:rPr>
          <w:rFonts w:hint="eastAsia"/>
        </w:rPr>
        <w:t>一、共性调研问题</w:t>
      </w:r>
    </w:p>
    <w:p w14:paraId="544E3C1D">
      <w:pPr>
        <w:pStyle w:val="21"/>
        <w:ind w:firstLine="640" w:firstLineChars="200"/>
      </w:pPr>
      <w:r>
        <w:rPr>
          <w:rFonts w:hint="eastAsia"/>
        </w:rPr>
        <w:t>（一）总体考虑和战略规划</w:t>
      </w:r>
    </w:p>
    <w:p w14:paraId="58650305">
      <w:pPr>
        <w:ind w:firstLine="640" w:firstLineChars="200"/>
      </w:pPr>
      <w:r>
        <w:rPr>
          <w:rFonts w:hint="eastAsia"/>
        </w:rPr>
        <w:t>企业推进“AI+”发展的总体思路和战略定位是什么，是选择重点领域、小切口先行先试，还是面向全业务、全流程系统推进？是否制定人工智能专项规划或“一企一方案”，算力、数据语料、模型、平台和应用如何统筹布局？目标任务如何分解到集团部门和所属企业，主要负责同志和领导班子参与研究、部署和调度的机制如何？</w:t>
      </w:r>
    </w:p>
    <w:p w14:paraId="3631B288">
      <w:pPr>
        <w:pStyle w:val="21"/>
        <w:ind w:firstLine="640" w:firstLineChars="200"/>
      </w:pPr>
      <w:r>
        <w:rPr>
          <w:rFonts w:hint="eastAsia"/>
        </w:rPr>
        <w:t>（二）基础能力和技术路线</w:t>
      </w:r>
    </w:p>
    <w:p w14:paraId="2B9ACB79">
      <w:pPr>
        <w:ind w:firstLine="640" w:firstLineChars="200"/>
      </w:pPr>
      <w:r>
        <w:rPr>
          <w:rFonts w:hint="eastAsia"/>
        </w:rPr>
        <w:t>企业在算力、数据语料、模型、知识库、智能体、AI中台和安全评测等方面形成了哪些基础能力？相关能力由集团统一建设还是由所属企业、业务板块分别建设，应用是统一部署在AI中台上还是相对独立运行？集团内部数据、业务知识和“老师傅经验”如何梳理沉淀，是否打通内部数据边界，如何避免重复建设和系统割裂？</w:t>
      </w:r>
    </w:p>
    <w:p w14:paraId="6C7CA00B">
      <w:pPr>
        <w:pStyle w:val="21"/>
        <w:ind w:firstLine="640" w:firstLineChars="200"/>
      </w:pPr>
      <w:r>
        <w:rPr>
          <w:rFonts w:hint="eastAsia"/>
        </w:rPr>
        <w:t>（三）工作进展和高价值场景</w:t>
      </w:r>
    </w:p>
    <w:p w14:paraId="0414C3F4">
      <w:pPr>
        <w:ind w:firstLine="640" w:firstLineChars="200"/>
      </w:pPr>
      <w:r>
        <w:rPr>
          <w:rFonts w:hint="eastAsia"/>
        </w:rPr>
        <w:t>企业目前推进了哪些重大人工智能项目，围绕主责主业形成了哪些战略性高价值场景？场景如何发现、遴选、排序和组织实施，是否从办公辅助类应用向研发、生产、运营、服务和决策等核心业务延伸？项目处于技术验证、试点应用、复制推广还是规模化使用阶段，在提质、增效、降本、控险等方面取得了哪些可量化成效？</w:t>
      </w:r>
    </w:p>
    <w:p w14:paraId="2BAE2828">
      <w:pPr>
        <w:pStyle w:val="21"/>
        <w:ind w:firstLine="640" w:firstLineChars="200"/>
      </w:pPr>
      <w:r>
        <w:rPr>
          <w:rFonts w:hint="eastAsia"/>
        </w:rPr>
        <w:t>（四）经费、人力和体制机制保障</w:t>
      </w:r>
    </w:p>
    <w:p w14:paraId="53474911">
      <w:pPr>
        <w:ind w:firstLine="640" w:firstLineChars="200"/>
      </w:pPr>
      <w:r>
        <w:rPr>
          <w:rFonts w:hint="eastAsia"/>
        </w:rPr>
        <w:t>企业人工智能投入的总体规模、年度预算、经费来源和保障方式如何，现有预算管理和采购机制能否适应人工智能项目快速迭代的特点？人工智能组织模式和专业团队如何设置，业务、技术、数据和安全人员如何协同，人才引进、培养、使用、常态交流和激励机制如何安排？现有考核方式、工资总额、容错纠错等机制如何安排？</w:t>
      </w:r>
    </w:p>
    <w:p w14:paraId="70CAF667">
      <w:pPr>
        <w:pStyle w:val="21"/>
        <w:ind w:firstLine="640" w:firstLineChars="200"/>
      </w:pPr>
      <w:r>
        <w:rPr>
          <w:rFonts w:hint="eastAsia"/>
        </w:rPr>
        <w:t>（五）培训活动和生态建设</w:t>
      </w:r>
    </w:p>
    <w:p w14:paraId="355BB678">
      <w:pPr>
        <w:ind w:firstLine="640" w:firstLineChars="200"/>
      </w:pPr>
      <w:r>
        <w:rPr>
          <w:rFonts w:hint="eastAsia"/>
        </w:rPr>
        <w:t>企业围绕提升领导干部、业务人员和技术人员人工智能素养，开展了哪些“一把手讲AI”、专题培训、FDE培训、应用大赛、黑客松和供需对接活动，培训覆盖面及实际效果如何？与高校、科研院所、科技企业和产业链企业建立了哪些联合攻关、场景共创和成果转化机制，形成的模型、工具、产品和解决方案如何赋能所属企业、产业链及行业发展？</w:t>
      </w:r>
    </w:p>
    <w:p w14:paraId="1A73E68C">
      <w:pPr>
        <w:pStyle w:val="21"/>
        <w:ind w:firstLine="640" w:firstLineChars="200"/>
      </w:pPr>
      <w:r>
        <w:rPr>
          <w:rFonts w:hint="eastAsia"/>
        </w:rPr>
        <w:t>（六）困难诉求和需协调事项</w:t>
      </w:r>
    </w:p>
    <w:p w14:paraId="6B60513D">
      <w:pPr>
        <w:ind w:firstLine="640" w:firstLineChars="200"/>
      </w:pPr>
      <w:r>
        <w:rPr>
          <w:rFonts w:hint="eastAsia"/>
        </w:rPr>
        <w:t>企业推进人工智能发展面临哪些突出瓶颈和共性困难，重点包括算力成本、数据语料共享、模型适配、系统改造、场景开放、人才引育、资金投入、预算采购、安全合规、成果转化、考核激励等方面。对国资及市级部门有何具体建议？</w:t>
      </w:r>
    </w:p>
    <w:p w14:paraId="69197CD4">
      <w:pPr>
        <w:pStyle w:val="19"/>
        <w:ind w:firstLine="640" w:firstLineChars="200"/>
      </w:pPr>
      <w:r>
        <w:rPr>
          <w:rFonts w:hint="eastAsia"/>
        </w:rPr>
        <w:t>二、个性调研问题</w:t>
      </w:r>
    </w:p>
    <w:p w14:paraId="11D6D1F8">
      <w:pPr>
        <w:pStyle w:val="21"/>
        <w:ind w:firstLine="640" w:firstLineChars="200"/>
      </w:pPr>
      <w:r>
        <w:rPr>
          <w:rFonts w:hint="eastAsia"/>
        </w:rPr>
        <w:t>（一）人工智能基础设施</w:t>
      </w:r>
    </w:p>
    <w:p w14:paraId="7941E1B8">
      <w:pPr>
        <w:ind w:firstLine="640" w:firstLineChars="200"/>
      </w:pPr>
      <w:r>
        <w:rPr>
          <w:rFonts w:hint="eastAsia"/>
        </w:rPr>
        <w:t>1. 企业在国企智算专区、智算云扩容、国产算力适配、算力统一调度、AI4S科学智能平台和智能体云平台等方面的建设目标、实施路径和运营模式是什么？</w:t>
      </w:r>
      <w:r>
        <w:t>与监管企业现有信息系统和业务场景如何衔接？</w:t>
      </w:r>
    </w:p>
    <w:p w14:paraId="6F7D4CBF">
      <w:pPr>
        <w:ind w:firstLine="640" w:firstLineChars="200"/>
      </w:pPr>
      <w:r>
        <w:rPr>
          <w:rFonts w:hint="eastAsia"/>
        </w:rPr>
        <w:t>2</w:t>
      </w:r>
      <w:r>
        <w:t xml:space="preserve">. </w:t>
      </w:r>
      <w:r>
        <w:rPr>
          <w:rFonts w:hint="eastAsia"/>
        </w:rPr>
        <w:t>企业</w:t>
      </w:r>
      <w:r>
        <w:t>在城市级、行业级、企业级数据可信空间建设，数据分类分级、授权使用、安全合规和跨企业数据流通等方面有哪些基础，如何提升高质量行业数据供给能力？</w:t>
      </w:r>
    </w:p>
    <w:p w14:paraId="34F633CC">
      <w:pPr>
        <w:ind w:firstLine="640" w:firstLineChars="200"/>
      </w:pPr>
      <w:r>
        <w:rPr>
          <w:rFonts w:hint="eastAsia"/>
        </w:rPr>
        <w:t>3</w:t>
      </w:r>
      <w:r>
        <w:t xml:space="preserve">. </w:t>
      </w:r>
      <w:r>
        <w:rPr>
          <w:rFonts w:hint="eastAsia"/>
        </w:rPr>
        <w:t>企业</w:t>
      </w:r>
      <w:r>
        <w:t>语料运营公共服务平台、</w:t>
      </w:r>
      <w:r>
        <w:rPr>
          <w:rFonts w:hint="eastAsia"/>
        </w:rPr>
        <w:t>“</w:t>
      </w:r>
      <w:r>
        <w:t>1+N</w:t>
      </w:r>
      <w:r>
        <w:rPr>
          <w:rFonts w:hint="eastAsia"/>
        </w:rPr>
        <w:t>”</w:t>
      </w:r>
      <w:r>
        <w:t>语料服务体系、智能体工具链和应用评测平台建设情况如何，能够为监管企业提供哪些专业化服务？</w:t>
      </w:r>
    </w:p>
    <w:p w14:paraId="642DEF0D">
      <w:pPr>
        <w:ind w:firstLine="640" w:firstLineChars="200"/>
      </w:pPr>
      <w:r>
        <w:rPr>
          <w:rFonts w:hint="eastAsia"/>
        </w:rPr>
        <w:t>4. 共性平台与监管企业自建平台如何分工协同，是否存在重复建设、标准不统一、接口不兼容、供需对接不顺畅等问题，下一步如何建立统一目录、服务标准和市场化运营机制？</w:t>
      </w:r>
    </w:p>
    <w:p w14:paraId="5138ACAC">
      <w:pPr>
        <w:pStyle w:val="21"/>
        <w:ind w:firstLine="640" w:firstLineChars="200"/>
      </w:pPr>
      <w:r>
        <w:rPr>
          <w:rFonts w:hint="eastAsia"/>
        </w:rPr>
        <w:t>（二）“AI+”研发</w:t>
      </w:r>
    </w:p>
    <w:p w14:paraId="0645325B">
      <w:pPr>
        <w:ind w:firstLine="640" w:firstLineChars="200"/>
      </w:pPr>
      <w:r>
        <w:rPr>
          <w:rFonts w:hint="eastAsia"/>
        </w:rPr>
        <w:t>1. 企业围绕装备制造、新材料、生物医药等主业，重点布局了哪些AI4S和“AI+研发”方向，人工智能在材料发现、药物研发、产品设计和工艺开发等环节发挥了哪些作用？</w:t>
      </w:r>
    </w:p>
    <w:p w14:paraId="27A987CE">
      <w:pPr>
        <w:ind w:firstLine="640" w:firstLineChars="200"/>
      </w:pPr>
      <w:r>
        <w:rPr>
          <w:rFonts w:hint="eastAsia"/>
        </w:rPr>
        <w:t>2. 研发数据、专业语料、知识库、科学模型、仿真平台和干湿闭环实验室如何衔接，是否形成从数据沉淀、模型训练到实验验证的闭环？</w:t>
      </w:r>
    </w:p>
    <w:p w14:paraId="2DCBACE6">
      <w:pPr>
        <w:ind w:firstLine="640" w:firstLineChars="200"/>
      </w:pPr>
      <w:r>
        <w:rPr>
          <w:rFonts w:hint="eastAsia"/>
        </w:rPr>
        <w:t>3. AI4S研发工具和平台如何嵌入研发流程，在实验方案生成、参数优化、仿真计算、结果分析等环节形成了哪些可复制的应用模式？</w:t>
      </w:r>
    </w:p>
    <w:p w14:paraId="79B4BCD5">
      <w:pPr>
        <w:ind w:firstLine="640" w:firstLineChars="200"/>
      </w:pPr>
      <w:r>
        <w:rPr>
          <w:rFonts w:hint="eastAsia"/>
        </w:rPr>
        <w:t>4. 人工智能研发成果从技术验证到中试、产品化和产业化如何衔接，与高校、科研院所和新型研发机构的联合攻关成果如何导入企业主业？</w:t>
      </w:r>
    </w:p>
    <w:p w14:paraId="25BD29F2">
      <w:pPr>
        <w:pStyle w:val="21"/>
        <w:ind w:firstLine="640" w:firstLineChars="200"/>
      </w:pPr>
      <w:r>
        <w:rPr>
          <w:rFonts w:hint="eastAsia"/>
        </w:rPr>
        <w:t>（三）“AI+”制造</w:t>
      </w:r>
    </w:p>
    <w:p w14:paraId="64FEF869">
      <w:pPr>
        <w:ind w:firstLine="640" w:firstLineChars="200"/>
      </w:pPr>
      <w:r>
        <w:rPr>
          <w:rFonts w:hint="eastAsia"/>
        </w:rPr>
        <w:t>1. 企业在研发设计、工艺优化、生产控制、质量检测、设备运维、安全环保和供应链管理等核心制造环节布局了哪些战略性高价值场景？</w:t>
      </w:r>
    </w:p>
    <w:p w14:paraId="248CC9A2">
      <w:pPr>
        <w:ind w:firstLine="640" w:firstLineChars="200"/>
      </w:pPr>
      <w:r>
        <w:rPr>
          <w:rFonts w:hint="eastAsia"/>
        </w:rPr>
        <w:t>2. 行业垂类模型、工业智能体、专业语料库和智能体集群如何与PLM、MES、工业软件、设备控制系统等生产系统适配集成，是否形成业务数据持续反馈和模型迭代闭环？</w:t>
      </w:r>
    </w:p>
    <w:p w14:paraId="48201E7F">
      <w:pPr>
        <w:ind w:firstLine="640" w:firstLineChars="200"/>
      </w:pPr>
      <w:r>
        <w:rPr>
          <w:rFonts w:hint="eastAsia"/>
        </w:rPr>
        <w:t>3. 人工智能应用中试基地、虚实融合训练场等载体建设情况如何，能够提供哪些模型训练、测试验证、应用评测和场景孵化能力？</w:t>
      </w:r>
    </w:p>
    <w:p w14:paraId="133ED564">
      <w:pPr>
        <w:ind w:firstLine="640" w:firstLineChars="200"/>
      </w:pPr>
      <w:r>
        <w:rPr>
          <w:rFonts w:hint="eastAsia"/>
        </w:rPr>
        <w:t>4. 已落地场景在工艺优化、良率提升、设备可靠性、安全生产和生产效率等方面取得了哪些实际成效，哪些能力可以形成标准化产品并向产业链推广？</w:t>
      </w:r>
    </w:p>
    <w:p w14:paraId="6C8D1C57">
      <w:pPr>
        <w:pStyle w:val="21"/>
        <w:ind w:firstLine="640" w:firstLineChars="200"/>
      </w:pPr>
      <w:r>
        <w:rPr>
          <w:rFonts w:hint="eastAsia"/>
        </w:rPr>
        <w:t>（四）“AI+”金融</w:t>
      </w:r>
    </w:p>
    <w:p w14:paraId="7C852C97">
      <w:pPr>
        <w:ind w:firstLine="640" w:firstLineChars="200"/>
      </w:pPr>
      <w:r>
        <w:rPr>
          <w:rFonts w:hint="eastAsia"/>
        </w:rPr>
        <w:t>1. 银行、证券等企业如何结合各自核心业务建设企业级大模型和人工智能平台，相关能力在对公、普惠、跨境、投研、投顾、投行、交易和风控等领域如何应用？</w:t>
      </w:r>
    </w:p>
    <w:p w14:paraId="1C0C87C8">
      <w:pPr>
        <w:ind w:firstLine="640" w:firstLineChars="200"/>
      </w:pPr>
      <w:r>
        <w:rPr>
          <w:rFonts w:hint="eastAsia"/>
        </w:rPr>
        <w:t>2. 金融专业语料库、知识库和评测数据集如何建设并动态更新，如何提高模型对金融知识、业务规则和市场变化的理解能力？</w:t>
      </w:r>
    </w:p>
    <w:p w14:paraId="27C1BEED">
      <w:pPr>
        <w:ind w:firstLine="640" w:firstLineChars="200"/>
      </w:pPr>
      <w:r>
        <w:rPr>
          <w:rFonts w:hint="eastAsia"/>
        </w:rPr>
        <w:t>3. 金融大模型和智能体在客户服务、投资决策、风险管理等高敏感业务中，如何落实数据安全、信息隔离、输出可解释、人工复核和全过程审计？</w:t>
      </w:r>
    </w:p>
    <w:p w14:paraId="4EC65793">
      <w:pPr>
        <w:ind w:firstLine="640" w:firstLineChars="200"/>
      </w:pPr>
      <w:r>
        <w:rPr>
          <w:rFonts w:hint="eastAsia"/>
        </w:rPr>
        <w:t>4. 企业是否形成数字劳动力、智能投研、智能风控等可规模化推广的应用模式，哪些核心业务流程已具备AI原生重塑条件？</w:t>
      </w:r>
    </w:p>
    <w:p w14:paraId="2A1A7533">
      <w:pPr>
        <w:pStyle w:val="21"/>
        <w:ind w:firstLine="640" w:firstLineChars="200"/>
      </w:pPr>
      <w:r>
        <w:rPr>
          <w:rFonts w:hint="eastAsia"/>
        </w:rPr>
        <w:t>（五）“AI+”交通航运</w:t>
      </w:r>
    </w:p>
    <w:p w14:paraId="540EF45A">
      <w:pPr>
        <w:ind w:firstLine="640" w:firstLineChars="200"/>
      </w:pPr>
      <w:r>
        <w:rPr>
          <w:rFonts w:hint="eastAsia"/>
        </w:rPr>
        <w:t>1. 港口“超级大脑”、智慧城轨“轨道云脑”、机场大脑和旅客服务多智能体等重点项目建设进展如何，分别形成了哪些核心能力？</w:t>
      </w:r>
    </w:p>
    <w:p w14:paraId="5CC0FDD4">
      <w:pPr>
        <w:ind w:firstLine="640" w:firstLineChars="200"/>
      </w:pPr>
      <w:r>
        <w:rPr>
          <w:rFonts w:hint="eastAsia"/>
        </w:rPr>
        <w:t>2. 人工智能如何嵌入港口作业、列车运行、机场保障等生产运营系统，在智能调度、设备运维、安全预警、客流预测、物流协同和应急处置等环节发挥作用？</w:t>
      </w:r>
    </w:p>
    <w:p w14:paraId="72D6A5C0">
      <w:pPr>
        <w:ind w:firstLine="640" w:firstLineChars="200"/>
      </w:pPr>
      <w:r>
        <w:rPr>
          <w:rFonts w:hint="eastAsia"/>
        </w:rPr>
        <w:t>3. 已成熟的智能调度、智慧运维和旅客服务能力如何沉淀为行业模型、智能体或标准化解决方案，并向集团内部和行业单位复制推广？</w:t>
      </w:r>
    </w:p>
    <w:p w14:paraId="2FA19AA1">
      <w:pPr>
        <w:pStyle w:val="21"/>
        <w:ind w:firstLine="640" w:firstLineChars="200"/>
      </w:pPr>
      <w:r>
        <w:rPr>
          <w:rFonts w:hint="eastAsia"/>
        </w:rPr>
        <w:t>（六）“AI+”建筑</w:t>
      </w:r>
    </w:p>
    <w:p w14:paraId="65B5F145">
      <w:pPr>
        <w:ind w:firstLine="640" w:firstLineChars="200"/>
      </w:pPr>
      <w:r>
        <w:rPr>
          <w:rFonts w:hint="eastAsia"/>
        </w:rPr>
        <w:t>1. 企业在建筑设计、施工建造、工程管理、设施运维、安全监测和基础设施巡检等全生命周期环节形成了哪些人工智能应用？</w:t>
      </w:r>
    </w:p>
    <w:p w14:paraId="0FF5DBA8">
      <w:pPr>
        <w:ind w:firstLine="640" w:firstLineChars="200"/>
      </w:pPr>
      <w:r>
        <w:rPr>
          <w:rFonts w:hint="eastAsia"/>
        </w:rPr>
        <w:t>2. Construction-GPT、智能CAD、方案生成、施工计算、变形监测、道路巡检等模型和智能体建设应用情况如何，与现有设计软件和项目管理系统如何融合？</w:t>
      </w:r>
    </w:p>
    <w:p w14:paraId="65F86B9C">
      <w:pPr>
        <w:ind w:firstLine="640" w:firstLineChars="200"/>
      </w:pPr>
      <w:r>
        <w:rPr>
          <w:rFonts w:hint="eastAsia"/>
        </w:rPr>
        <w:t>3. 建筑矢量图纸、工程标准、项目数据和历史经验如何建设为专业语料库、知识库和评测数据集，如何支撑设计生成、审查校核和工程决策？</w:t>
      </w:r>
    </w:p>
    <w:p w14:paraId="064526A1">
      <w:pPr>
        <w:ind w:firstLine="640" w:firstLineChars="200"/>
      </w:pPr>
      <w:r>
        <w:rPr>
          <w:rFonts w:hint="eastAsia"/>
        </w:rPr>
        <w:t>4. 成熟的智能设计、智能施工和智能运维能力是否具备产品化、标准化和对外服务条件，对行业设计范式和工程管理模式产生了哪些影响？</w:t>
      </w:r>
    </w:p>
    <w:p w14:paraId="25E791A2">
      <w:pPr>
        <w:pStyle w:val="21"/>
        <w:ind w:firstLine="640" w:firstLineChars="200"/>
      </w:pPr>
      <w:r>
        <w:rPr>
          <w:rFonts w:hint="eastAsia"/>
        </w:rPr>
        <w:t>（七）“AI+”文商旅体展</w:t>
      </w:r>
    </w:p>
    <w:p w14:paraId="3FCAAE98">
      <w:pPr>
        <w:ind w:firstLine="640" w:firstLineChars="200"/>
      </w:pPr>
      <w:r>
        <w:rPr>
          <w:rFonts w:hint="eastAsia"/>
        </w:rPr>
        <w:t>1. 企业在新零售、酒店旅游、食品消费、供应链运营、赛事展出等领域形成了哪些直接面向消费者、一线门店和生产经营的人工智能场景？</w:t>
      </w:r>
    </w:p>
    <w:p w14:paraId="5D98E6A4">
      <w:pPr>
        <w:ind w:firstLine="640" w:firstLineChars="200"/>
      </w:pPr>
      <w:r>
        <w:rPr>
          <w:rFonts w:hint="eastAsia"/>
        </w:rPr>
        <w:t>2. 人工智能在营销决策、客户服务、门店运营、需求预测、库存优化、物流调度、食品质量管理和末端配送等环节取得了哪些应用成效？</w:t>
      </w:r>
    </w:p>
    <w:p w14:paraId="4DD51139">
      <w:pPr>
        <w:ind w:firstLine="640" w:firstLineChars="200"/>
      </w:pPr>
      <w:r>
        <w:rPr>
          <w:rFonts w:hint="eastAsia"/>
        </w:rPr>
        <w:t>3. 行业知识图谱、消费语料库和经营管理智能体如何建设，线上线下数据、会员数据和产业链数据如何协同支撑经营决策？</w:t>
      </w:r>
    </w:p>
    <w:p w14:paraId="020283EA">
      <w:pPr>
        <w:ind w:firstLine="640" w:firstLineChars="200"/>
      </w:pPr>
      <w:r>
        <w:rPr>
          <w:rFonts w:hint="eastAsia"/>
        </w:rPr>
        <w:t>4. 具身智能机器人和端侧AI在分拣、运输、配送、客房和门店服务等场景的应用情况如何，如何兼顾消费者数据安全、算法透明和客户权益保护？</w:t>
      </w:r>
    </w:p>
    <w:p w14:paraId="358B5112">
      <w:pPr>
        <w:pStyle w:val="21"/>
        <w:ind w:firstLine="640" w:firstLineChars="200"/>
      </w:pPr>
      <w:r>
        <w:rPr>
          <w:rFonts w:hint="eastAsia"/>
        </w:rPr>
        <w:t>（八）“AI+”城市运营</w:t>
      </w:r>
    </w:p>
    <w:p w14:paraId="3CB1E7B3">
      <w:pPr>
        <w:ind w:firstLine="640" w:firstLineChars="200"/>
      </w:pPr>
      <w:r>
        <w:rPr>
          <w:rFonts w:hint="eastAsia"/>
        </w:rPr>
        <w:t>1. 企业围绕供水、燃气、电力、新能源、环境治理、医废处置和城市基础设施运行，建设了哪些智能监测、预测预警、调度决策和运维管理场景？</w:t>
      </w:r>
    </w:p>
    <w:p w14:paraId="10128570">
      <w:pPr>
        <w:ind w:firstLine="640" w:firstLineChars="200"/>
      </w:pPr>
      <w:r>
        <w:rPr>
          <w:rFonts w:hint="eastAsia"/>
        </w:rPr>
        <w:t>2. 智慧水厂智能体集群、多能源智能调度、城市生命线监测、医废收运处置智慧服务等重点项目形成了哪些专业模型和智能决策能力？</w:t>
      </w:r>
    </w:p>
    <w:p w14:paraId="3195D123">
      <w:pPr>
        <w:ind w:firstLine="640" w:firstLineChars="200"/>
      </w:pPr>
      <w:r>
        <w:rPr>
          <w:rFonts w:hint="eastAsia"/>
        </w:rPr>
        <w:t>3. 人工智能如何提升极端天气、突发事件和重大活动期间的城市运行保障能力，相关模型和智能体如何开展实战验证、风险控制和应急接管？</w:t>
      </w:r>
    </w:p>
    <w:p w14:paraId="5B84EF13">
      <w:pPr>
        <w:ind w:firstLine="640" w:firstLineChars="200"/>
      </w:pPr>
      <w:r>
        <w:rPr>
          <w:rFonts w:hint="eastAsia"/>
        </w:rPr>
        <w:t>4. 跨系统、跨层级、跨企业的城市运行数据如何汇聚应用，是否形成可复制的城市运营解决方案和面向其他区域的输出能力？</w:t>
      </w:r>
    </w:p>
    <w:p w14:paraId="15D4910F">
      <w:pPr>
        <w:pStyle w:val="21"/>
        <w:ind w:firstLine="640" w:firstLineChars="200"/>
      </w:pPr>
      <w:r>
        <w:rPr>
          <w:rFonts w:hint="eastAsia"/>
        </w:rPr>
        <w:t>（九）“AI+”终端和具身智能</w:t>
      </w:r>
    </w:p>
    <w:p w14:paraId="16CDA82B">
      <w:pPr>
        <w:ind w:firstLine="640" w:firstLineChars="200"/>
      </w:pPr>
      <w:r>
        <w:rPr>
          <w:rFonts w:hint="eastAsia"/>
        </w:rPr>
        <w:t>1. 企业在人形机器人、工业机器人、智能汽车、端侧模型和自动驾驶等方向形成了哪些重点产品和技术路线，产业化和规模化制造进展如何？</w:t>
      </w:r>
    </w:p>
    <w:p w14:paraId="6AB94A8B">
      <w:pPr>
        <w:ind w:firstLine="640" w:firstLineChars="200"/>
      </w:pPr>
      <w:r>
        <w:rPr>
          <w:rFonts w:hint="eastAsia"/>
        </w:rPr>
        <w:t>2. 具身智能体如何与工业设备、生产线和产业控制系统深度融合，在生产制造、物流搬运、设备巡检和专业服务等场景开展了哪些验证应用？</w:t>
      </w:r>
    </w:p>
    <w:p w14:paraId="616D96ED">
      <w:pPr>
        <w:ind w:firstLine="640" w:firstLineChars="200"/>
      </w:pPr>
      <w:r>
        <w:rPr>
          <w:rFonts w:hint="eastAsia"/>
        </w:rPr>
        <w:t>3. 自动驾驶大模型、车端真实训练数据、仿真测试平台和L3级及以上功能研发应用情况如何，如何构建覆盖研发、测试和运营的安全验证体系？</w:t>
      </w:r>
    </w:p>
    <w:p w14:paraId="4443F989">
      <w:pPr>
        <w:ind w:firstLine="640" w:firstLineChars="200"/>
      </w:pPr>
      <w:r>
        <w:rPr>
          <w:rFonts w:hint="eastAsia"/>
        </w:rPr>
        <w:t>4. 核心零部件、模型算法、训练数据和软硬件适配如何协同，相关产品和解决方案是否具备培育AI原生企业或形成新业务板块的条件？</w:t>
      </w:r>
    </w:p>
    <w:p w14:paraId="7EC8C4C6">
      <w:pPr>
        <w:pStyle w:val="21"/>
        <w:ind w:firstLine="640" w:firstLineChars="200"/>
      </w:pPr>
      <w:r>
        <w:rPr>
          <w:rFonts w:hint="eastAsia"/>
        </w:rPr>
        <w:t>（十）投资牵引和开放协同生态</w:t>
      </w:r>
    </w:p>
    <w:p w14:paraId="7731CF1F">
      <w:pPr>
        <w:ind w:firstLine="640" w:firstLineChars="200"/>
      </w:pPr>
      <w:r>
        <w:rPr>
          <w:rFonts w:hint="eastAsia"/>
        </w:rPr>
        <w:t>1. 国资基金在人工智能芯片、算力平台、数据语料、模型工具、智能体和具身智能等产业链环节形成了怎样的投资布局和项目储备？</w:t>
      </w:r>
    </w:p>
    <w:p w14:paraId="4CE3C761">
      <w:pPr>
        <w:ind w:firstLine="640" w:firstLineChars="200"/>
      </w:pPr>
      <w:r>
        <w:rPr>
          <w:rFonts w:hint="eastAsia"/>
        </w:rPr>
        <w:t>2. 相关基金如何分工协同，实现基金投资与产业需求、场景开放、首单采购和投后赋能联动？</w:t>
      </w:r>
    </w:p>
    <w:p w14:paraId="5964BC76">
      <w:pPr>
        <w:ind w:firstLine="640" w:firstLineChars="200"/>
      </w:pPr>
      <w:r>
        <w:rPr>
          <w:rFonts w:hint="eastAsia"/>
        </w:rPr>
        <w:t>3. 企业如何通过CVC投资补齐主业技术和能力短板，推动被投企业与集团业务开展联合研发、场景验证和产业化合作？</w:t>
      </w:r>
      <w:r>
        <w:t>如何避免单纯财务投资，增强国资在人工智能产业链中的影响力和控制力？</w:t>
      </w:r>
    </w:p>
    <w:p w14:paraId="089EEE1C">
      <w:pPr>
        <w:ind w:firstLine="640" w:firstLineChars="200"/>
      </w:pPr>
      <w:r>
        <w:rPr>
          <w:rFonts w:hint="eastAsia"/>
        </w:rPr>
        <w:t>4. “投早、投小、投硬科技”以及“投算联动”“数算协同”等模式如何实施，在人工智能项目识别、技术评价、资产估值和风险管理方面形成了哪些专业机制？</w:t>
      </w:r>
    </w:p>
    <w:p w14:paraId="20DC68ED">
      <w:pPr>
        <w:ind w:firstLine="640" w:firstLineChars="200"/>
      </w:pPr>
      <w:r>
        <w:rPr>
          <w:rFonts w:hint="eastAsia"/>
        </w:rPr>
        <w:t>5. 外部人工智能企业与监管企业开展联合攻关、场景共创和成果转化的合作机制如何建立，如何形成开放协同的国资人工智能产业生态？</w:t>
      </w:r>
    </w:p>
    <w:p w14:paraId="640C65DA">
      <w:pPr>
        <w:ind w:firstLine="640" w:firstLineChars="200"/>
      </w:pPr>
    </w:p>
    <w:p w14:paraId="76A226E5">
      <w:pPr>
        <w:rPr>
          <w:rFonts w:ascii="黑体" w:hAnsi="黑体" w:eastAsia="黑体"/>
        </w:rPr>
        <w:sectPr>
          <w:headerReference r:id="rId7" w:type="first"/>
          <w:footerReference r:id="rId10" w:type="first"/>
          <w:headerReference r:id="rId5" w:type="default"/>
          <w:footerReference r:id="rId8" w:type="default"/>
          <w:headerReference r:id="rId6" w:type="even"/>
          <w:footerReference r:id="rId9" w:type="even"/>
          <w:pgSz w:w="11906" w:h="16838"/>
          <w:pgMar w:top="2098" w:right="1531" w:bottom="2041" w:left="1531" w:header="851" w:footer="992" w:gutter="0"/>
          <w:cols w:space="425" w:num="1"/>
          <w:docGrid w:type="lines" w:linePitch="435" w:charSpace="0"/>
        </w:sectPr>
      </w:pPr>
    </w:p>
    <w:p w14:paraId="3B7A9816">
      <w:pPr>
        <w:rPr>
          <w:rFonts w:hint="default" w:ascii="黑体" w:hAnsi="黑体" w:eastAsia="黑体"/>
          <w:lang w:val="en-US" w:eastAsia="zh-CN"/>
        </w:rPr>
      </w:pPr>
      <w:r>
        <w:rPr>
          <w:rFonts w:hint="eastAsia" w:ascii="黑体" w:hAnsi="黑体" w:eastAsia="黑体"/>
          <w:lang w:val="en-US" w:eastAsia="zh-CN"/>
        </w:rPr>
        <w:t>附件2</w:t>
      </w:r>
    </w:p>
    <w:p w14:paraId="692960AD">
      <w:pPr>
        <w:jc w:val="center"/>
        <w:rPr>
          <w:rFonts w:ascii="方正小标宋简体" w:eastAsia="方正小标宋简体"/>
          <w:sz w:val="44"/>
        </w:rPr>
      </w:pPr>
      <w:r>
        <w:rPr>
          <w:rFonts w:hint="eastAsia" w:ascii="方正小标宋简体" w:eastAsia="方正小标宋简体"/>
          <w:sz w:val="44"/>
        </w:rPr>
        <w:t>监管</w:t>
      </w:r>
      <w:r>
        <w:rPr>
          <w:rFonts w:ascii="方正小标宋简体" w:eastAsia="方正小标宋简体"/>
          <w:sz w:val="44"/>
        </w:rPr>
        <w:t>企业人工智能高价值场景汇总表</w:t>
      </w:r>
    </w:p>
    <w:p w14:paraId="736EC122">
      <w:pPr>
        <w:rPr>
          <w:rFonts w:cs="Times New Roman"/>
        </w:rPr>
      </w:pPr>
    </w:p>
    <w:p w14:paraId="7AF431F4">
      <w:pPr>
        <w:rPr>
          <w:rFonts w:cs="Times New Roman"/>
        </w:rPr>
      </w:pPr>
      <w:r>
        <w:rPr>
          <w:rFonts w:cs="Times New Roman"/>
        </w:rPr>
        <w:t>企业名称：市政集团（黄埔城更项目指挥部）  联系人：______________  联系电话：____________________</w:t>
      </w:r>
      <w:r>
        <w:rPr>
          <w:rFonts w:hint="eastAsia" w:cs="Times New Roman"/>
        </w:rPr>
      </w:r>
      <w:r>
        <w:rPr>
          <w:rFonts w:cs="Times New Roman"/>
        </w:rPr>
      </w:r>
    </w:p>
    <w:tbl>
      <w:tblPr>
        <w:tblStyle w:val="15"/>
        <w:tblW w:w="136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517"/>
        <w:gridCol w:w="826"/>
        <w:gridCol w:w="1075"/>
        <w:gridCol w:w="1207"/>
        <w:gridCol w:w="1045"/>
        <w:gridCol w:w="1843"/>
        <w:gridCol w:w="2126"/>
        <w:gridCol w:w="1276"/>
        <w:gridCol w:w="1984"/>
        <w:gridCol w:w="1701"/>
      </w:tblGrid>
      <w:tr w14:paraId="5DBA70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blHeader/>
          <w:jc w:val="center"/>
        </w:trPr>
        <w:tc>
          <w:tcPr>
            <w:tcW w:w="517"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052D608B">
            <w:pPr>
              <w:spacing w:line="240" w:lineRule="auto"/>
              <w:jc w:val="center"/>
              <w:rPr>
                <w:rFonts w:cs="Times New Roman"/>
              </w:rPr>
            </w:pPr>
            <w:r>
              <w:rPr>
                <w:rFonts w:cs="Times New Roman"/>
                <w:b/>
                <w:sz w:val="21"/>
              </w:rPr>
              <w:t>序号</w:t>
            </w:r>
          </w:p>
        </w:tc>
        <w:tc>
          <w:tcPr>
            <w:tcW w:w="826"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38DD7490">
            <w:pPr>
              <w:spacing w:line="240" w:lineRule="auto"/>
              <w:jc w:val="center"/>
              <w:rPr>
                <w:rFonts w:cs="Times New Roman"/>
              </w:rPr>
            </w:pPr>
            <w:r>
              <w:rPr>
                <w:rFonts w:cs="Times New Roman"/>
                <w:b/>
                <w:sz w:val="21"/>
              </w:rPr>
              <w:t>场景类别</w:t>
            </w:r>
          </w:p>
        </w:tc>
        <w:tc>
          <w:tcPr>
            <w:tcW w:w="1075"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22CD7767">
            <w:pPr>
              <w:spacing w:line="240" w:lineRule="auto"/>
              <w:jc w:val="center"/>
              <w:rPr>
                <w:rFonts w:cs="Times New Roman"/>
              </w:rPr>
            </w:pPr>
            <w:r>
              <w:rPr>
                <w:rFonts w:cs="Times New Roman"/>
                <w:b/>
                <w:sz w:val="21"/>
              </w:rPr>
              <w:t>所属领域/业务环节</w:t>
            </w:r>
          </w:p>
        </w:tc>
        <w:tc>
          <w:tcPr>
            <w:tcW w:w="1207"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3F6A8202">
            <w:pPr>
              <w:spacing w:line="240" w:lineRule="auto"/>
              <w:jc w:val="center"/>
              <w:rPr>
                <w:rFonts w:cs="Times New Roman"/>
              </w:rPr>
            </w:pPr>
            <w:r>
              <w:rPr>
                <w:rFonts w:cs="Times New Roman"/>
                <w:b/>
                <w:sz w:val="21"/>
              </w:rPr>
              <w:t>场景名称</w:t>
            </w:r>
          </w:p>
        </w:tc>
        <w:tc>
          <w:tcPr>
            <w:tcW w:w="1045"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740A6D86">
            <w:pPr>
              <w:spacing w:line="240" w:lineRule="auto"/>
              <w:jc w:val="center"/>
              <w:rPr>
                <w:rFonts w:cs="Times New Roman"/>
              </w:rPr>
            </w:pPr>
            <w:r>
              <w:rPr>
                <w:rFonts w:cs="Times New Roman"/>
                <w:b/>
                <w:sz w:val="21"/>
              </w:rPr>
              <w:t>建设状态及时间</w:t>
            </w:r>
          </w:p>
        </w:tc>
        <w:tc>
          <w:tcPr>
            <w:tcW w:w="1843"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4F18B5F9">
            <w:pPr>
              <w:spacing w:line="240" w:lineRule="auto"/>
              <w:jc w:val="center"/>
              <w:rPr>
                <w:rFonts w:cs="Times New Roman"/>
              </w:rPr>
            </w:pPr>
            <w:r>
              <w:rPr>
                <w:rFonts w:cs="Times New Roman"/>
                <w:b/>
                <w:sz w:val="21"/>
              </w:rPr>
              <w:t>拟解决的关键问题及主要建设内容</w:t>
            </w:r>
          </w:p>
        </w:tc>
        <w:tc>
          <w:tcPr>
            <w:tcW w:w="2126"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0209FAE3">
            <w:pPr>
              <w:spacing w:line="240" w:lineRule="auto"/>
              <w:jc w:val="center"/>
              <w:rPr>
                <w:rFonts w:cs="Times New Roman"/>
              </w:rPr>
            </w:pPr>
            <w:r>
              <w:rPr>
                <w:rFonts w:cs="Times New Roman"/>
                <w:b/>
                <w:sz w:val="21"/>
              </w:rPr>
              <w:t>当前进展及应用成效</w:t>
            </w:r>
          </w:p>
        </w:tc>
        <w:tc>
          <w:tcPr>
            <w:tcW w:w="1276"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53EA7961">
            <w:pPr>
              <w:spacing w:line="240" w:lineRule="auto"/>
              <w:jc w:val="center"/>
              <w:rPr>
                <w:rFonts w:cs="Times New Roman"/>
              </w:rPr>
            </w:pPr>
            <w:r>
              <w:rPr>
                <w:rFonts w:cs="Times New Roman"/>
                <w:b/>
                <w:sz w:val="21"/>
              </w:rPr>
              <w:t>下一步计划</w:t>
            </w:r>
          </w:p>
        </w:tc>
        <w:tc>
          <w:tcPr>
            <w:tcW w:w="1984" w:type="dxa"/>
            <w:tcBorders>
              <w:top w:val="single" w:color="000000" w:sz="6" w:space="0"/>
              <w:left w:val="single" w:color="000000" w:sz="6" w:space="0"/>
              <w:bottom w:val="single" w:color="000000" w:sz="6" w:space="0"/>
              <w:right w:val="single" w:color="000000" w:sz="6" w:space="0"/>
            </w:tcBorders>
            <w:tcMar>
              <w:top w:w="40" w:type="dxa"/>
              <w:left w:w="35" w:type="dxa"/>
              <w:bottom w:w="40" w:type="dxa"/>
              <w:right w:w="35" w:type="dxa"/>
            </w:tcMar>
            <w:vAlign w:val="center"/>
          </w:tcPr>
          <w:p w14:paraId="653F70CE">
            <w:pPr>
              <w:spacing w:line="240" w:lineRule="auto"/>
              <w:jc w:val="center"/>
              <w:rPr>
                <w:rFonts w:cs="Times New Roman"/>
              </w:rPr>
            </w:pPr>
            <w:r>
              <w:rPr>
                <w:rFonts w:cs="Times New Roman"/>
                <w:b/>
                <w:sz w:val="21"/>
              </w:rPr>
              <w:t>责任单位、负责人及联系方式</w:t>
            </w:r>
          </w:p>
        </w:tc>
        <w:tc>
          <w:tcPr>
            <w:tcW w:w="1701" w:type="dxa"/>
            <w:tcBorders>
              <w:top w:val="single" w:color="000000" w:sz="6" w:space="0"/>
              <w:left w:val="single" w:color="000000" w:sz="6" w:space="0"/>
              <w:bottom w:val="single" w:color="000000" w:sz="6" w:space="0"/>
              <w:right w:val="single" w:color="000000" w:sz="6" w:space="0"/>
            </w:tcBorders>
          </w:tcPr>
          <w:p w14:paraId="4DD77543">
            <w:pPr>
              <w:spacing w:line="240" w:lineRule="auto"/>
              <w:jc w:val="center"/>
              <w:rPr>
                <w:rFonts w:cs="Times New Roman"/>
                <w:b/>
                <w:sz w:val="21"/>
              </w:rPr>
            </w:pPr>
            <w:r>
              <w:rPr>
                <w:rFonts w:cs="Times New Roman"/>
                <w:b/>
                <w:sz w:val="21"/>
              </w:rPr>
              <w:t>预计后续应用规模/合同金额（万元）</w:t>
            </w:r>
          </w:p>
        </w:tc>
      </w:tr>
      <w:tr w14:paraId="7F4ACC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2" w:hRule="atLeast"/>
          <w:jc w:val="center"/>
        </w:trPr>
        <w:tc>
          <w:tcPr>
            <w:tcW w:w="51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1</w:t>
            </w:r>
          </w:p>
        </w:tc>
        <w:tc>
          <w:tcPr>
            <w:tcW w:w="8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业务类</w:t>
            </w:r>
          </w:p>
        </w:tc>
        <w:tc>
          <w:tcPr>
            <w:tcW w:w="107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AI+建筑 / 施工安全与现场巡检</w:t>
            </w:r>
          </w:p>
        </w:tc>
        <w:tc>
          <w:tcPr>
            <w:tcW w:w="120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安全日志 AI 巡检隐患识别</w:t>
            </w:r>
          </w:p>
        </w:tc>
        <w:tc>
          <w:tcPr>
            <w:tcW w:w="104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在建（2025年7月试点上线）</w:t>
            </w:r>
          </w:p>
        </w:tc>
        <w:tc>
          <w:tcPr>
            <w:tcW w:w="1843"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解决人工巡检易漏检、隐患台账录入滞后、与《施工安全日志》脱节等问题。建设内容：安全员上传巡检照片，基于开源 YOLOv8 PPE 模型自动识别未佩戴安全帽、未穿反光背心、防护用品缺失、疑似高处坠落等隐患，生成一般隐患记录（隐患情况/部位/整改措施），并写入数字化安全日志，支撑整改闭环。</w:t>
            </w:r>
          </w:p>
        </w:tc>
        <w:tc>
          <w:tcPr>
            <w:tcW w:w="21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已在黄埔城更数字沙盘平台落地“安全日志 AI巡检”模块（Demo/试点），完成真实模型推理与台账留存；可对违规 PPE 自动标注并映射日志文案。线上演示地址 huangpu-szsp.xyz。</w:t>
            </w:r>
          </w:p>
        </w:tc>
        <w:tc>
          <w:tcPr>
            <w:tcW w:w="127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采集黄埔工地专属样本微调模型；对接摄像头/移动端实时巡检；与正式安全日志、隐患整改流程打通；向新联01等在建地块推广。</w:t>
            </w:r>
          </w:p>
        </w:tc>
        <w:tc>
          <w:tcPr>
            <w:tcW w:w="1984"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指挥部-工程技术部 / 安全员</w:t>
            </w:r>
          </w:p>
        </w:tc>
        <w:tc>
          <w:tcPr>
            <w:tcW w:w="1701" w:type="dxa"/>
            <w:tcBorders>
              <w:top w:val="single" w:color="000000" w:sz="6" w:space="0"/>
              <w:left w:val="single" w:color="000000" w:sz="6" w:space="0"/>
              <w:bottom w:val="single" w:color="000000" w:sz="6" w:space="0"/>
              <w:right w:val="single" w:color="000000" w:sz="6" w:space="0"/>
            </w:tcBorders>
          </w:tcPr>
          <w:p>
            <w:r>
              <w:t>拟覆盖黄埔城更在建地块（约4个），合同金额待测算</w:t>
            </w:r>
          </w:p>
        </w:tc>
      </w:tr>
      <w:tr w14:paraId="2EC94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2" w:hRule="atLeast"/>
          <w:jc w:val="center"/>
        </w:trPr>
        <w:tc>
          <w:tcPr>
            <w:tcW w:w="51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2</w:t>
            </w:r>
          </w:p>
        </w:tc>
        <w:tc>
          <w:tcPr>
            <w:tcW w:w="8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业务类</w:t>
            </w:r>
          </w:p>
        </w:tc>
        <w:tc>
          <w:tcPr>
            <w:tcW w:w="107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AI+建筑 / 施工建造与形象进度</w:t>
            </w:r>
          </w:p>
        </w:tc>
        <w:tc>
          <w:tcPr>
            <w:tcW w:w="120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航拍形象进度 AI 对比分析</w:t>
            </w:r>
          </w:p>
        </w:tc>
        <w:tc>
          <w:tcPr>
            <w:tcW w:w="104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在建（平台能力已嵌入，持续完善）</w:t>
            </w:r>
          </w:p>
        </w:tc>
        <w:tc>
          <w:tcPr>
            <w:tcW w:w="1843"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解决形象进度依赖人工目视、跨月变化难量化、领导难快速掌握现场推进等问题。建设内容：按月汇聚航拍/现场影像，AI 自动对比上月变化（基坑、主体、塔吊等），生成形象进度 AI 摘要，嵌入单项目“安全巡检与形象进度”视图，服务指挥长一屏掌握。</w:t>
            </w:r>
          </w:p>
        </w:tc>
        <w:tc>
          <w:tcPr>
            <w:tcW w:w="21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数字沙盘单项目详情已具备航拍对比与 AI 进展摘要展示能力（Demo），与 Jarvis BIM/形象进度视图联动。</w:t>
            </w:r>
          </w:p>
        </w:tc>
        <w:tc>
          <w:tcPr>
            <w:tcW w:w="127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接入真实航拍数据源与时序对比算法；形成可计量的形象进度变化指标；与产值计划自动校验。</w:t>
            </w:r>
          </w:p>
        </w:tc>
        <w:tc>
          <w:tcPr>
            <w:tcW w:w="1984"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指挥部-工程技术部</w:t>
            </w:r>
          </w:p>
        </w:tc>
        <w:tc>
          <w:tcPr>
            <w:tcW w:w="1701" w:type="dxa"/>
            <w:tcBorders>
              <w:top w:val="single" w:color="000000" w:sz="6" w:space="0"/>
              <w:left w:val="single" w:color="000000" w:sz="6" w:space="0"/>
              <w:bottom w:val="single" w:color="000000" w:sz="6" w:space="0"/>
              <w:right w:val="single" w:color="000000" w:sz="6" w:space="0"/>
            </w:tcBorders>
          </w:tcPr>
          <w:p>
            <w:r>
              <w:t>拟覆盖在建地块形象进度月报，合同金额待测算</w:t>
            </w:r>
          </w:p>
        </w:tc>
      </w:tr>
      <w:tr w14:paraId="462DD4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2" w:hRule="atLeast"/>
          <w:jc w:val="center"/>
        </w:trPr>
        <w:tc>
          <w:tcPr>
            <w:tcW w:w="51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3</w:t>
            </w:r>
          </w:p>
        </w:tc>
        <w:tc>
          <w:tcPr>
            <w:tcW w:w="8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业务类</w:t>
            </w:r>
          </w:p>
        </w:tc>
        <w:tc>
          <w:tcPr>
            <w:tcW w:w="107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AI+建筑 / 工程管理与经营决策</w:t>
            </w:r>
          </w:p>
        </w:tc>
        <w:tc>
          <w:tcPr>
            <w:tcW w:w="120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一体化决策推演（成本-进度-现金流联动）</w:t>
            </w:r>
          </w:p>
        </w:tc>
        <w:tc>
          <w:tcPr>
            <w:tcW w:w="104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在建（2025年平台核心能力上线）</w:t>
            </w:r>
          </w:p>
        </w:tc>
        <w:tc>
          <w:tcPr>
            <w:tcW w:w="1843"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解决城更多地块并行下成本、进度、产值、现金流数据割裂、领导决策缺乏量化情景推演的问题。建设内容：以目标利润率16.66%、现金流临界结余等业务红线为约束，汇聚分包成本、物资消耗、进度产值与付款计划，支持多情景推演与预警，辅助指挥部控本增效、控险。</w:t>
            </w:r>
          </w:p>
        </w:tc>
        <w:tc>
          <w:tcPr>
            <w:tcW w:w="21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黄埔城更数字沙盘已上线“一体化决策推演”模块（Demo），可按情景展示利润率、垫资与风险变化，并生成 AI 研判报告，服务股份领导/指挥长决策视图。</w:t>
            </w:r>
          </w:p>
        </w:tc>
        <w:tc>
          <w:tcPr>
            <w:tcW w:w="127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对接供应链、广联达、成本测算等真实系统数据；完善规则引擎与可解释输出；形成可复制的城更项目经营决策智能体。</w:t>
            </w:r>
          </w:p>
        </w:tc>
        <w:tc>
          <w:tcPr>
            <w:tcW w:w="1984"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指挥部-商务部 / 财务部</w:t>
            </w:r>
          </w:p>
        </w:tc>
        <w:tc>
          <w:tcPr>
            <w:tcW w:w="1701" w:type="dxa"/>
            <w:tcBorders>
              <w:top w:val="single" w:color="000000" w:sz="6" w:space="0"/>
              <w:left w:val="single" w:color="000000" w:sz="6" w:space="0"/>
              <w:bottom w:val="single" w:color="000000" w:sz="6" w:space="0"/>
              <w:right w:val="single" w:color="000000" w:sz="6" w:space="0"/>
            </w:tcBorders>
          </w:tcPr>
          <w:p>
            <w:r>
              <w:t>服务四地块统筹决策（EPC 合计约26亿元量级），合同金额待测算</w:t>
            </w:r>
          </w:p>
        </w:tc>
      </w:tr>
      <w:tr w14:paraId="462DD4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52" w:hRule="atLeast"/>
          <w:jc w:val="center"/>
        </w:trPr>
        <w:tc>
          <w:tcPr>
            <w:tcW w:w="51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4</w:t>
            </w:r>
          </w:p>
        </w:tc>
        <w:tc>
          <w:tcPr>
            <w:tcW w:w="8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业务类</w:t>
            </w:r>
          </w:p>
        </w:tc>
        <w:tc>
          <w:tcPr>
            <w:tcW w:w="107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AI+建筑 / 工程管理与安全风险</w:t>
            </w:r>
          </w:p>
        </w:tc>
        <w:tc>
          <w:tcPr>
            <w:tcW w:w="1207"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多维工程风险智能预警</w:t>
            </w:r>
          </w:p>
        </w:tc>
        <w:tc>
          <w:tcPr>
            <w:tcW w:w="1045"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在建</w:t>
            </w:r>
          </w:p>
        </w:tc>
        <w:tc>
          <w:tcPr>
            <w:tcW w:w="1843"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解决工程、经济、设计等多源风险分散、分级处置不及时问题。建设内容：汇聚进度滞后、利润率跌破红线、物资超量、证照超期等信号，按红/黄/蓝分级预警，并与风险管理系统、沙盘“近期重点关注”联动，支撑闭环处置。</w:t>
            </w:r>
          </w:p>
        </w:tc>
        <w:tc>
          <w:tcPr>
            <w:tcW w:w="212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平台已实现风险汇聚、分级展示与重点关注自动识别（Demo），支撑指挥部日常调度。</w:t>
            </w:r>
          </w:p>
        </w:tc>
        <w:tc>
          <w:tcPr>
            <w:tcW w:w="1276"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引入评分模型与处置时限考核；与 AI 巡检隐患、经营推演结果联动，形成风险-隐患-决策闭环。</w:t>
            </w:r>
          </w:p>
        </w:tc>
        <w:tc>
          <w:tcPr>
            <w:tcW w:w="1984" w:type="dxa"/>
            <w:tcBorders>
              <w:top w:val="single" w:color="000000" w:sz="6" w:space="0"/>
              <w:left w:val="single" w:color="000000" w:sz="6" w:space="0"/>
              <w:bottom w:val="single" w:color="000000" w:sz="6" w:space="0"/>
              <w:right w:val="single" w:color="000000" w:sz="6" w:space="0"/>
            </w:tcBorders>
            <w:tcMar>
              <w:top w:w="35" w:type="dxa"/>
              <w:left w:w="35" w:type="dxa"/>
              <w:bottom w:w="35" w:type="dxa"/>
              <w:right w:w="35" w:type="dxa"/>
            </w:tcMar>
            <w:vAlign w:val="center"/>
          </w:tcPr>
          <w:p>
            <w:r>
              <w:t>指挥部-工程技术部 / 商务部</w:t>
            </w:r>
          </w:p>
        </w:tc>
        <w:tc>
          <w:tcPr>
            <w:tcW w:w="1701" w:type="dxa"/>
            <w:tcBorders>
              <w:top w:val="single" w:color="000000" w:sz="6" w:space="0"/>
              <w:left w:val="single" w:color="000000" w:sz="6" w:space="0"/>
              <w:bottom w:val="single" w:color="000000" w:sz="6" w:space="0"/>
              <w:right w:val="single" w:color="000000" w:sz="6" w:space="0"/>
            </w:tcBorders>
          </w:tcPr>
          <w:p>
            <w:r>
              <w:t>覆盖黄埔城更项目群风险管控，合同金额待测算</w:t>
            </w:r>
          </w:p>
        </w:tc>
      </w:tr>
    </w:tbl>
    <w:p w14:paraId="6747AD67">
      <w:pPr>
        <w:spacing w:line="240" w:lineRule="auto"/>
        <w:rPr>
          <w:rFonts w:cs="Times New Roman"/>
        </w:rPr>
      </w:pPr>
      <w:r>
        <w:rPr>
          <w:rFonts w:cs="Times New Roman"/>
          <w:sz w:val="21"/>
        </w:rPr>
        <w:t>注：1. 场景类别分为</w:t>
      </w:r>
      <w:r>
        <w:rPr>
          <w:rFonts w:hint="eastAsia" w:cs="Times New Roman"/>
          <w:sz w:val="21"/>
        </w:rPr>
        <w:t>“</w:t>
      </w:r>
      <w:r>
        <w:rPr>
          <w:rFonts w:cs="Times New Roman"/>
          <w:sz w:val="21"/>
        </w:rPr>
        <w:t>业务类</w:t>
      </w:r>
      <w:r>
        <w:rPr>
          <w:rFonts w:hint="eastAsia" w:cs="Times New Roman"/>
          <w:sz w:val="21"/>
        </w:rPr>
        <w:t>”</w:t>
      </w:r>
      <w:r>
        <w:rPr>
          <w:rFonts w:cs="Times New Roman"/>
          <w:sz w:val="21"/>
        </w:rPr>
        <w:t>和</w:t>
      </w:r>
      <w:r>
        <w:rPr>
          <w:rFonts w:hint="eastAsia" w:cs="Times New Roman"/>
          <w:sz w:val="21"/>
        </w:rPr>
        <w:t>“</w:t>
      </w:r>
      <w:r>
        <w:rPr>
          <w:rFonts w:cs="Times New Roman"/>
          <w:sz w:val="21"/>
        </w:rPr>
        <w:t>管理类</w:t>
      </w:r>
      <w:r>
        <w:rPr>
          <w:rFonts w:hint="eastAsia" w:cs="Times New Roman"/>
          <w:sz w:val="21"/>
        </w:rPr>
        <w:t>”</w:t>
      </w:r>
      <w:r>
        <w:rPr>
          <w:rFonts w:cs="Times New Roman"/>
          <w:sz w:val="21"/>
        </w:rPr>
        <w:t>，请先填报业务类场景，原则上以业务类场景为</w:t>
      </w:r>
      <w:r>
        <w:rPr>
          <w:rFonts w:hint="eastAsia" w:cs="Times New Roman"/>
          <w:sz w:val="21"/>
        </w:rPr>
        <w:t>重点；</w:t>
      </w:r>
    </w:p>
    <w:p w14:paraId="43D43896">
      <w:pPr>
        <w:spacing w:line="240" w:lineRule="auto"/>
        <w:rPr>
          <w:rFonts w:cs="Times New Roman"/>
        </w:rPr>
      </w:pPr>
      <w:r>
        <w:rPr>
          <w:rFonts w:cs="Times New Roman"/>
          <w:sz w:val="21"/>
        </w:rPr>
        <w:t>2.</w:t>
      </w:r>
      <w:r>
        <w:rPr>
          <w:rFonts w:hint="eastAsia" w:cs="Times New Roman"/>
          <w:sz w:val="21"/>
        </w:rPr>
        <w:t xml:space="preserve"> </w:t>
      </w:r>
      <w:r>
        <w:rPr>
          <w:rFonts w:cs="Times New Roman"/>
          <w:sz w:val="21"/>
        </w:rPr>
        <w:t>建设状态填写</w:t>
      </w:r>
      <w:r>
        <w:rPr>
          <w:rFonts w:hint="eastAsia" w:cs="Times New Roman"/>
          <w:sz w:val="21"/>
        </w:rPr>
        <w:t>“</w:t>
      </w:r>
      <w:r>
        <w:rPr>
          <w:rFonts w:cs="Times New Roman"/>
          <w:sz w:val="21"/>
        </w:rPr>
        <w:t>已建</w:t>
      </w:r>
      <w:r>
        <w:rPr>
          <w:rFonts w:hint="eastAsia" w:cs="Times New Roman"/>
          <w:sz w:val="21"/>
        </w:rPr>
        <w:t>”、“</w:t>
      </w:r>
      <w:r>
        <w:rPr>
          <w:rFonts w:cs="Times New Roman"/>
          <w:sz w:val="21"/>
        </w:rPr>
        <w:t>在建</w:t>
      </w:r>
      <w:r>
        <w:rPr>
          <w:rFonts w:hint="eastAsia" w:cs="Times New Roman"/>
          <w:sz w:val="21"/>
        </w:rPr>
        <w:t>”、“拟建”</w:t>
      </w:r>
      <w:r>
        <w:rPr>
          <w:rFonts w:cs="Times New Roman"/>
          <w:sz w:val="21"/>
        </w:rPr>
        <w:t>，并注明上线或启动时间</w:t>
      </w:r>
      <w:r>
        <w:rPr>
          <w:rFonts w:hint="eastAsia" w:cs="Times New Roman"/>
          <w:sz w:val="21"/>
        </w:rPr>
        <w:t>；</w:t>
      </w:r>
    </w:p>
    <w:p w14:paraId="3F8BA91C">
      <w:pPr>
        <w:spacing w:line="240" w:lineRule="auto"/>
        <w:rPr>
          <w:rFonts w:cs="Times New Roman"/>
        </w:rPr>
      </w:pPr>
      <w:r>
        <w:rPr>
          <w:rFonts w:cs="Times New Roman"/>
          <w:sz w:val="21"/>
        </w:rPr>
        <w:t>3. 业务类场景主要包括研发、生产、经营、服务、安全、供应链等核心业务应用；管理类场景主要包括办公、人力、财务、法务、审计、风控、采购等管理应用</w:t>
      </w:r>
      <w:r>
        <w:rPr>
          <w:rFonts w:hint="eastAsia" w:cs="Times New Roman"/>
          <w:sz w:val="21"/>
        </w:rPr>
        <w:t>；</w:t>
      </w:r>
    </w:p>
    <w:p w14:paraId="3A33D6A4">
      <w:pPr>
        <w:spacing w:line="240" w:lineRule="auto"/>
      </w:pPr>
      <w:r>
        <w:rPr>
          <w:rFonts w:hint="eastAsia" w:cs="Times New Roman"/>
          <w:sz w:val="21"/>
        </w:rPr>
        <w:t>4</w:t>
      </w:r>
      <w:r>
        <w:rPr>
          <w:rFonts w:cs="Times New Roman"/>
          <w:sz w:val="21"/>
        </w:rPr>
        <w:t>. 表格行数可根据实际自行增加。</w:t>
      </w:r>
    </w:p>
    <w:sectPr>
      <w:pgSz w:w="16838" w:h="11906" w:orient="landscape"/>
      <w:pgMar w:top="1531" w:right="2098" w:bottom="1531" w:left="2041" w:header="851" w:footer="992" w:gutter="0"/>
      <w:paperSrc/>
      <w:cols w:space="0" w:num="1"/>
      <w:rtlGutter w:val="0"/>
      <w:docGrid w:type="lines" w:linePitch="44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246EC91-1A00-49B4-B7B5-88109210918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0CA154D7-C3C3-46EC-81D1-7DD48A187C05}"/>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小标宋简体">
    <w:panose1 w:val="02010600010101010101"/>
    <w:charset w:val="86"/>
    <w:family w:val="script"/>
    <w:pitch w:val="default"/>
    <w:sig w:usb0="00000001" w:usb1="080E0000" w:usb2="00000000" w:usb3="00000000" w:csb0="00040000" w:csb1="00000000"/>
    <w:embedRegular r:id="rId3" w:fontKey="{4A721AD8-F6E0-4819-809F-3BA788A9DD7F}"/>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A4A1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F2FB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08BA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FE5D8">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9D9DF">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66449">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TrueTypeFonts/>
  <w:saveSubsetFonts/>
  <w:bordersDoNotSurroundHeader w:val="1"/>
  <w:bordersDoNotSurroundFooter w:val="1"/>
  <w:documentProtection w:enforcement="0"/>
  <w:defaultTabStop w:val="420"/>
  <w:drawingGridHorizontalSpacing w:val="160"/>
  <w:drawingGridVerticalSpacing w:val="221"/>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7BC"/>
    <w:rsid w:val="00144514"/>
    <w:rsid w:val="001612A5"/>
    <w:rsid w:val="00182699"/>
    <w:rsid w:val="002C33E7"/>
    <w:rsid w:val="002D553F"/>
    <w:rsid w:val="003C53DD"/>
    <w:rsid w:val="00455921"/>
    <w:rsid w:val="00584352"/>
    <w:rsid w:val="00584A50"/>
    <w:rsid w:val="00710E54"/>
    <w:rsid w:val="007B2EDB"/>
    <w:rsid w:val="008459C0"/>
    <w:rsid w:val="008D3644"/>
    <w:rsid w:val="009046E5"/>
    <w:rsid w:val="0094432D"/>
    <w:rsid w:val="00996DD1"/>
    <w:rsid w:val="009B7F23"/>
    <w:rsid w:val="00A557AD"/>
    <w:rsid w:val="00AA3686"/>
    <w:rsid w:val="00AB5226"/>
    <w:rsid w:val="00BD27BC"/>
    <w:rsid w:val="00C37E88"/>
    <w:rsid w:val="00CD71A9"/>
    <w:rsid w:val="00DA2ADA"/>
    <w:rsid w:val="00DB7525"/>
    <w:rsid w:val="00DC50DB"/>
    <w:rsid w:val="00DE3FA4"/>
    <w:rsid w:val="00ED71CE"/>
    <w:rsid w:val="00FD423E"/>
    <w:rsid w:val="00FF7753"/>
    <w:rsid w:val="02DC72C7"/>
    <w:rsid w:val="0DC3019B"/>
    <w:rsid w:val="0F8543C6"/>
    <w:rsid w:val="19B17A41"/>
    <w:rsid w:val="3AD76784"/>
    <w:rsid w:val="40A17BF5"/>
    <w:rsid w:val="57312901"/>
    <w:rsid w:val="6BFA38B5"/>
    <w:rsid w:val="6C5623FC"/>
    <w:rsid w:val="71D73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_GB2312"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0" w:lineRule="exact"/>
      <w:ind w:firstLine="0" w:firstLineChars="0"/>
      <w:jc w:val="both"/>
    </w:pPr>
    <w:rPr>
      <w:rFonts w:ascii="Times New Roman" w:hAnsi="Times New Roman" w:eastAsia="仿宋_GB2312" w:cstheme="minorBidi"/>
      <w:kern w:val="2"/>
      <w:sz w:val="32"/>
      <w:szCs w:val="22"/>
      <w:lang w:val="en-US" w:eastAsia="zh-CN" w:bidi="ar-SA"/>
      <w14:ligatures w14:val="standardContextual"/>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Cs w:val="32"/>
    </w:rPr>
  </w:style>
  <w:style w:type="paragraph" w:styleId="5">
    <w:name w:val="heading 4"/>
    <w:basedOn w:val="1"/>
    <w:next w:val="1"/>
    <w:link w:val="32"/>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33"/>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sz w:val="24"/>
      <w:szCs w:val="24"/>
    </w:rPr>
  </w:style>
  <w:style w:type="paragraph" w:styleId="7">
    <w:name w:val="heading 6"/>
    <w:basedOn w:val="1"/>
    <w:next w:val="1"/>
    <w:link w:val="34"/>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35"/>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7"/>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8"/>
    <w:unhideWhenUsed/>
    <w:qFormat/>
    <w:uiPriority w:val="99"/>
    <w:pPr>
      <w:tabs>
        <w:tab w:val="center" w:pos="4153"/>
        <w:tab w:val="right" w:pos="8306"/>
      </w:tabs>
      <w:snapToGrid w:val="0"/>
      <w:spacing w:line="240" w:lineRule="atLeast"/>
      <w:jc w:val="left"/>
    </w:pPr>
    <w:rPr>
      <w:sz w:val="18"/>
      <w:szCs w:val="18"/>
    </w:rPr>
  </w:style>
  <w:style w:type="paragraph" w:styleId="12">
    <w:name w:val="header"/>
    <w:basedOn w:val="1"/>
    <w:link w:val="47"/>
    <w:unhideWhenUsed/>
    <w:qFormat/>
    <w:uiPriority w:val="99"/>
    <w:pPr>
      <w:tabs>
        <w:tab w:val="center" w:pos="4153"/>
        <w:tab w:val="right" w:pos="8306"/>
      </w:tabs>
      <w:snapToGrid w:val="0"/>
      <w:spacing w:line="240" w:lineRule="atLeast"/>
      <w:jc w:val="center"/>
    </w:pPr>
    <w:rPr>
      <w:sz w:val="18"/>
      <w:szCs w:val="18"/>
    </w:rPr>
  </w:style>
  <w:style w:type="paragraph" w:styleId="13">
    <w:name w:val="Subtitle"/>
    <w:basedOn w:val="1"/>
    <w:next w:val="1"/>
    <w:link w:val="3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3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17">
    <w:name w:val="文件一级标题"/>
    <w:basedOn w:val="2"/>
    <w:next w:val="1"/>
    <w:qFormat/>
    <w:uiPriority w:val="0"/>
    <w:rPr>
      <w:rFonts w:eastAsia="黑体"/>
      <w:b w:val="0"/>
      <w:sz w:val="32"/>
    </w:rPr>
  </w:style>
  <w:style w:type="character" w:customStyle="1" w:styleId="18">
    <w:name w:val="标题 1 字符"/>
    <w:basedOn w:val="16"/>
    <w:link w:val="2"/>
    <w:qFormat/>
    <w:uiPriority w:val="9"/>
    <w:rPr>
      <w:b/>
      <w:bCs/>
      <w:kern w:val="44"/>
      <w:sz w:val="44"/>
      <w:szCs w:val="44"/>
    </w:rPr>
  </w:style>
  <w:style w:type="paragraph" w:customStyle="1" w:styleId="19">
    <w:name w:val="公关一级"/>
    <w:basedOn w:val="1"/>
    <w:next w:val="1"/>
    <w:link w:val="20"/>
    <w:qFormat/>
    <w:uiPriority w:val="0"/>
    <w:rPr>
      <w:rFonts w:eastAsia="黑体"/>
    </w:rPr>
  </w:style>
  <w:style w:type="character" w:customStyle="1" w:styleId="20">
    <w:name w:val="公关一级 字符"/>
    <w:basedOn w:val="16"/>
    <w:link w:val="19"/>
    <w:qFormat/>
    <w:uiPriority w:val="0"/>
    <w:rPr>
      <w:rFonts w:eastAsia="黑体"/>
    </w:rPr>
  </w:style>
  <w:style w:type="paragraph" w:customStyle="1" w:styleId="21">
    <w:name w:val="公文二级"/>
    <w:next w:val="1"/>
    <w:qFormat/>
    <w:uiPriority w:val="0"/>
    <w:pPr>
      <w:spacing w:line="600" w:lineRule="exact"/>
      <w:ind w:firstLine="0" w:firstLineChars="0"/>
      <w:jc w:val="both"/>
    </w:pPr>
    <w:rPr>
      <w:rFonts w:ascii="Times New Roman" w:hAnsi="Times New Roman" w:eastAsia="楷体" w:cstheme="minorBidi"/>
      <w:kern w:val="2"/>
      <w:sz w:val="32"/>
      <w:szCs w:val="22"/>
      <w:lang w:val="en-US" w:eastAsia="zh-CN" w:bidi="ar-SA"/>
      <w14:ligatures w14:val="standardContextual"/>
    </w:rPr>
  </w:style>
  <w:style w:type="paragraph" w:customStyle="1" w:styleId="22">
    <w:name w:val="落款"/>
    <w:basedOn w:val="1"/>
    <w:next w:val="1"/>
    <w:qFormat/>
    <w:uiPriority w:val="0"/>
    <w:pPr>
      <w:ind w:right="400" w:rightChars="400"/>
      <w:jc w:val="right"/>
    </w:pPr>
  </w:style>
  <w:style w:type="paragraph" w:customStyle="1" w:styleId="23">
    <w:name w:val="大标题"/>
    <w:basedOn w:val="1"/>
    <w:next w:val="1"/>
    <w:link w:val="24"/>
    <w:qFormat/>
    <w:uiPriority w:val="0"/>
    <w:pPr>
      <w:jc w:val="center"/>
    </w:pPr>
    <w:rPr>
      <w:rFonts w:eastAsia="方正小标宋简体"/>
      <w:sz w:val="44"/>
    </w:rPr>
  </w:style>
  <w:style w:type="character" w:customStyle="1" w:styleId="24">
    <w:name w:val="大标题 字符"/>
    <w:basedOn w:val="16"/>
    <w:link w:val="23"/>
    <w:qFormat/>
    <w:uiPriority w:val="0"/>
    <w:rPr>
      <w:rFonts w:eastAsia="方正小标宋简体"/>
      <w:sz w:val="44"/>
    </w:rPr>
  </w:style>
  <w:style w:type="paragraph" w:customStyle="1" w:styleId="25">
    <w:name w:val="正文强调"/>
    <w:basedOn w:val="1"/>
    <w:next w:val="1"/>
    <w:link w:val="26"/>
    <w:qFormat/>
    <w:uiPriority w:val="0"/>
    <w:pPr>
      <w:ind w:firstLine="640"/>
    </w:pPr>
    <w:rPr>
      <w:rFonts w:eastAsia="楷体_GB2312"/>
      <w:b/>
    </w:rPr>
  </w:style>
  <w:style w:type="character" w:customStyle="1" w:styleId="26">
    <w:name w:val="正文强调 字符"/>
    <w:basedOn w:val="16"/>
    <w:link w:val="25"/>
    <w:qFormat/>
    <w:uiPriority w:val="0"/>
    <w:rPr>
      <w:rFonts w:eastAsia="楷体_GB2312"/>
      <w:b/>
    </w:rPr>
  </w:style>
  <w:style w:type="paragraph" w:customStyle="1" w:styleId="27">
    <w:name w:val="公文强调"/>
    <w:basedOn w:val="1"/>
    <w:next w:val="1"/>
    <w:qFormat/>
    <w:uiPriority w:val="0"/>
    <w:pPr>
      <w:ind w:firstLine="640"/>
    </w:pPr>
    <w:rPr>
      <w:rFonts w:eastAsia="楷体_GB2312"/>
      <w:b/>
    </w:rPr>
  </w:style>
  <w:style w:type="paragraph" w:customStyle="1" w:styleId="28">
    <w:name w:val="公文一级"/>
    <w:basedOn w:val="1"/>
    <w:next w:val="1"/>
    <w:link w:val="29"/>
    <w:qFormat/>
    <w:uiPriority w:val="0"/>
    <w:rPr>
      <w:rFonts w:eastAsia="黑体"/>
    </w:rPr>
  </w:style>
  <w:style w:type="character" w:customStyle="1" w:styleId="29">
    <w:name w:val="公文一级 字符"/>
    <w:basedOn w:val="16"/>
    <w:link w:val="28"/>
    <w:qFormat/>
    <w:uiPriority w:val="0"/>
    <w:rPr>
      <w:rFonts w:eastAsia="黑体"/>
    </w:rPr>
  </w:style>
  <w:style w:type="character" w:customStyle="1" w:styleId="30">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31">
    <w:name w:val="标题 3 字符"/>
    <w:basedOn w:val="16"/>
    <w:link w:val="4"/>
    <w:semiHidden/>
    <w:qFormat/>
    <w:uiPriority w:val="9"/>
    <w:rPr>
      <w:rFonts w:asciiTheme="majorHAnsi" w:hAnsiTheme="majorHAnsi" w:eastAsiaTheme="majorEastAsia" w:cstheme="majorBidi"/>
      <w:color w:val="2F5597" w:themeColor="accent1" w:themeShade="BF"/>
      <w:szCs w:val="32"/>
    </w:rPr>
  </w:style>
  <w:style w:type="character" w:customStyle="1" w:styleId="32">
    <w:name w:val="标题 4 字符"/>
    <w:basedOn w:val="16"/>
    <w:link w:val="5"/>
    <w:semiHidden/>
    <w:qFormat/>
    <w:uiPriority w:val="9"/>
    <w:rPr>
      <w:rFonts w:asciiTheme="minorHAnsi" w:hAnsiTheme="minorHAnsi" w:eastAsiaTheme="minorEastAsia" w:cstheme="majorBidi"/>
      <w:color w:val="2F5597" w:themeColor="accent1" w:themeShade="BF"/>
      <w:sz w:val="28"/>
      <w:szCs w:val="28"/>
    </w:rPr>
  </w:style>
  <w:style w:type="character" w:customStyle="1" w:styleId="33">
    <w:name w:val="标题 5 字符"/>
    <w:basedOn w:val="16"/>
    <w:link w:val="6"/>
    <w:semiHidden/>
    <w:qFormat/>
    <w:uiPriority w:val="9"/>
    <w:rPr>
      <w:rFonts w:asciiTheme="minorHAnsi" w:hAnsiTheme="minorHAnsi" w:eastAsiaTheme="minorEastAsia" w:cstheme="majorBidi"/>
      <w:color w:val="2F5597" w:themeColor="accent1" w:themeShade="BF"/>
      <w:sz w:val="24"/>
      <w:szCs w:val="24"/>
    </w:rPr>
  </w:style>
  <w:style w:type="character" w:customStyle="1" w:styleId="34">
    <w:name w:val="标题 6 字符"/>
    <w:basedOn w:val="16"/>
    <w:link w:val="7"/>
    <w:semiHidden/>
    <w:qFormat/>
    <w:uiPriority w:val="9"/>
    <w:rPr>
      <w:rFonts w:asciiTheme="minorHAnsi" w:hAnsiTheme="minorHAnsi" w:eastAsiaTheme="minorEastAsia" w:cstheme="majorBidi"/>
      <w:b/>
      <w:bCs/>
      <w:color w:val="2F5597" w:themeColor="accent1" w:themeShade="BF"/>
    </w:rPr>
  </w:style>
  <w:style w:type="character" w:customStyle="1" w:styleId="35">
    <w:name w:val="标题 7 字符"/>
    <w:basedOn w:val="16"/>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36">
    <w:name w:val="标题 8 字符"/>
    <w:basedOn w:val="16"/>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9 字符"/>
    <w:basedOn w:val="16"/>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引用 字符"/>
    <w:basedOn w:val="16"/>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
    <w:basedOn w:val="16"/>
    <w:qFormat/>
    <w:uiPriority w:val="21"/>
    <w:rPr>
      <w:i/>
      <w:iCs/>
      <w:color w:val="2F5597" w:themeColor="accent1" w:themeShade="BF"/>
    </w:rPr>
  </w:style>
  <w:style w:type="paragraph" w:styleId="44">
    <w:name w:val="Intense Quote"/>
    <w:basedOn w:val="1"/>
    <w:next w:val="1"/>
    <w:link w:val="4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5">
    <w:name w:val="明显引用 字符"/>
    <w:basedOn w:val="16"/>
    <w:link w:val="44"/>
    <w:qFormat/>
    <w:uiPriority w:val="30"/>
    <w:rPr>
      <w:i/>
      <w:iCs/>
      <w:color w:val="2F5597" w:themeColor="accent1" w:themeShade="BF"/>
    </w:rPr>
  </w:style>
  <w:style w:type="character" w:customStyle="1" w:styleId="46">
    <w:name w:val="Intense Reference"/>
    <w:basedOn w:val="16"/>
    <w:qFormat/>
    <w:uiPriority w:val="32"/>
    <w:rPr>
      <w:b/>
      <w:bCs/>
      <w:smallCaps/>
      <w:color w:val="2F5597" w:themeColor="accent1" w:themeShade="BF"/>
      <w:spacing w:val="5"/>
    </w:rPr>
  </w:style>
  <w:style w:type="character" w:customStyle="1" w:styleId="47">
    <w:name w:val="页眉 字符"/>
    <w:basedOn w:val="16"/>
    <w:link w:val="12"/>
    <w:qFormat/>
    <w:uiPriority w:val="99"/>
    <w:rPr>
      <w:sz w:val="18"/>
      <w:szCs w:val="18"/>
    </w:rPr>
  </w:style>
  <w:style w:type="character" w:customStyle="1" w:styleId="48">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4690</Words>
  <Characters>4879</Characters>
  <Lines>36</Lines>
  <Paragraphs>10</Paragraphs>
  <TotalTime>193</TotalTime>
  <ScaleCrop>false</ScaleCrop>
  <LinksUpToDate>false</LinksUpToDate>
  <CharactersWithSpaces>4927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2026-08-03T08:56:00Z</dcterms:created>
  <dc:creator>泽琪 梁</dc:creator>
  <cp:lastModifiedBy>何晓</cp:lastModifiedBy>
  <dcterms:modified xsi:type="dcterms:W3CDTF">2026-08-04T08:22:42Z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96DD3B8A4C054D338D545626ACE4C939_13</vt:lpwstr>
  </property>
  <property fmtid="{D5CDD505-2E9C-101B-9397-08002B2CF9AE}" pid="4" name="KSOTemplateDocerSaveRecord">
    <vt:lpwstr>eyJoZGlkIjoiMGIwZTdmMjY0YzE4OTU1MGU0YmE3MTQ5ZDQ4NmE3N2YiLCJ1c2VySWQiOiIxNTkxNDY4NjAyIn0=</vt:lpwstr>
  </property>
</Properties>
</file>