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20"/>
          <w:szCs w:val="20"/>
        </w:rPr>
        <w:t xml:space="preserve">KEDGE BUSINESS SCHOOL – PROGRAMME GRANDE ÉCOLE 2026/2027</w:t>
      </w:r>
    </w:p>
    <w:p>
      <w:pPr>
        <w:spacing w:after="360"/>
        <w:jc w:val="center"/>
      </w:pPr>
      <w:r>
        <w:rPr>
          <w:color w:val="595959"/>
          <w:sz w:val="20"/>
          <w:szCs w:val="20"/>
        </w:rPr>
        <w:t xml:space="preserve">Mémoire de recherche – Jalon 2 : Projet de recherche</w:t>
      </w:r>
    </w:p>
    <w:p>
      <w:pPr>
        <w:spacing w:after="120" w:line="300"/>
        <w:jc w:val="center"/>
      </w:pPr>
      <w:r>
        <w:rPr>
          <w:b/>
          <w:bCs/>
          <w:color w:val="1F3A5F"/>
          <w:sz w:val="32"/>
          <w:szCs w:val="32"/>
        </w:rPr>
        <w:t xml:space="preserve">Le logement touristique et les tensions avec la population locale en Europe : exemples et possible évolution du business model</w:t>
      </w:r>
    </w:p>
    <w:p>
      <w:pPr>
        <w:spacing w:after="240"/>
      </w:pPr>
    </w:p>
    <w:p>
      <w:pPr>
        <w:spacing w:after="60"/>
      </w:pPr>
      <w:r>
        <w:rPr>
          <w:b/>
          <w:bCs/>
          <w:color w:val="1F3A5F"/>
        </w:rPr>
        <w:t xml:space="preserve">Auteurs (binôme) : </w:t>
      </w:r>
      <w:r>
        <w:t xml:space="preserve">Clément Fessmann et Dimitri Raptotassios</w:t>
      </w:r>
    </w:p>
    <w:p>
      <w:pPr>
        <w:spacing w:after="60"/>
      </w:pPr>
      <w:r>
        <w:rPr>
          <w:b/>
          <w:bCs/>
          <w:color w:val="1F3A5F"/>
        </w:rPr>
        <w:t xml:space="preserve">Superviseur : </w:t>
      </w:r>
      <w:r>
        <w:t xml:space="preserve">Jesus Del Rio</w:t>
      </w:r>
    </w:p>
    <w:p>
      <w:pPr>
        <w:spacing w:after="60"/>
      </w:pPr>
      <w:r>
        <w:rPr>
          <w:b/>
          <w:bCs/>
          <w:color w:val="1F3A5F"/>
        </w:rPr>
        <w:t xml:space="preserve">Centre d’excellence : </w:t>
      </w:r>
      <w:r>
        <w:t xml:space="preserve">International Business</w:t>
      </w:r>
    </w:p>
    <w:p>
      <w:pPr>
        <w:spacing w:after="60"/>
      </w:pPr>
      <w:r>
        <w:rPr>
          <w:b/>
          <w:bCs/>
          <w:color w:val="1F3A5F"/>
        </w:rPr>
        <w:t xml:space="preserve">Objectif de développement durable : </w:t>
      </w:r>
      <w:r>
        <w:t xml:space="preserve">ODD 11 – Villes et communautés durables</w:t>
      </w:r>
    </w:p>
    <w:p>
      <w:pPr>
        <w:spacing w:after="60"/>
      </w:pPr>
      <w:r>
        <w:rPr>
          <w:b/>
          <w:bCs/>
          <w:color w:val="1F3A5F"/>
        </w:rPr>
        <w:t xml:space="preserve">Langue de rédaction : </w:t>
      </w:r>
      <w:r>
        <w:t xml:space="preserve">Français</w:t>
      </w:r>
    </w:p>
    <w:p>
      <w:pPr>
        <w:pBdr>
          <w:bottom w:val="single" w:color="1F3A5F" w:sz="8" w:space="6"/>
        </w:pBdr>
        <w:spacing w:after="240"/>
      </w:pPr>
      <w:r>
        <w:rPr>
          <w:b/>
          <w:bCs/>
          <w:color w:val="1F3A5F"/>
        </w:rPr>
        <w:t xml:space="preserve">Date de dépôt : </w:t>
      </w:r>
      <w:r>
        <w:t xml:space="preserve">[jj/mm/2026]</w:t>
      </w:r>
    </w:p>
    <w:p>
      <w:pPr>
        <w:pStyle w:val="Heading1"/>
      </w:pPr>
      <w:r>
        <w:t xml:space="preserve">1. Descriptif du sujet</w:t>
      </w:r>
    </w:p>
    <w:p>
      <w:pPr>
        <w:spacing w:after="140" w:line="360"/>
        <w:jc w:val="both"/>
      </w:pPr>
      <w:r>
        <w:t xml:space="preserve">En moins de deux décennies, la location touristique de courte durée est passée du statut de pratique marginale à celui de composante structurelle de l’économie urbaine européenne. Portées par des plateformes comme Airbnb, des centaines de milliers de logements ont basculé du marché résidentiel vers le marché touristique, au point de transformer en profondeur certains quartiers centraux. Longtemps présenté comme une forme d’« économie du partage » (Guttentag, 2015), ce modèle s’est rapidement professionnalisé : une part croissante de l’offre est aujourd’hui détenue par des multi-propriétaires et gérée par des conciergeries spécialisées.</w:t>
      </w:r>
    </w:p>
    <w:p>
      <w:pPr>
        <w:spacing w:after="140" w:line="360"/>
        <w:jc w:val="both"/>
      </w:pPr>
      <w:r>
        <w:t xml:space="preserve">Cette expansion a nourri de vives tensions avec les populations locales. La littérature a documenté ses effets sur le marché du logement : raréfaction de l’offre de location longue durée, hausse des loyers et des prix de l’immobilier (Barron et al., 2021 ; Garcia-López et al., 2020), et dynamiques de gentrification touristique (Wachsmuth &amp; Weisler, 2018). Face à ces externalités, les villes ont progressivement durci leur arsenal réglementaire : plafonds de nuitées, enregistrement obligatoire, autorisations de changement d’usage, voire interdictions ciblées (Gurran &amp; Phibbs, 2017 ; Nieuwland &amp; van Melik, 2020). L’Union européenne a elle-même adopté en 2024 un règlement imposant le partage des données entre plateformes et autorités publiques.</w:t>
      </w:r>
    </w:p>
    <w:p>
      <w:pPr>
        <w:spacing w:after="140" w:line="360"/>
        <w:jc w:val="both"/>
      </w:pPr>
      <w:r>
        <w:t xml:space="preserve">Deux villes illustrent particulièrement bien ce durcissement, à des degrés différents. </w:t>
      </w:r>
      <w:r>
        <w:rPr>
          <w:b/>
          <w:bCs/>
        </w:rPr>
        <w:t xml:space="preserve">Barcelone</w:t>
      </w:r>
      <w:r>
        <w:t xml:space="preserve"> applique l’une des régulations les plus restrictives d’Europe : après avoir gelé l’octroi de nouvelles licences, la municipalité a annoncé en 2024 son intention de ne plus renouveler les quelque 10 000 licences d’appartements touristiques d’ici novembre 2028, une mesure encore contestée par les professionnels du secteur. </w:t>
      </w:r>
      <w:r>
        <w:rPr>
          <w:b/>
          <w:bCs/>
        </w:rPr>
        <w:t xml:space="preserve">Marseille</w:t>
      </w:r>
      <w:r>
        <w:t xml:space="preserve"> s’inscrit dans le cadre français renforcé par la loi du 19 novembre 2024 (dite « loi Le Meur ») et a révisé en 2025 son règlement de changement d’usage, qui subordonne la mise en location touristique d’un logement non principal à une compensation ; ce règlement fait lui aussi l’objet d’un recours devant la juridiction administrative. Ces deux terrains offrent ainsi un contraste éclairant entre une régulation qui tend vers l’interdiction et une régulation restrictive mais encore négociable.</w:t>
      </w:r>
    </w:p>
    <w:p>
      <w:pPr>
        <w:spacing w:after="140" w:line="360"/>
        <w:jc w:val="both"/>
      </w:pPr>
      <w:r>
        <w:t xml:space="preserve">Si les effets de la location touristique sur les villes et les politiques publiques qui y répondent sont largement étudiés, </w:t>
      </w:r>
      <w:r>
        <w:rPr>
          <w:b/>
          <w:bCs/>
        </w:rPr>
        <w:t xml:space="preserve">la manière dont les professionnels du secteur réagissent à ces régulations reste encore peu étudiée sous l’angle du business model</w:t>
      </w:r>
      <w:r>
        <w:t xml:space="preserve">. C’est sur ce point que ce mémoire entend apporter une contribution.</w:t>
      </w:r>
    </w:p>
    <w:p>
      <w:pPr>
        <w:pStyle w:val="Heading1"/>
      </w:pPr>
      <w:r>
        <w:t xml:space="preserve">2. Problématique et questions de recherche</w:t>
      </w:r>
    </w:p>
    <w:p>
      <w:pPr>
        <w:spacing w:after="140" w:line="360"/>
        <w:jc w:val="both"/>
      </w:pPr>
      <w:r>
        <w:t xml:space="preserve">Au sein de ce sujet, la problématique se concentre sur les professionnels du secteur et sur la manière dont ils font évoluer leur modèle économique, à travers une étude comparée de Barcelone et de Marseille :</w:t>
      </w:r>
    </w:p>
    <w:p>
      <w:pPr>
        <w:pBdr>
          <w:left w:val="single" w:color="1F3A5F" w:sz="24" w:space="8"/>
        </w:pBdr>
        <w:shd w:fill="EAF0F7" w:color="auto" w:val="clear"/>
        <w:spacing w:after="200" w:before="120" w:line="320"/>
        <w:jc w:val="center"/>
      </w:pPr>
      <w:r>
        <w:rPr>
          <w:b/>
          <w:bCs/>
          <w:color w:val="1F3A5F"/>
          <w:sz w:val="26"/>
          <w:szCs w:val="26"/>
        </w:rPr>
        <w:t xml:space="preserve">Comment les professionnels de la location touristique de courte durée adaptent-ils leur business model face au durcissement des régulations urbaines ?</w:t>
      </w:r>
    </w:p>
    <w:p>
      <w:pPr>
        <w:spacing w:after="140" w:line="360"/>
        <w:jc w:val="both"/>
      </w:pPr>
      <w:r>
        <w:t xml:space="preserve">Cette question principale se décline en quatre questions de recherche :</w:t>
      </w:r>
    </w:p>
    <w:p>
      <w:pPr>
        <w:pStyle w:val="ListParagraph"/>
        <w:numPr>
          <w:ilvl w:val="0"/>
          <w:numId w:val="2"/>
        </w:numPr>
        <w:spacing w:after="80" w:line="360"/>
        <w:jc w:val="both"/>
      </w:pPr>
      <w:r>
        <w:t xml:space="preserve">Quelles régulations Barcelone et Marseille ont-elles adoptées, et en réponse à quelles tensions avec la population locale ?</w:t>
      </w:r>
    </w:p>
    <w:p>
      <w:pPr>
        <w:pStyle w:val="ListParagraph"/>
        <w:numPr>
          <w:ilvl w:val="0"/>
          <w:numId w:val="2"/>
        </w:numPr>
        <w:spacing w:after="80" w:line="360"/>
        <w:jc w:val="both"/>
      </w:pPr>
      <w:r>
        <w:t xml:space="preserve">Comment les professionnels du secteur perçoivent-ils ces contraintes et les menaces qu’elles font peser sur leur activité ?</w:t>
      </w:r>
    </w:p>
    <w:p>
      <w:pPr>
        <w:pStyle w:val="ListParagraph"/>
        <w:numPr>
          <w:ilvl w:val="0"/>
          <w:numId w:val="2"/>
        </w:numPr>
        <w:spacing w:after="80" w:line="360"/>
        <w:jc w:val="both"/>
      </w:pPr>
      <w:r>
        <w:t xml:space="preserve">Quelles stratégies d’adaptation mettent-ils en œuvre : conformité, repositionnement vers la location de moyenne durée, montée en gamme, diversification géographique, sortie du marché ou contournement ?</w:t>
      </w:r>
    </w:p>
    <w:p>
      <w:pPr>
        <w:pStyle w:val="ListParagraph"/>
        <w:numPr>
          <w:ilvl w:val="0"/>
          <w:numId w:val="2"/>
        </w:numPr>
        <w:spacing w:after="80" w:line="360"/>
        <w:jc w:val="both"/>
      </w:pPr>
      <w:r>
        <w:t xml:space="preserve">Ces adaptations dessinent-elles l’émergence d’un nouveau business model pour le secteur, et l’intensité de la régulation en détermine-t-elle la nature ?</w:t>
      </w:r>
    </w:p>
    <w:p>
      <w:pPr>
        <w:pStyle w:val="Heading1"/>
      </w:pPr>
      <w:r>
        <w:t xml:space="preserve">3. Enjeux de la recherche</w:t>
      </w:r>
    </w:p>
    <w:p>
      <w:pPr>
        <w:pStyle w:val="ListParagraph"/>
        <w:numPr>
          <w:ilvl w:val="0"/>
          <w:numId w:val="3"/>
        </w:numPr>
        <w:spacing w:after="80" w:line="360"/>
        <w:jc w:val="both"/>
      </w:pPr>
      <w:r>
        <w:rPr>
          <w:b/>
          <w:bCs/>
        </w:rPr>
        <w:t xml:space="preserve">Enjeu académique. </w:t>
      </w:r>
      <w:r>
        <w:t xml:space="preserve">Le mémoire articule deux champs encore peu connectés : la littérature sur la location touristique, centrée sur ses impacts urbains, et celle sur l’adaptation des business models face aux pressions institutionnelles. Le design comparatif, fondé sur deux intensités de régulation, permet d’interroger le lien entre degré de contrainte et profondeur de l’adaptation.</w:t>
      </w:r>
    </w:p>
    <w:p>
      <w:pPr>
        <w:pStyle w:val="ListParagraph"/>
        <w:numPr>
          <w:ilvl w:val="0"/>
          <w:numId w:val="3"/>
        </w:numPr>
        <w:spacing w:after="80" w:line="360"/>
        <w:jc w:val="both"/>
      </w:pPr>
      <w:r>
        <w:rPr>
          <w:b/>
          <w:bCs/>
        </w:rPr>
        <w:t xml:space="preserve">Enjeu managérial. </w:t>
      </w:r>
      <w:r>
        <w:t xml:space="preserve">Les résultats doivent fournir aux gestionnaires, conciergeries et investisseurs une grille de lecture des options stratégiques disponibles face à un environnement réglementaire mouvant, ainsi que des enseignements pour les plateformes elles-mêmes.</w:t>
      </w:r>
    </w:p>
    <w:p>
      <w:pPr>
        <w:pStyle w:val="ListParagraph"/>
        <w:numPr>
          <w:ilvl w:val="0"/>
          <w:numId w:val="3"/>
        </w:numPr>
        <w:spacing w:after="80" w:line="360"/>
        <w:jc w:val="both"/>
      </w:pPr>
      <w:r>
        <w:rPr>
          <w:b/>
          <w:bCs/>
        </w:rPr>
        <w:t xml:space="preserve">Enjeu sociétal (ODD 11). </w:t>
      </w:r>
      <w:r>
        <w:t xml:space="preserve">Comprendre comment le secteur se recompose éclaire les conditions d’une coexistence soutenable entre économie touristique et droit au logement, et offre aux collectivités un retour sur les effets concrets de leurs politiques.</w:t>
      </w:r>
    </w:p>
    <w:p>
      <w:pPr>
        <w:pStyle w:val="Heading1"/>
      </w:pPr>
      <w:r>
        <w:t xml:space="preserve">4. Cadre théorique envisagé</w:t>
      </w:r>
    </w:p>
    <w:p>
      <w:pPr>
        <w:spacing w:after="140" w:line="360"/>
        <w:jc w:val="both"/>
      </w:pPr>
      <w:r>
        <w:t xml:space="preserve">Le mémoire mobilisera </w:t>
      </w:r>
      <w:r>
        <w:rPr>
          <w:b/>
          <w:bCs/>
        </w:rPr>
        <w:t xml:space="preserve">la littérature sur le business model</w:t>
      </w:r>
      <w:r>
        <w:t xml:space="preserve">, entendu comme l’architecture par laquelle une entreprise crée, délivre et capte de la valeur (Teece, 2010 ; Zott et al., 2011), et plus spécifiquement les travaux sur l’innovation et l’adaptation du business model (Foss &amp; Saebi, 2017). Saebi et al. (2017) montrent notamment que les entreprises adaptent davantage leur modèle lorsqu’elles perçoivent une menace que lorsqu’elles identifient une opportunité, ce qui fait de la régulation un déclencheur pertinent à étudier.</w:t>
      </w:r>
    </w:p>
    <w:p>
      <w:pPr>
        <w:spacing w:after="140" w:line="360"/>
        <w:jc w:val="both"/>
      </w:pPr>
      <w:r>
        <w:t xml:space="preserve">Ce socle sera complété par </w:t>
      </w:r>
      <w:r>
        <w:rPr>
          <w:b/>
          <w:bCs/>
        </w:rPr>
        <w:t xml:space="preserve">la théorie néo-institutionnelle</w:t>
      </w:r>
      <w:r>
        <w:t xml:space="preserve">. La typologie des réponses stratégiques aux pressions institutionnelles proposée par Oliver (1991) – acquiescement, compromis, évitement, défiance et manipulation – servira de grille de lecture initiale pour classer les comportements observés. Les travaux d’Uzunca et al. (2018) sur la manière dont les entreprises de l’économie collaborative façonnent leur environnement institutionnel selon les pays prolongeront cette perspective dans une logique comparative.</w:t>
      </w:r>
    </w:p>
    <w:p>
      <w:pPr>
        <w:spacing w:after="140" w:line="360"/>
        <w:jc w:val="both"/>
      </w:pPr>
      <w:r>
        <w:t xml:space="preserve">Enfin, la littérature spécifique à la location touristique (Guttentag, 2015 ; Zervas et al., 2017 ; Gurran &amp; Phibbs, 2017 ; Nieuwland &amp; van Melik, 2020) permettra de contextualiser les régulations et leurs justifications.</w:t>
      </w:r>
    </w:p>
    <w:p>
      <w:pPr>
        <w:spacing w:after="140" w:line="360"/>
        <w:jc w:val="both"/>
      </w:pPr>
      <w:r>
        <w:t xml:space="preserve">À ce stade, deux propositions exploratoires guident la recherche :</w:t>
      </w:r>
    </w:p>
    <w:p>
      <w:pPr>
        <w:pStyle w:val="ListParagraph"/>
        <w:numPr>
          <w:ilvl w:val="0"/>
          <w:numId w:val="3"/>
        </w:numPr>
        <w:spacing w:after="80" w:line="360"/>
        <w:jc w:val="both"/>
      </w:pPr>
      <w:r>
        <w:rPr>
          <w:b/>
          <w:bCs/>
        </w:rPr>
        <w:t xml:space="preserve">P1 – </w:t>
      </w:r>
      <w:r>
        <w:t xml:space="preserve">Plus la régulation est contraignante, plus l’adaptation du business model est radicale (pivot ou sortie à Barcelone, ajustements incrémentaux à Marseille).</w:t>
      </w:r>
    </w:p>
    <w:p>
      <w:pPr>
        <w:pStyle w:val="ListParagraph"/>
        <w:numPr>
          <w:ilvl w:val="0"/>
          <w:numId w:val="3"/>
        </w:numPr>
        <w:spacing w:after="80" w:line="360"/>
        <w:jc w:val="both"/>
      </w:pPr>
      <w:r>
        <w:rPr>
          <w:b/>
          <w:bCs/>
        </w:rPr>
        <w:t xml:space="preserve">P2 – </w:t>
      </w:r>
      <w:r>
        <w:t xml:space="preserve">Les stratégies d’adaptation diffèrent selon le type d’acteur : les conciergeries, dont le modèle repose sur la gestion pour le compte de tiers, tendent à diversifier leur offre (location de moyenne durée, autres services immobiliers), tandis que les multi-propriétaires arbitrent davantage entre mise en conformité, réallocation de leur parc et sortie du marché.</w:t>
      </w:r>
    </w:p>
    <w:p>
      <w:pPr>
        <w:pStyle w:val="Heading1"/>
      </w:pPr>
      <w:r>
        <w:t xml:space="preserve">5. Méthodologie envisagée</w:t>
      </w:r>
    </w:p>
    <w:p>
      <w:pPr>
        <w:pStyle w:val="Heading2"/>
      </w:pPr>
      <w:r>
        <w:t xml:space="preserve">5.1 Design de recherche</w:t>
      </w:r>
    </w:p>
    <w:p>
      <w:pPr>
        <w:spacing w:after="140" w:line="360"/>
        <w:jc w:val="both"/>
      </w:pPr>
      <w:r>
        <w:t xml:space="preserve">L’étude adoptera une </w:t>
      </w:r>
      <w:r>
        <w:rPr>
          <w:b/>
          <w:bCs/>
        </w:rPr>
        <w:t xml:space="preserve">approche qualitative exploratoire</w:t>
      </w:r>
      <w:r>
        <w:t xml:space="preserve">, fondée sur une </w:t>
      </w:r>
      <w:r>
        <w:rPr>
          <w:b/>
          <w:bCs/>
        </w:rPr>
        <w:t xml:space="preserve">étude comparée de deux cas</w:t>
      </w:r>
      <w:r>
        <w:t xml:space="preserve"> (Eisenhardt, 1989) : Barcelone et Marseille. Ce choix se justifie par la nature de la question, qui porte sur des logiques d’acteurs et des processus de décision difficiles à saisir par une approche quantitative.</w:t>
      </w:r>
    </w:p>
    <w:p>
      <w:pPr>
        <w:pStyle w:val="Heading2"/>
      </w:pPr>
      <w:r>
        <w:t xml:space="preserve">5.2 Terrain et échantillon</w:t>
      </w:r>
    </w:p>
    <w:p>
      <w:pPr>
        <w:spacing w:after="140" w:line="360"/>
        <w:jc w:val="both"/>
      </w:pPr>
      <w:r>
        <w:t xml:space="preserve">Le terrain reposera sur </w:t>
      </w:r>
      <w:r>
        <w:rPr>
          <w:b/>
          <w:bCs/>
        </w:rPr>
        <w:t xml:space="preserve">14 à 16 entretiens semi-directifs</w:t>
      </w:r>
      <w:r>
        <w:t xml:space="preserve"> auprès de professionnels du secteur, soit sept à huit par ville, ce qui dépasse le seuil de douze entretiens B2B attendu pour un mémoire en binôme. Deux entretiens de contexte avec des associations professionnelles compléteront le dispositif, sans être comptabilisés dans ce corpus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20"/>
                <w:szCs w:val="20"/>
              </w:rPr>
              <w:t xml:space="preserve">Profil</w:t>
            </w:r>
          </w:p>
        </w:tc>
        <w:tc>
          <w:tcPr>
            <w:tcW w:type="dxa" w:w="2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20"/>
                <w:szCs w:val="20"/>
              </w:rPr>
              <w:t xml:space="preserve">Barcelone</w:t>
            </w:r>
          </w:p>
        </w:tc>
        <w:tc>
          <w:tcPr>
            <w:tcW w:type="dxa" w:w="2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20"/>
                <w:szCs w:val="20"/>
              </w:rPr>
              <w:t xml:space="preserve">Marseille</w:t>
            </w:r>
          </w:p>
        </w:tc>
      </w:tr>
      <w:tr>
        <w:trPr>
          <w:tblHeader w:val="false"/>
        </w:trP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Conciergeries et gestionnaires de location courte durée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r>
      <w:tr>
        <w:trPr>
          <w:tblHeader w:val="false"/>
        </w:trP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Multi-propriétaires professionnels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r>
      <w:tr>
        <w:trPr>
          <w:tblHeader w:val="false"/>
        </w:trP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Hôtes particuliers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à 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à 2</w:t>
            </w:r>
          </w:p>
        </w:tc>
      </w:tr>
      <w:tr>
        <w:trPr>
          <w:tblHeader w:val="false"/>
        </w:trP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 du corpus analysé</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 à 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 à 8</w:t>
            </w:r>
          </w:p>
        </w:tc>
      </w:tr>
      <w:tr>
        <w:trPr>
          <w:tblHeader w:val="false"/>
        </w:trP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Entretien de contexte : association professionnelle (hors corpus)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r>
    </w:tbl>
    <w:p>
      <w:pPr>
        <w:spacing w:after="60"/>
        <w:jc w:val="both"/>
      </w:pPr>
      <w:r>
        <w:t xml:space="preserve"/>
      </w:r>
    </w:p>
    <w:p>
      <w:pPr>
        <w:spacing w:after="140" w:line="360"/>
        <w:jc w:val="both"/>
      </w:pPr>
      <w:r>
        <w:t xml:space="preserve">L’accès au terrain s’appuiera, à Barcelone, sur le réseau professionnel constitué lors d’un stage effectué sur place par l’un des auteurs et, à Marseille, sur les conciergeries et les associations professionnelles locales. L’anonymat sera garanti à tous les répondants.</w:t>
      </w:r>
    </w:p>
    <w:p>
      <w:pPr>
        <w:pStyle w:val="Heading2"/>
      </w:pPr>
      <w:r>
        <w:t xml:space="preserve">5.3 Collecte des données</w:t>
      </w:r>
    </w:p>
    <w:p>
      <w:pPr>
        <w:pStyle w:val="ListParagraph"/>
        <w:numPr>
          <w:ilvl w:val="0"/>
          <w:numId w:val="3"/>
        </w:numPr>
        <w:spacing w:after="80" w:line="360"/>
        <w:jc w:val="both"/>
      </w:pPr>
      <w:r>
        <w:t xml:space="preserve">Entretiens de 45 à 60 minutes, en présentiel ou en visioconférence, enregistrés avec l’accord des participants et intégralement retranscrits.</w:t>
      </w:r>
    </w:p>
    <w:p>
      <w:pPr>
        <w:pStyle w:val="ListParagraph"/>
        <w:numPr>
          <w:ilvl w:val="0"/>
          <w:numId w:val="3"/>
        </w:numPr>
        <w:spacing w:after="80" w:line="360"/>
        <w:jc w:val="both"/>
      </w:pPr>
      <w:r>
        <w:t xml:space="preserve">Entretiens barcelonais menés en espagnol, retranscrits dans la langue d’origine ; les extraits cités seront traduits et le processus de traduction documenté.</w:t>
      </w:r>
    </w:p>
    <w:p>
      <w:pPr>
        <w:pStyle w:val="ListParagraph"/>
        <w:numPr>
          <w:ilvl w:val="0"/>
          <w:numId w:val="3"/>
        </w:numPr>
        <w:spacing w:after="80" w:line="360"/>
        <w:jc w:val="both"/>
      </w:pPr>
      <w:r>
        <w:t xml:space="preserve">Triangulation par des données secondaires : textes réglementaires, rapports annuels et communications d’Airbnb, données publiques sur l’évolution des annonces.</w:t>
      </w:r>
    </w:p>
    <w:p>
      <w:pPr>
        <w:pStyle w:val="Heading2"/>
      </w:pPr>
      <w:r>
        <w:t xml:space="preserve">5.4 Analyse des données</w:t>
      </w:r>
    </w:p>
    <w:p>
      <w:pPr>
        <w:spacing w:after="140" w:line="360"/>
        <w:jc w:val="both"/>
      </w:pPr>
      <w:r>
        <w:t xml:space="preserve">Les entretiens feront l’objet d’une </w:t>
      </w:r>
      <w:r>
        <w:rPr>
          <w:b/>
          <w:bCs/>
        </w:rPr>
        <w:t xml:space="preserve">analyse thématique</w:t>
      </w:r>
      <w:r>
        <w:t xml:space="preserve"> (Braun &amp; Clarke, 2006), structurée selon la démarche de codage de Gioia et al. (2013). Une grille initiale, issue des composantes du business model et de la typologie d’Oliver (1991), sera enrichie de manière inductive. L’analyse croisée des deux cas permettra d’aboutir à une </w:t>
      </w:r>
      <w:r>
        <w:rPr>
          <w:b/>
          <w:bCs/>
        </w:rPr>
        <w:t xml:space="preserve">typologie des stratégies d’adaptation</w:t>
      </w:r>
      <w:r>
        <w:t xml:space="preserve">.</w:t>
      </w:r>
    </w:p>
    <w:p>
      <w:pPr>
        <w:pStyle w:val="Heading2"/>
      </w:pPr>
      <w:r>
        <w:t xml:space="preserve">5.5 Organisation du binôme</w:t>
      </w:r>
    </w:p>
    <w:p>
      <w:pPr>
        <w:spacing w:after="140" w:line="360"/>
        <w:jc w:val="both"/>
      </w:pPr>
      <w:r>
        <w:t xml:space="preserve">Les deux auteurs travailleront conjointement sur les deux terrains. Chaque entretien sera, dans la mesure du possible, conduit en binôme : l’un mène l’échange, l’autre prend des notes et relance. Cette organisation garantit une connaissance égale des deux cas par chacun des auteurs, condition d’une analyse comparée rigoureuse. La revue de littérature, le codage et l’interprétation des résultats seront également menés à quatre mains, ce qui permettra de confronter les lectures et de limiter les biais d’interprétation propres à un chercheur isolé. Cette répartition assure une contribution équivalente des deux auteurs.</w:t>
      </w:r>
    </w:p>
    <w:p>
      <w:pPr>
        <w:pStyle w:val="Heading2"/>
      </w:pPr>
      <w:r>
        <w:t xml:space="preserve">5.6 Limites anticipées</w:t>
      </w:r>
    </w:p>
    <w:p>
      <w:pPr>
        <w:spacing w:after="140" w:line="360"/>
        <w:jc w:val="both"/>
      </w:pPr>
      <w:r>
        <w:t xml:space="preserve">Trois limites sont identifiées dès à présent : le biais déclaratif propre aux entretiens, la difficulté d’accéder aux acteurs opérant hors du cadre légal, et le caractère en partie anticipé des adaptations à Barcelone, où la fin des licences n’interviendra qu’en 2028. Cette dernière limite constitue aussi un intérêt de la recherche : observer comment des acteurs se préparent à une rupture réglementaire annoncée.</w:t>
      </w:r>
    </w:p>
    <w:p>
      <w:pPr>
        <w:pStyle w:val="Heading1"/>
      </w:pPr>
      <w:r>
        <w:t xml:space="preserve">6. Calendrier prévisionnel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38"/>
        <w:gridCol w:w="400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20"/>
                <w:szCs w:val="20"/>
              </w:rPr>
              <w:t xml:space="preserve">Échéance</w:t>
            </w:r>
          </w:p>
        </w:tc>
        <w:tc>
          <w:tcPr>
            <w:tcW w:type="dxa" w:w="36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20"/>
                <w:szCs w:val="20"/>
              </w:rPr>
              <w:t xml:space="preserve">Jalon</w:t>
            </w:r>
          </w:p>
        </w:tc>
        <w:tc>
          <w:tcPr>
            <w:tcW w:type="dxa" w:w="4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b/>
                <w:bCs/>
                <w:color w:val="FFFFFF"/>
                <w:sz w:val="20"/>
                <w:szCs w:val="20"/>
              </w:rPr>
              <w:t xml:space="preserve">Travail prévu</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 déc. 2026</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Jalon 2 – Projet de recherche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Validation de la problématique ; premiers contacts terrain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 fév. 2027</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Jalon 3 – Revue de littérature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Environ 25 pages, plus de 30 références académiques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15 avril 2027</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Jalon 4 – Synthèse terrain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Guide d’entretien, échantillon finalisé, plan d’analyse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Avril – juin 2027</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Phase empirique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Conduite, retranscription et analyse des entretiens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 juin 2027</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Jalon 5 – Dépôt du mémoire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Rédaction finale, déclaration IA, dépôt unique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Avant le 23 juil. 2027</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Soutenance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Présentation de 20 minutes et échange avec le jury</w:t>
            </w:r>
          </w:p>
        </w:tc>
      </w:tr>
    </w:tbl>
    <w:p>
      <w:pPr>
        <w:pStyle w:val="Heading1"/>
      </w:pPr>
      <w:r>
        <w:t xml:space="preserve">7. Références clés</w:t>
      </w:r>
    </w:p>
    <w:p>
      <w:pPr>
        <w:spacing w:after="100" w:line="276"/>
        <w:ind w:left="567" w:hanging="567"/>
        <w:jc w:val="left"/>
      </w:pPr>
      <w:r>
        <w:t xml:space="preserve">Barron, K., Kung, E., &amp; Proserpio, D. (2021). The effect of home-sharing on house prices and rents: Evidence from Airbnb. </w:t>
      </w:r>
      <w:r>
        <w:rPr>
          <w:i/>
          <w:iCs/>
        </w:rPr>
        <w:t xml:space="preserve">Marketing Science, 40</w:t>
      </w:r>
      <w:r>
        <w:t xml:space="preserve">(1), 23–47.</w:t>
      </w:r>
      <w:r>
        <w:t xml:space="preserve"> </w:t>
      </w:r>
      <w:hyperlink w:history="1" r:id="rIdwta3u25ljzzkanbhcmvj0">
        <w:r>
          <w:rPr>
            <w:rStyle w:val="Hyperlink"/>
          </w:rPr>
          <w:t xml:space="preserve">https://doi.org/10.1287/mksc.2020.1227</w:t>
        </w:r>
      </w:hyperlink>
    </w:p>
    <w:p>
      <w:pPr>
        <w:spacing w:after="100" w:line="276"/>
        <w:ind w:left="567" w:hanging="567"/>
        <w:jc w:val="left"/>
      </w:pPr>
      <w:r>
        <w:t xml:space="preserve">Braun, V., &amp; Clarke, V. (2006). Using thematic analysis in psychology. </w:t>
      </w:r>
      <w:r>
        <w:rPr>
          <w:i/>
          <w:iCs/>
        </w:rPr>
        <w:t xml:space="preserve">Qualitative Research in Psychology, 3</w:t>
      </w:r>
      <w:r>
        <w:t xml:space="preserve">(2), 77–101.</w:t>
      </w:r>
      <w:r>
        <w:t xml:space="preserve"> </w:t>
      </w:r>
      <w:hyperlink w:history="1" r:id="rIdz2uqjtwnoughtzsciau-k">
        <w:r>
          <w:rPr>
            <w:rStyle w:val="Hyperlink"/>
          </w:rPr>
          <w:t xml:space="preserve">https://doi.org/10.1191/1478088706qp063oa</w:t>
        </w:r>
      </w:hyperlink>
    </w:p>
    <w:p>
      <w:pPr>
        <w:spacing w:after="100" w:line="276"/>
        <w:ind w:left="567" w:hanging="567"/>
        <w:jc w:val="left"/>
      </w:pPr>
      <w:r>
        <w:t xml:space="preserve">Eisenhardt, K. M. (1989). Building theories from case study research. </w:t>
      </w:r>
      <w:r>
        <w:rPr>
          <w:i/>
          <w:iCs/>
        </w:rPr>
        <w:t xml:space="preserve">Academy of Management Review, 14</w:t>
      </w:r>
      <w:r>
        <w:t xml:space="preserve">(4), 532–550.</w:t>
      </w:r>
      <w:r>
        <w:t xml:space="preserve"> </w:t>
      </w:r>
      <w:hyperlink w:history="1" r:id="rIdbeuyolmd7wtplwbobje6g">
        <w:r>
          <w:rPr>
            <w:rStyle w:val="Hyperlink"/>
          </w:rPr>
          <w:t xml:space="preserve">https://doi.org/10.5465/amr.1989.4308385</w:t>
        </w:r>
      </w:hyperlink>
    </w:p>
    <w:p>
      <w:pPr>
        <w:spacing w:after="100" w:line="276"/>
        <w:ind w:left="567" w:hanging="567"/>
        <w:jc w:val="left"/>
      </w:pPr>
      <w:r>
        <w:t xml:space="preserve">Foss, N. J., &amp; Saebi, T. (2017). Fifteen years of research on business model innovation: How far have we come, and where should we go? </w:t>
      </w:r>
      <w:r>
        <w:rPr>
          <w:i/>
          <w:iCs/>
        </w:rPr>
        <w:t xml:space="preserve">Journal of Management, 43</w:t>
      </w:r>
      <w:r>
        <w:t xml:space="preserve">(1), 200–227.</w:t>
      </w:r>
      <w:r>
        <w:t xml:space="preserve"> </w:t>
      </w:r>
      <w:hyperlink w:history="1" r:id="rIdqwsp1bbqj-idfeiquwax5">
        <w:r>
          <w:rPr>
            <w:rStyle w:val="Hyperlink"/>
          </w:rPr>
          <w:t xml:space="preserve">https://doi.org/10.1177/0149206316675927</w:t>
        </w:r>
      </w:hyperlink>
    </w:p>
    <w:p>
      <w:pPr>
        <w:spacing w:after="100" w:line="276"/>
        <w:ind w:left="567" w:hanging="567"/>
        <w:jc w:val="left"/>
      </w:pPr>
      <w:r>
        <w:t xml:space="preserve">Garcia-López, M.-À., Jofre-Monseny, J., Martínez-Mazza, R., &amp; Segú, M. (2020). Do short-term rental platforms affect housing markets? Evidence from Airbnb in Barcelona. </w:t>
      </w:r>
      <w:r>
        <w:rPr>
          <w:i/>
          <w:iCs/>
        </w:rPr>
        <w:t xml:space="preserve">Journal of Urban Economics, 119</w:t>
      </w:r>
      <w:r>
        <w:t xml:space="preserve">, Article 103278.</w:t>
      </w:r>
      <w:r>
        <w:t xml:space="preserve"> </w:t>
      </w:r>
      <w:hyperlink w:history="1" r:id="rIdf5kqie-gfe3dpovn1xj41">
        <w:r>
          <w:rPr>
            <w:rStyle w:val="Hyperlink"/>
          </w:rPr>
          <w:t xml:space="preserve">https://doi.org/10.1016/j.jue.2020.103278</w:t>
        </w:r>
      </w:hyperlink>
    </w:p>
    <w:p>
      <w:pPr>
        <w:spacing w:after="100" w:line="276"/>
        <w:ind w:left="567" w:hanging="567"/>
        <w:jc w:val="left"/>
      </w:pPr>
      <w:r>
        <w:t xml:space="preserve">Gioia, D. A., Corley, K. G., &amp; Hamilton, A. L. (2013). Seeking qualitative rigor in inductive research: Notes on the Gioia methodology. </w:t>
      </w:r>
      <w:r>
        <w:rPr>
          <w:i/>
          <w:iCs/>
        </w:rPr>
        <w:t xml:space="preserve">Organizational Research Methods, 16</w:t>
      </w:r>
      <w:r>
        <w:t xml:space="preserve">(1), 15–31.</w:t>
      </w:r>
      <w:r>
        <w:t xml:space="preserve"> </w:t>
      </w:r>
      <w:hyperlink w:history="1" r:id="rIdd0dtvbpxf4fzjw_ex3l4o">
        <w:r>
          <w:rPr>
            <w:rStyle w:val="Hyperlink"/>
          </w:rPr>
          <w:t xml:space="preserve">https://doi.org/10.1177/1094428112452151</w:t>
        </w:r>
      </w:hyperlink>
    </w:p>
    <w:p>
      <w:pPr>
        <w:spacing w:after="100" w:line="276"/>
        <w:ind w:left="567" w:hanging="567"/>
        <w:jc w:val="left"/>
      </w:pPr>
      <w:r>
        <w:t xml:space="preserve">Gurran, N., &amp; Phibbs, P. (2017). When tourists move in: How should urban planners respond to Airbnb? </w:t>
      </w:r>
      <w:r>
        <w:rPr>
          <w:i/>
          <w:iCs/>
        </w:rPr>
        <w:t xml:space="preserve">Journal of the American Planning Association, 83</w:t>
      </w:r>
      <w:r>
        <w:t xml:space="preserve">(1), 80–92.</w:t>
      </w:r>
      <w:r>
        <w:t xml:space="preserve"> </w:t>
      </w:r>
      <w:hyperlink w:history="1" r:id="rIdvd-ittvq15irn7xjergxr">
        <w:r>
          <w:rPr>
            <w:rStyle w:val="Hyperlink"/>
          </w:rPr>
          <w:t xml:space="preserve">https://doi.org/10.1080/01944363.2016.1249011</w:t>
        </w:r>
      </w:hyperlink>
    </w:p>
    <w:p>
      <w:pPr>
        <w:spacing w:after="100" w:line="276"/>
        <w:ind w:left="567" w:hanging="567"/>
        <w:jc w:val="left"/>
      </w:pPr>
      <w:r>
        <w:t xml:space="preserve">Guttentag, D. (2015). Airbnb: Disruptive innovation and the rise of an informal tourism accommodation sector. </w:t>
      </w:r>
      <w:r>
        <w:rPr>
          <w:i/>
          <w:iCs/>
        </w:rPr>
        <w:t xml:space="preserve">Current Issues in Tourism, 18</w:t>
      </w:r>
      <w:r>
        <w:t xml:space="preserve">(12), 1192–1217.</w:t>
      </w:r>
      <w:r>
        <w:t xml:space="preserve"> </w:t>
      </w:r>
      <w:hyperlink w:history="1" r:id="rIdgonpmqmnjlhm68m_sziee">
        <w:r>
          <w:rPr>
            <w:rStyle w:val="Hyperlink"/>
          </w:rPr>
          <w:t xml:space="preserve">https://doi.org/10.1080/13683500.2013.827159</w:t>
        </w:r>
      </w:hyperlink>
    </w:p>
    <w:p>
      <w:pPr>
        <w:spacing w:after="100" w:line="276"/>
        <w:ind w:left="567" w:hanging="567"/>
        <w:jc w:val="left"/>
      </w:pPr>
      <w:r>
        <w:t xml:space="preserve">Nieuwland, S., &amp; van Melik, R. (2020). Regulating Airbnb: How cities deal with perceived negative externalities of short-term rentals. </w:t>
      </w:r>
      <w:r>
        <w:rPr>
          <w:i/>
          <w:iCs/>
        </w:rPr>
        <w:t xml:space="preserve">Current Issues in Tourism, 23</w:t>
      </w:r>
      <w:r>
        <w:t xml:space="preserve">(7), 811–825.</w:t>
      </w:r>
      <w:r>
        <w:t xml:space="preserve"> </w:t>
      </w:r>
      <w:hyperlink w:history="1" r:id="rId7pnnovhd9x_8afgz_vzms">
        <w:r>
          <w:rPr>
            <w:rStyle w:val="Hyperlink"/>
          </w:rPr>
          <w:t xml:space="preserve">https://doi.org/10.1080/13683500.2018.1504899</w:t>
        </w:r>
      </w:hyperlink>
    </w:p>
    <w:p>
      <w:pPr>
        <w:spacing w:after="100" w:line="276"/>
        <w:ind w:left="567" w:hanging="567"/>
        <w:jc w:val="left"/>
      </w:pPr>
      <w:r>
        <w:t xml:space="preserve">Oliver, C. (1991). Strategic responses to institutional processes. </w:t>
      </w:r>
      <w:r>
        <w:rPr>
          <w:i/>
          <w:iCs/>
        </w:rPr>
        <w:t xml:space="preserve">Academy of Management Review, 16</w:t>
      </w:r>
      <w:r>
        <w:t xml:space="preserve">(1), 145–179.</w:t>
      </w:r>
      <w:r>
        <w:t xml:space="preserve"> </w:t>
      </w:r>
      <w:hyperlink w:history="1" r:id="rIdes-qhf67uuheykppbwcte">
        <w:r>
          <w:rPr>
            <w:rStyle w:val="Hyperlink"/>
          </w:rPr>
          <w:t xml:space="preserve">https://doi.org/10.5465/amr.1991.4279002</w:t>
        </w:r>
      </w:hyperlink>
    </w:p>
    <w:p>
      <w:pPr>
        <w:spacing w:after="100" w:line="276"/>
        <w:ind w:left="567" w:hanging="567"/>
        <w:jc w:val="left"/>
      </w:pPr>
      <w:r>
        <w:t xml:space="preserve">Saebi, T., Lien, L., &amp; Foss, N. J. (2017). What drives business model adaptation? The impact of opportunities, threats and strategic orientation. </w:t>
      </w:r>
      <w:r>
        <w:rPr>
          <w:i/>
          <w:iCs/>
        </w:rPr>
        <w:t xml:space="preserve">Long Range Planning, 50</w:t>
      </w:r>
      <w:r>
        <w:t xml:space="preserve">(5), 567–581.</w:t>
      </w:r>
      <w:r>
        <w:t xml:space="preserve"> </w:t>
      </w:r>
      <w:hyperlink w:history="1" r:id="rId_7fm1l6o4njznxjkelyre">
        <w:r>
          <w:rPr>
            <w:rStyle w:val="Hyperlink"/>
          </w:rPr>
          <w:t xml:space="preserve">https://doi.org/10.1016/j.lrp.2016.06.006</w:t>
        </w:r>
      </w:hyperlink>
    </w:p>
    <w:p>
      <w:pPr>
        <w:spacing w:after="100" w:line="276"/>
        <w:ind w:left="567" w:hanging="567"/>
        <w:jc w:val="left"/>
      </w:pPr>
      <w:r>
        <w:t xml:space="preserve">Teece, D. J. (2010). Business models, business strategy and innovation. </w:t>
      </w:r>
      <w:r>
        <w:rPr>
          <w:i/>
          <w:iCs/>
        </w:rPr>
        <w:t xml:space="preserve">Long Range Planning, 43</w:t>
      </w:r>
      <w:r>
        <w:t xml:space="preserve">(2–3), 172–194.</w:t>
      </w:r>
      <w:r>
        <w:t xml:space="preserve"> </w:t>
      </w:r>
      <w:hyperlink w:history="1" r:id="rId0rdvlnww9ker6fv2wycts">
        <w:r>
          <w:rPr>
            <w:rStyle w:val="Hyperlink"/>
          </w:rPr>
          <w:t xml:space="preserve">https://doi.org/10.1016/j.lrp.2009.07.003</w:t>
        </w:r>
      </w:hyperlink>
    </w:p>
    <w:p>
      <w:pPr>
        <w:spacing w:after="100" w:line="276"/>
        <w:ind w:left="567" w:hanging="567"/>
        <w:jc w:val="left"/>
      </w:pPr>
      <w:r>
        <w:t xml:space="preserve">Uzunca, B., Rigtering, J. P. C., &amp; Ozcan, P. (2018). Sharing and shaping: A cross-country comparison of how sharing economy firms shape their institutional environment to gain legitimacy. </w:t>
      </w:r>
      <w:r>
        <w:rPr>
          <w:i/>
          <w:iCs/>
        </w:rPr>
        <w:t xml:space="preserve">Academy of Management Discoveries, 4</w:t>
      </w:r>
      <w:r>
        <w:t xml:space="preserve">(3), 248–272.</w:t>
      </w:r>
      <w:r>
        <w:t xml:space="preserve"> </w:t>
      </w:r>
      <w:hyperlink w:history="1" r:id="rIdx9hhemzw7r6dzeswny-tb">
        <w:r>
          <w:rPr>
            <w:rStyle w:val="Hyperlink"/>
          </w:rPr>
          <w:t xml:space="preserve">https://doi.org/10.5465/amd.2016.0153</w:t>
        </w:r>
      </w:hyperlink>
    </w:p>
    <w:p>
      <w:pPr>
        <w:spacing w:after="100" w:line="276"/>
        <w:ind w:left="567" w:hanging="567"/>
        <w:jc w:val="left"/>
      </w:pPr>
      <w:r>
        <w:t xml:space="preserve">Wachsmuth, D., &amp; Weisler, A. (2018). Airbnb and the rent gap: Gentrification through the sharing economy. </w:t>
      </w:r>
      <w:r>
        <w:rPr>
          <w:i/>
          <w:iCs/>
        </w:rPr>
        <w:t xml:space="preserve">Environment and Planning A: Economy and Space, 50</w:t>
      </w:r>
      <w:r>
        <w:t xml:space="preserve">(6), 1147–1170.</w:t>
      </w:r>
      <w:r>
        <w:t xml:space="preserve"> </w:t>
      </w:r>
      <w:hyperlink w:history="1" r:id="rId6ekwovbpxwacc2x0qnkwr">
        <w:r>
          <w:rPr>
            <w:rStyle w:val="Hyperlink"/>
          </w:rPr>
          <w:t xml:space="preserve">https://doi.org/10.1177/0308518X18778038</w:t>
        </w:r>
      </w:hyperlink>
    </w:p>
    <w:p>
      <w:pPr>
        <w:spacing w:after="100" w:line="276"/>
        <w:ind w:left="567" w:hanging="567"/>
        <w:jc w:val="left"/>
      </w:pPr>
      <w:r>
        <w:t xml:space="preserve">Zervas, G., Proserpio, D., &amp; Byers, J. W. (2017). The rise of the sharing economy: Estimating the impact of Airbnb on the hotel industry. </w:t>
      </w:r>
      <w:r>
        <w:rPr>
          <w:i/>
          <w:iCs/>
        </w:rPr>
        <w:t xml:space="preserve">Journal of Marketing Research, 54</w:t>
      </w:r>
      <w:r>
        <w:t xml:space="preserve">(5), 687–705.</w:t>
      </w:r>
      <w:r>
        <w:t xml:space="preserve"> </w:t>
      </w:r>
      <w:hyperlink w:history="1" r:id="rIdcujsd_wwcfelc9ieusk-a">
        <w:r>
          <w:rPr>
            <w:rStyle w:val="Hyperlink"/>
          </w:rPr>
          <w:t xml:space="preserve">https://doi.org/10.1509/jmr.15.0204</w:t>
        </w:r>
      </w:hyperlink>
    </w:p>
    <w:p>
      <w:pPr>
        <w:spacing w:after="100" w:line="276"/>
        <w:ind w:left="567" w:hanging="567"/>
        <w:jc w:val="left"/>
      </w:pPr>
      <w:r>
        <w:t xml:space="preserve">Zott, C., Amit, R., &amp; Massa, L. (2011). The business model: Recent developments and future research. </w:t>
      </w:r>
      <w:r>
        <w:rPr>
          <w:i/>
          <w:iCs/>
        </w:rPr>
        <w:t xml:space="preserve">Journal of Management, 37</w:t>
      </w:r>
      <w:r>
        <w:t xml:space="preserve">(4), 1019–1042.</w:t>
      </w:r>
      <w:r>
        <w:t xml:space="preserve"> </w:t>
      </w:r>
      <w:hyperlink w:history="1" r:id="rId8jxjh0e9g3yp3ysl2wgi3">
        <w:r>
          <w:rPr>
            <w:rStyle w:val="Hyperlink"/>
          </w:rPr>
          <w:t xml:space="preserve">https://doi.org/10.1177/0149206311406265</w:t>
        </w:r>
      </w:hyperlink>
    </w:p>
    <w:p>
      <w:pPr>
        <w:spacing w:after="100" w:before="200"/>
      </w:pPr>
      <w:r>
        <w:rPr>
          <w:b/>
          <w:bCs/>
          <w:color w:val="1F3A5F"/>
        </w:rPr>
        <w:t xml:space="preserve">Sources réglementaires</w:t>
      </w:r>
    </w:p>
    <w:p>
      <w:pPr>
        <w:spacing w:after="100" w:line="276"/>
        <w:ind w:left="567" w:hanging="567"/>
        <w:jc w:val="left"/>
      </w:pPr>
      <w:r>
        <w:t xml:space="preserve">Loi n° 2024-1039 du 19 novembre 2024 visant à renforcer les outils de régulation des meublés de tourisme à l’échelle locale. </w:t>
      </w:r>
      <w:r>
        <w:rPr>
          <w:i/>
          <w:iCs/>
        </w:rPr>
        <w:t xml:space="preserve">Journal officiel de la République française</w:t>
      </w:r>
      <w:r>
        <w:t xml:space="preserve">.</w:t>
      </w:r>
      <w:r>
        <w:t xml:space="preserve"> </w:t>
      </w:r>
      <w:hyperlink w:history="1" r:id="rIdag1yeh2mklmoujrcbzrvs">
        <w:r>
          <w:rPr>
            <w:rStyle w:val="Hyperlink"/>
          </w:rPr>
          <w:t xml:space="preserve">https://www.legifrance.gouv.fr/eli/loi/2024/11/19/TECX2330139L/jo/texte</w:t>
        </w:r>
      </w:hyperlink>
    </w:p>
    <w:p>
      <w:pPr>
        <w:spacing w:after="100" w:line="276"/>
        <w:ind w:left="567" w:hanging="567"/>
        <w:jc w:val="left"/>
      </w:pPr>
      <w:r>
        <w:t xml:space="preserve">Règlement (UE) 2024/1028 du Parlement européen et du Conseil du 11 avril 2024 concernant la collecte et le partage des données relatives aux services de location de logements de courte durée. </w:t>
      </w:r>
      <w:r>
        <w:rPr>
          <w:i/>
          <w:iCs/>
        </w:rPr>
        <w:t xml:space="preserve">Journal officiel de l’Union européenne</w:t>
      </w:r>
      <w:r>
        <w:t xml:space="preserve">.</w:t>
      </w:r>
      <w:r>
        <w:t xml:space="preserve"> </w:t>
      </w:r>
      <w:hyperlink w:history="1" r:id="rIdf13n20educ-gsiosxrsly">
        <w:r>
          <w:rPr>
            <w:rStyle w:val="Hyperlink"/>
          </w:rPr>
          <w:t xml:space="preserve">https://eur-lex.europa.eu/eli/reg/2024/1028/oj</w:t>
        </w:r>
      </w:hyperlink>
    </w:p>
    <w:sectPr>
      <w:footerReference w:type="default" r:id="rId7"/>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Projet de recherche – Fessmann &amp; Raptotassios – KEDGE PGE 2026/2027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QR%1."/>
      <w:lvlJc w:val="left"/>
      <w:pPr>
        <w:ind w:left="709"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ta3u25ljzzkanbhcmvj0" Type="http://schemas.openxmlformats.org/officeDocument/2006/relationships/hyperlink" Target="https://doi.org/10.1287/mksc.2020.1227" TargetMode="External"/><Relationship Id="rIdz2uqjtwnoughtzsciau-k" Type="http://schemas.openxmlformats.org/officeDocument/2006/relationships/hyperlink" Target="https://doi.org/10.1191/1478088706qp063oa" TargetMode="External"/><Relationship Id="rIdbeuyolmd7wtplwbobje6g" Type="http://schemas.openxmlformats.org/officeDocument/2006/relationships/hyperlink" Target="https://doi.org/10.5465/amr.1989.4308385" TargetMode="External"/><Relationship Id="rIdqwsp1bbqj-idfeiquwax5" Type="http://schemas.openxmlformats.org/officeDocument/2006/relationships/hyperlink" Target="https://doi.org/10.1177/0149206316675927" TargetMode="External"/><Relationship Id="rIdf5kqie-gfe3dpovn1xj41" Type="http://schemas.openxmlformats.org/officeDocument/2006/relationships/hyperlink" Target="https://doi.org/10.1016/j.jue.2020.103278" TargetMode="External"/><Relationship Id="rIdd0dtvbpxf4fzjw_ex3l4o" Type="http://schemas.openxmlformats.org/officeDocument/2006/relationships/hyperlink" Target="https://doi.org/10.1177/1094428112452151" TargetMode="External"/><Relationship Id="rIdvd-ittvq15irn7xjergxr" Type="http://schemas.openxmlformats.org/officeDocument/2006/relationships/hyperlink" Target="https://doi.org/10.1080/01944363.2016.1249011" TargetMode="External"/><Relationship Id="rIdgonpmqmnjlhm68m_sziee" Type="http://schemas.openxmlformats.org/officeDocument/2006/relationships/hyperlink" Target="https://doi.org/10.1080/13683500.2013.827159" TargetMode="External"/><Relationship Id="rId7pnnovhd9x_8afgz_vzms" Type="http://schemas.openxmlformats.org/officeDocument/2006/relationships/hyperlink" Target="https://doi.org/10.1080/13683500.2018.1504899" TargetMode="External"/><Relationship Id="rIdes-qhf67uuheykppbwcte" Type="http://schemas.openxmlformats.org/officeDocument/2006/relationships/hyperlink" Target="https://doi.org/10.5465/amr.1991.4279002" TargetMode="External"/><Relationship Id="rId_7fm1l6o4njznxjkelyre" Type="http://schemas.openxmlformats.org/officeDocument/2006/relationships/hyperlink" Target="https://doi.org/10.1016/j.lrp.2016.06.006" TargetMode="External"/><Relationship Id="rId0rdvlnww9ker6fv2wycts" Type="http://schemas.openxmlformats.org/officeDocument/2006/relationships/hyperlink" Target="https://doi.org/10.1016/j.lrp.2009.07.003" TargetMode="External"/><Relationship Id="rIdx9hhemzw7r6dzeswny-tb" Type="http://schemas.openxmlformats.org/officeDocument/2006/relationships/hyperlink" Target="https://doi.org/10.5465/amd.2016.0153" TargetMode="External"/><Relationship Id="rId6ekwovbpxwacc2x0qnkwr" Type="http://schemas.openxmlformats.org/officeDocument/2006/relationships/hyperlink" Target="https://doi.org/10.1177/0308518X18778038" TargetMode="External"/><Relationship Id="rIdcujsd_wwcfelc9ieusk-a" Type="http://schemas.openxmlformats.org/officeDocument/2006/relationships/hyperlink" Target="https://doi.org/10.1509/jmr.15.0204" TargetMode="External"/><Relationship Id="rId8jxjh0e9g3yp3ysl2wgi3" Type="http://schemas.openxmlformats.org/officeDocument/2006/relationships/hyperlink" Target="https://doi.org/10.1177/0149206311406265" TargetMode="External"/><Relationship Id="rIdag1yeh2mklmoujrcbzrvs" Type="http://schemas.openxmlformats.org/officeDocument/2006/relationships/hyperlink" Target="https://www.legifrance.gouv.fr/eli/loi/2024/11/19/TECX2330139L/jo/texte" TargetMode="External"/><Relationship Id="rIdf13n20educ-gsiosxrsly" Type="http://schemas.openxmlformats.org/officeDocument/2006/relationships/hyperlink" Target="https://eur-lex.europa.eu/eli/reg/2024/1028/oj"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recherche – Mémoire PGE 2026/2027</dc:title>
  <dc:creator>Clément Fessmann</dc:creator>
  <cp:lastModifiedBy>Un-named</cp:lastModifiedBy>
  <cp:revision>1</cp:revision>
  <dcterms:created xsi:type="dcterms:W3CDTF">2026-10-15T18:04:26.921Z</dcterms:created>
  <dcterms:modified xsi:type="dcterms:W3CDTF">2026-10-15T18:04:26.928Z</dcterms:modified>
</cp:coreProperties>
</file>

<file path=docProps/custom.xml><?xml version="1.0" encoding="utf-8"?>
<Properties xmlns="http://schemas.openxmlformats.org/officeDocument/2006/custom-properties" xmlns:vt="http://schemas.openxmlformats.org/officeDocument/2006/docPropsVTypes"/>
</file>