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Les professionnels de la location touristique de courte durée face au durcissement des régulations urbaines : vers une évolution du business model ?</w:t>
      </w:r>
    </w:p>
    <w:p>
      <w:pPr>
        <w:spacing w:after="360"/>
        <w:jc w:val="center"/>
      </w:pPr>
      <w:r>
        <w:rPr>
          <w:i/>
          <w:iCs/>
          <w:sz w:val="26"/>
          <w:szCs w:val="26"/>
        </w:rPr>
        <w:t xml:space="preserve">Une étude comparée Barcelone – Marseille</w:t>
      </w:r>
    </w:p>
    <w:p>
      <w:pPr>
        <w:spacing w:after="60"/>
      </w:pPr>
      <w:r>
        <w:rPr>
          <w:b/>
          <w:bCs/>
          <w:color w:val="1F3A5F"/>
        </w:rPr>
        <w:t xml:space="preserve">Auteurs (binôme) : </w:t>
      </w:r>
      <w:r>
        <w:t xml:space="preserve">Clément Fessmann et Dimitri [Nom]</w:t>
      </w:r>
    </w:p>
    <w:p>
      <w:pPr>
        <w:spacing w:after="60"/>
      </w:pPr>
      <w:r>
        <w:rPr>
          <w:b/>
          <w:bCs/>
          <w:color w:val="1F3A5F"/>
        </w:rPr>
        <w:t xml:space="preserve">Superviseur : </w:t>
      </w:r>
      <w:r>
        <w:t xml:space="preserve">[Prénom Nom du tuteur]</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[jj/mm/2026]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incarne la régulation la plus radicale d’Europe : après avoir gelé l’octroi de nouvelles licences, la municipalité a annoncé en 2024 le non-renouvellement des quelque 10 000 licences d’appartements touristiques à l’horizon 2028. </w:t>
      </w:r>
      <w:r>
        <w:rPr>
          <w:b/>
          <w:bCs/>
        </w:rPr>
        <w:t xml:space="preserve">Marseille</w:t>
      </w:r>
      <w:r>
        <w:t xml:space="preserve"> s’inscrit dans le cadre français renforcé par la loi du 19 novembre 2024 (dite « loi Le Meur ») et a adopté en 2025 un règlement de changement d’usage qui conditionne désormais la mise en location touristique d’un logement non principal à une compensation. Ces deux terrains offrent ainsi un contraste précieux entre une régulation quasi prohibitive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et reconfigurent leur modèle économique demeure peu explorée</w:t>
      </w:r>
      <w:r>
        <w:t xml:space="preserve">. C’est précisément cet angle mort que ce mémoire se propose d’investir.</w:t>
      </w:r>
    </w:p>
    <w:p>
      <w:pPr>
        <w:pStyle w:val="Heading1"/>
      </w:pPr>
      <w:r>
        <w:t xml:space="preserve">2. Problématique et questions de recherche</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1"/>
      </w:pPr>
      <w:r>
        <w:t xml:space="preserve">3. Enjeux de la recherche</w:t>
      </w:r>
    </w:p>
    <w:p>
      <w:pPr>
        <w:pStyle w:val="ListParagraph"/>
        <w:numPr>
          <w:ilvl w:val="0"/>
          <w:numId w:val="3"/>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3"/>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3"/>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3"/>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3"/>
        </w:numPr>
        <w:spacing w:after="80" w:line="360"/>
        <w:jc w:val="both"/>
      </w:pPr>
      <w:r>
        <w:rPr>
          <w:b/>
          <w:bCs/>
        </w:rPr>
        <w:t xml:space="preserve">P2 – </w:t>
      </w:r>
      <w:r>
        <w:t xml:space="preserve">Les opérateurs les plus professionnalisés disposent d’une capacité d’adaptation supérieure à celle des hôtes particuliers et tendent à reconfigurer leur modèle plutôt qu’à quitter le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16 à 18 entretiens semi-directifs</w:t>
      </w:r>
      <w:r>
        <w:t xml:space="preserve"> auprès de professionnels du secteur, soit huit à neuf par ville, ce qui dépasse le seuil de douze entretiens B2B attendu pour un mémoire en binôme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Association professionnelle du secteur (contexte)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à 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à 9</w:t>
            </w:r>
          </w:p>
        </w:tc>
      </w:tr>
    </w:tbl>
    <w:p>
      <w:pPr>
        <w:spacing w:after="60"/>
        <w:jc w:val="both"/>
      </w:pPr>
      <w:r>
        <w:t xml:space="preserve"/>
      </w:r>
    </w:p>
    <w:p>
      <w:pPr>
        <w:spacing w:after="140" w:line="360"/>
        <w:jc w:val="both"/>
      </w:pPr>
      <w:r>
        <w:t xml:space="preserve">L’accès au terrain barcelonais s’appuiera sur le réseau constitué par Dimitri [Nom] lors de son stage à Barcelone ; le terrain marseillais, sur les conciergeries et les associations professionnelles locales. L’anonymat sera garanti à tous les répondants.</w:t>
      </w:r>
    </w:p>
    <w:p>
      <w:pPr>
        <w:pStyle w:val="Heading2"/>
      </w:pPr>
      <w:r>
        <w:t xml:space="preserve">5.3 Collecte des données</w:t>
      </w:r>
    </w:p>
    <w:p>
      <w:pPr>
        <w:pStyle w:val="ListParagraph"/>
        <w:numPr>
          <w:ilvl w:val="0"/>
          <w:numId w:val="3"/>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3"/>
        </w:numPr>
        <w:spacing w:after="80" w:line="360"/>
        <w:jc w:val="both"/>
      </w:pPr>
      <w:r>
        <w:t xml:space="preserve">Entretiens barcelonais menés en espagnol, retranscrits dans la langue d’origine ; les extraits cités seront traduits et le processus de traduction documenté.</w:t>
      </w:r>
    </w:p>
    <w:p>
      <w:pPr>
        <w:pStyle w:val="ListParagraph"/>
        <w:numPr>
          <w:ilvl w:val="0"/>
          <w:numId w:val="3"/>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Chaque membre du binôme pilotera la collecte sur une ville (Dimitri [Nom] à Barcelone, Clément Fessmann à Marseille). La revue de littérature, le codage et l’analyse croisée seront conduits conjointement, afin de garantir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n’interviendra qu’en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103278.</w:t>
      </w:r>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[Nom]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2026-10-15T17:30:39.717Z</dcterms:created>
  <dcterms:modified xsi:type="dcterms:W3CDTF">2026-10-15T17:30:39.726Z</dcterms:modified>
</cp:coreProperties>
</file>

<file path=docProps/custom.xml><?xml version="1.0" encoding="utf-8"?>
<Properties xmlns="http://schemas.openxmlformats.org/officeDocument/2006/custom-properties" xmlns:vt="http://schemas.openxmlformats.org/officeDocument/2006/docPropsVTypes"/>
</file>