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 logement touristique et les tensions avec la population locale en Europe : exemples et possible évolution du business model</w:t>
      </w:r>
    </w:p>
    <w:p>
      <w:pPr>
        <w:spacing w:after="240"/>
      </w:pPr>
    </w:p>
    <w:p>
      <w:pPr>
        <w:spacing w:after="60"/>
      </w:pPr>
      <w:r>
        <w:rPr>
          <w:b/>
          <w:bCs/>
          <w:color w:val="1F3A5F"/>
        </w:rPr>
        <w:t xml:space="preserve">Auteurs (binôme) : </w:t>
      </w:r>
      <w:r>
        <w:t xml:space="preserve">Clément Fessmann et Dimitri Raptotassios</w:t>
      </w:r>
    </w:p>
    <w:p>
      <w:pPr>
        <w:spacing w:after="60"/>
      </w:pPr>
      <w:r>
        <w:rPr>
          <w:b/>
          <w:bCs/>
          <w:color w:val="1F3A5F"/>
        </w:rPr>
        <w:t xml:space="preserve">Superviseur : </w:t>
      </w:r>
      <w:r>
        <w:t xml:space="preserve">Jesus Del Rio</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25/10/2026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sont passés du marché résidentiel au marché touristique, jusqu’à transformer en profondeur certains quartiers centraux. Présentée au départ comme une « économie du partage » (Guttentag, 2015), la location de courte durée s’est vite professionnalisée : une part croissante de l’offre est désormais détenue par des multi-propriétaires et gérée par des conciergeries spécialisées.</w:t>
      </w:r>
    </w:p>
    <w:p>
      <w:pPr>
        <w:spacing w:after="140" w:line="360"/>
        <w:jc w:val="both"/>
      </w:pPr>
      <w:r>
        <w:t xml:space="preserve">Cette expansion a nourri de vives tensions avec les habitants.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applique l’une des régulations les plus restrictives d’Europe : après avoir gelé l’octroi de nouvelles licences, la municipalité a annoncé en 2024 son intention de ne plus renouveler les quelque 10 000 licences d’appartements touristiques d’ici novembre 2028, une mesure encore contestée par les professionnels du secteur. </w:t>
      </w:r>
      <w:r>
        <w:rPr>
          <w:b/>
          <w:bCs/>
        </w:rPr>
        <w:t xml:space="preserve">Marseille</w:t>
      </w:r>
      <w:r>
        <w:t xml:space="preserve"> s’inscrit dans le cadre français renforcé par la loi du 19 novembre 2024 (dite « loi Le Meur ») et a révisé en 2025 son règlement de changement d’usage, qui subordonne la mise en location touristique d’un logement non principal à une compensation ; ce règlement fait lui aussi l’objet d’un recours devant la juridiction administrative. Ces deux terrains offrent ainsi un contraste éclairant entre une régulation qui tend vers l’interdiction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reste encore peu étudiée sous l’angle du business model</w:t>
      </w:r>
      <w:r>
        <w:t xml:space="preserve">. C’est sur ce point que ce mémoire entend apporter une contribution.</w:t>
      </w:r>
    </w:p>
    <w:p>
      <w:pPr>
        <w:pStyle w:val="Heading1"/>
      </w:pPr>
      <w:r>
        <w:t xml:space="preserve">2. Problématique et questions de recherche</w:t>
      </w:r>
    </w:p>
    <w:p>
      <w:pPr>
        <w:spacing w:after="140" w:line="360"/>
        <w:jc w:val="both"/>
      </w:pPr>
      <w:r>
        <w:t xml:space="preserve">Au sein de ce sujet, la problématique se concentre sur les professionnels du secteur et sur la manière dont ils font évoluer leur modèle économique, à travers une étude comparée de Barcelone et de Marseille :</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2"/>
      </w:pPr>
      <w:r>
        <w:t xml:space="preserve">Objectifs de la recherche</w:t>
      </w:r>
    </w:p>
    <w:p>
      <w:pPr>
        <w:spacing w:after="140" w:line="360"/>
        <w:jc w:val="both"/>
      </w:pPr>
      <w:r>
        <w:rPr>
          <w:b/>
          <w:bCs/>
        </w:rPr>
        <w:t xml:space="preserve">Objectif général : </w:t>
      </w:r>
      <w:r>
        <w:t xml:space="preserve">comprendre comment les professionnels de la location touristique de courte durée font évoluer leur business model sous l’effet du durcissement des régulations urbaines.</w:t>
      </w:r>
    </w:p>
    <w:p>
      <w:pPr>
        <w:spacing w:after="140" w:line="360"/>
        <w:jc w:val="both"/>
      </w:pPr>
      <w:r>
        <w:t xml:space="preserve">Objectifs spécifiques :</w:t>
      </w:r>
    </w:p>
    <w:p>
      <w:pPr>
        <w:pStyle w:val="ListParagraph"/>
        <w:numPr>
          <w:ilvl w:val="0"/>
          <w:numId w:val="3"/>
        </w:numPr>
        <w:spacing w:after="80" w:line="360"/>
        <w:jc w:val="both"/>
      </w:pPr>
      <w:r>
        <w:t xml:space="preserve">Caractériser les régulations adoptées à Barcelone et à Marseille, ainsi que les tensions qui les ont motivées.</w:t>
      </w:r>
    </w:p>
    <w:p>
      <w:pPr>
        <w:pStyle w:val="ListParagraph"/>
        <w:numPr>
          <w:ilvl w:val="0"/>
          <w:numId w:val="3"/>
        </w:numPr>
        <w:spacing w:after="80" w:line="360"/>
        <w:jc w:val="both"/>
      </w:pPr>
      <w:r>
        <w:t xml:space="preserve">Identifier et classer les stratégies d’adaptation mises en œuvre par les professionnels, selon leur profil et l’intensité de la régulation à laquelle ils sont soumis.</w:t>
      </w:r>
    </w:p>
    <w:p>
      <w:pPr>
        <w:pStyle w:val="ListParagraph"/>
        <w:numPr>
          <w:ilvl w:val="0"/>
          <w:numId w:val="3"/>
        </w:numPr>
        <w:spacing w:after="80" w:line="360"/>
        <w:jc w:val="both"/>
      </w:pPr>
      <w:r>
        <w:t xml:space="preserve">Proposer une typologie des évolutions du business model du secteur et en tirer des recommandations managériales.</w:t>
      </w:r>
    </w:p>
    <w:p>
      <w:pPr>
        <w:pStyle w:val="Heading1"/>
      </w:pPr>
      <w:r>
        <w:t xml:space="preserve">3. Enjeux de la recherche</w:t>
      </w:r>
    </w:p>
    <w:p>
      <w:pPr>
        <w:pStyle w:val="ListParagraph"/>
        <w:numPr>
          <w:ilvl w:val="0"/>
          <w:numId w:val="4"/>
        </w:numPr>
        <w:spacing w:after="80" w:line="360"/>
        <w:jc w:val="both"/>
      </w:pPr>
      <w:r>
        <w:rPr>
          <w:b/>
          <w:bCs/>
        </w:rPr>
        <w:t xml:space="preserve">Enjeu académique. </w:t>
      </w:r>
      <w:r>
        <w:t xml:space="preserve">Le mémoire croise deux champs de recherche qui se parlent encore peu : d’un côté, la littérature sur la location touristique et ses effets urbains ; de l’autre, celle sur la manière dont les modèles d’affaires s’adaptent aux pressions institutionnelles. Le design comparatif, fondé sur deux niveaux de régulation, permet d’examiner le lien entre intensité de la contrainte et profondeur de l’adaptation.</w:t>
      </w:r>
    </w:p>
    <w:p>
      <w:pPr>
        <w:pStyle w:val="ListParagraph"/>
        <w:numPr>
          <w:ilvl w:val="0"/>
          <w:numId w:val="4"/>
        </w:numPr>
        <w:spacing w:after="80" w:line="360"/>
        <w:jc w:val="both"/>
      </w:pPr>
      <w:r>
        <w:rPr>
          <w:b/>
          <w:bCs/>
        </w:rPr>
        <w:t xml:space="preserve">Enjeu managérial. </w:t>
      </w:r>
      <w:r>
        <w:t xml:space="preserve">Les résultats doivent fournir aux gestionnaires, conciergeries et investisseurs une grille de lecture des options stratégiques face à un cadre réglementaire mouvant, ainsi que des enseignements pour les plateformes elles-mêmes.</w:t>
      </w:r>
    </w:p>
    <w:p>
      <w:pPr>
        <w:pStyle w:val="ListParagraph"/>
        <w:numPr>
          <w:ilvl w:val="0"/>
          <w:numId w:val="4"/>
        </w:numPr>
        <w:spacing w:after="80" w:line="360"/>
        <w:jc w:val="both"/>
      </w:pPr>
      <w:r>
        <w:rPr>
          <w:b/>
          <w:bCs/>
        </w:rPr>
        <w:t xml:space="preserve">Enjeu sociétal (ODD 11). </w:t>
      </w:r>
      <w:r>
        <w:t xml:space="preserve">Comprendre comment le secteur se recompose éclaire les conditions d’une cohabitation soutenable entre économie touristique et droit au logement, et offre aux collectivités un retour concret sur les effets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Pour rendre ce concept observable, le business model sera décomposé en </w:t>
      </w:r>
      <w:r>
        <w:rPr>
          <w:b/>
          <w:bCs/>
        </w:rPr>
        <w:t xml:space="preserve">cinq dimensions</w:t>
      </w:r>
      <w:r>
        <w:t xml:space="preserve"> classiquement retenues dans la littérature (Teece, 2010 ; Zott et al., 2011) : la </w:t>
      </w:r>
      <w:r>
        <w:rPr>
          <w:b/>
          <w:bCs/>
        </w:rPr>
        <w:t xml:space="preserve">proposition de valeur</w:t>
      </w:r>
      <w:r>
        <w:t xml:space="preserve"> (le type de séjour et de service offert), les </w:t>
      </w:r>
      <w:r>
        <w:rPr>
          <w:b/>
          <w:bCs/>
        </w:rPr>
        <w:t xml:space="preserve">segments de clientèle</w:t>
      </w:r>
      <w:r>
        <w:t xml:space="preserve"> (touristes, voyageurs d’affaires, locataires de moyenne durée), les </w:t>
      </w:r>
      <w:r>
        <w:rPr>
          <w:b/>
          <w:bCs/>
        </w:rPr>
        <w:t xml:space="preserve">canaux de distribution</w:t>
      </w:r>
      <w:r>
        <w:t xml:space="preserve"> (plateformes, vente directe, agences), les </w:t>
      </w:r>
      <w:r>
        <w:rPr>
          <w:b/>
          <w:bCs/>
        </w:rPr>
        <w:t xml:space="preserve">sources de revenus</w:t>
      </w:r>
      <w:r>
        <w:t xml:space="preserve"> (nuitées, commissions de gestion, services annexes) et la </w:t>
      </w:r>
      <w:r>
        <w:rPr>
          <w:b/>
          <w:bCs/>
        </w:rPr>
        <w:t xml:space="preserve">structure de coûts</w:t>
      </w:r>
      <w:r>
        <w:t xml:space="preserve"> (mise en conformité, fiscalité, gestion opérationnelle). Ces dimensions structureront à la fois le guide d’entretien et la grille d’analyse : une adaptation sera repérée dès lors qu’au moins l’une d’elles est modifiée en réponse à la régulation.</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4"/>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4"/>
        </w:numPr>
        <w:spacing w:after="80" w:line="360"/>
        <w:jc w:val="both"/>
      </w:pPr>
      <w:r>
        <w:rPr>
          <w:b/>
          <w:bCs/>
        </w:rPr>
        <w:t xml:space="preserve">P2 – </w:t>
      </w:r>
      <w:r>
        <w:t xml:space="preserve">Les stratégies d’adaptation varient selon le type d’acteur. Les conciergeries, dont le modèle repose sur la gestion pour le compte de tiers, tendent à diversifier leur offre (location de moyenne durée, autres services immobiliers), tandis que les multi-propriétaires arbitrent plutôt entre mise en conformité, réallocation de leur parc et sortie du marché.</w:t>
      </w:r>
    </w:p>
    <w:p>
      <w:pPr>
        <w:pStyle w:val="Heading1"/>
      </w:pPr>
      <w:r>
        <w:t xml:space="preserve">5. Méthodologie envisagée</w:t>
      </w:r>
    </w:p>
    <w:p>
      <w:pPr>
        <w:pStyle w:val="Heading2"/>
      </w:pPr>
      <w:r>
        <w:t xml:space="preserve">5.1 Design de recherche</w:t>
      </w:r>
    </w:p>
    <w:p>
      <w:pPr>
        <w:spacing w:after="140" w:line="360"/>
        <w:jc w:val="both"/>
      </w:pPr>
      <w:r>
        <w:t xml:space="preserve">Le mémoire s’appuie sur une </w:t>
      </w:r>
      <w:r>
        <w:rPr>
          <w:b/>
          <w:bCs/>
        </w:rPr>
        <w:t xml:space="preserve">démarche qualitative exploratoire</w:t>
      </w:r>
      <w:r>
        <w:t xml:space="preserve">, fondée sur l’</w:t>
      </w:r>
      <w:r>
        <w:rPr>
          <w:b/>
          <w:bCs/>
        </w:rPr>
        <w:t xml:space="preserve">étude comparée de deux cas</w:t>
      </w:r>
      <w:r>
        <w:t xml:space="preserve">, Barcelone et Marseille (Eisenhardt, 1989). Ce choix tient à la nature de la question : elle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14 à 16 entretiens semi-directifs</w:t>
      </w:r>
      <w:r>
        <w:t xml:space="preserve"> auprès de professionnels du secteur, soit sept à huit par ville, ce qui dépasse le seuil de douze entretiens B2B attendu pour un mémoire en binôme. Deux entretiens de contexte avec des associations professionnelles compléteront le dispositif, sans être comptabilisés dans ce corpus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 du corpus analysé</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Entretien de contexte : association professionnelle (hors corpus)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bl>
    <w:p>
      <w:pPr>
        <w:spacing w:after="60"/>
        <w:jc w:val="both"/>
      </w:pPr>
      <w:r>
        <w:t xml:space="preserve"/>
      </w:r>
    </w:p>
    <w:p>
      <w:pPr>
        <w:spacing w:after="140" w:line="360"/>
        <w:jc w:val="both"/>
      </w:pPr>
      <w:r>
        <w:t xml:space="preserve">L’accès au terrain s’appuiera, à Barcelone, sur le réseau professionnel constitué lors d’un stage effectué sur place par l’un des auteurs et, à Marseille, sur les conciergeries et les associations professionnelles locales. L’anonymat sera garanti à tous les répondants.</w:t>
      </w:r>
    </w:p>
    <w:p>
      <w:pPr>
        <w:pStyle w:val="Heading2"/>
      </w:pPr>
      <w:r>
        <w:t xml:space="preserve">5.3 Collecte des données</w:t>
      </w:r>
    </w:p>
    <w:p>
      <w:pPr>
        <w:pStyle w:val="ListParagraph"/>
        <w:numPr>
          <w:ilvl w:val="0"/>
          <w:numId w:val="4"/>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4"/>
        </w:numPr>
        <w:spacing w:after="80" w:line="360"/>
        <w:jc w:val="both"/>
      </w:pPr>
      <w:r>
        <w:t xml:space="preserve">Entretiens barcelonais menés en anglais ou en espagnol selon la préférence de l’interlocuteur, retranscrits dans leur langue d’origine. Les extraits cités seront traduits, et le processus de traduction documenté.</w:t>
      </w:r>
    </w:p>
    <w:p>
      <w:pPr>
        <w:pStyle w:val="ListParagraph"/>
        <w:numPr>
          <w:ilvl w:val="0"/>
          <w:numId w:val="4"/>
        </w:numPr>
        <w:spacing w:after="80" w:line="360"/>
        <w:jc w:val="both"/>
      </w:pPr>
      <w:r>
        <w:rPr>
          <w:b/>
          <w:bCs/>
        </w:rPr>
        <w:t xml:space="preserve">Consentement éclairé : </w:t>
      </w:r>
      <w:r>
        <w:t xml:space="preserve">chaque participant signera un formulaire précisant l’objet de l’étude, l’enregistrement, l’anonymisation des données et son droit de retrait.</w:t>
      </w:r>
    </w:p>
    <w:p>
      <w:pPr>
        <w:pStyle w:val="ListParagraph"/>
        <w:numPr>
          <w:ilvl w:val="0"/>
          <w:numId w:val="4"/>
        </w:numPr>
        <w:spacing w:after="80" w:line="360"/>
        <w:jc w:val="both"/>
      </w:pPr>
      <w:r>
        <w:rPr>
          <w:b/>
          <w:bCs/>
        </w:rPr>
        <w:t xml:space="preserve">Saturation : </w:t>
      </w:r>
      <w:r>
        <w:t xml:space="preserve">la taille finale de l’échantillon sera ajustée selon le principe de saturation théorique ; la collecte se poursuivra jusqu’à ce que de nouveaux entretiens n’apportent plus d’éléments significativement nouveaux.</w:t>
      </w:r>
    </w:p>
    <w:p>
      <w:pPr>
        <w:pStyle w:val="ListParagraph"/>
        <w:numPr>
          <w:ilvl w:val="0"/>
          <w:numId w:val="4"/>
        </w:numPr>
        <w:spacing w:after="80" w:line="360"/>
        <w:jc w:val="both"/>
      </w:pPr>
      <w:r>
        <w:rPr>
          <w:b/>
          <w:bCs/>
        </w:rPr>
        <w:t xml:space="preserve">Traçabilité : </w:t>
      </w:r>
      <w:r>
        <w:t xml:space="preserve">l’ensemble des matériaux (guide d’entretien, enregistrements, transcriptions, notes de terrain, preuves de prise de contact) sera conservé jusqu’à la validation du mémoire, conformément aux exigences du guide KEDGE.</w:t>
      </w:r>
    </w:p>
    <w:p>
      <w:pPr>
        <w:pStyle w:val="ListParagraph"/>
        <w:numPr>
          <w:ilvl w:val="0"/>
          <w:numId w:val="4"/>
        </w:numPr>
        <w:spacing w:after="80" w:line="360"/>
        <w:jc w:val="both"/>
      </w:pPr>
      <w:r>
        <w:rPr>
          <w:b/>
          <w:bCs/>
        </w:rPr>
        <w:t xml:space="preserve">Triangulation : </w:t>
      </w:r>
      <w:r>
        <w:t xml:space="preserve">pour croiser les données d’entretien, le mémoire mobilise des sources secondaires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Les deux auteurs travailleront conjointement sur les deux terrains. Dans la mesure du possible, chaque entretien sera mené à deux : l’un conduit l’échange, l’autre prend des notes et relance. Cette organisation assure à chacun des auteurs une connaissance équivalente des deux terrains, condition d’une analyse comparée rigoureuse. La revue de littérature, le codage et l’interprétation des résultats seront également menés à quatre mains, pour confronter les lectures et limiter les biais d’interprétation propres à un chercheur isolé. Cette répartition garantit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n’est annoncée que pour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r>
        <w:t xml:space="preserve"> </w:t>
      </w:r>
      <w:hyperlink w:history="1" r:id="rIdd3cdl5-clftwtwxspyz_e">
        <w:r>
          <w:rPr>
            <w:rStyle w:val="Hyperlink"/>
          </w:rPr>
          <w:t xml:space="preserve">https://doi.org/10.1287/mksc.2020.1227</w:t>
        </w:r>
      </w:hyperlink>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r>
        <w:t xml:space="preserve"> </w:t>
      </w:r>
      <w:hyperlink w:history="1" r:id="rIdnz0ig57l3kuux9u0cmkaa">
        <w:r>
          <w:rPr>
            <w:rStyle w:val="Hyperlink"/>
          </w:rPr>
          <w:t xml:space="preserve">https://doi.org/10.1191/1478088706qp063oa</w:t>
        </w:r>
      </w:hyperlink>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r>
        <w:t xml:space="preserve"> </w:t>
      </w:r>
      <w:hyperlink w:history="1" r:id="rIdr_wzq25yhdf-gdcatunam">
        <w:r>
          <w:rPr>
            <w:rStyle w:val="Hyperlink"/>
          </w:rPr>
          <w:t xml:space="preserve">https://doi.org/10.5465/amr.1989.4308385</w:t>
        </w:r>
      </w:hyperlink>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r>
        <w:t xml:space="preserve"> </w:t>
      </w:r>
      <w:hyperlink w:history="1" r:id="rIdcrdfxkkst5m18a_g4iepy">
        <w:r>
          <w:rPr>
            <w:rStyle w:val="Hyperlink"/>
          </w:rPr>
          <w:t xml:space="preserve">https://doi.org/10.1177/0149206316675927</w:t>
        </w:r>
      </w:hyperlink>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Article 103278.</w:t>
      </w:r>
      <w:r>
        <w:t xml:space="preserve"> </w:t>
      </w:r>
      <w:hyperlink w:history="1" r:id="rIdneilib-xwjezxw5j8s0l4">
        <w:r>
          <w:rPr>
            <w:rStyle w:val="Hyperlink"/>
          </w:rPr>
          <w:t xml:space="preserve">https://doi.org/10.1016/j.jue.2020.103278</w:t>
        </w:r>
      </w:hyperlink>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r>
        <w:t xml:space="preserve"> </w:t>
      </w:r>
      <w:hyperlink w:history="1" r:id="rIdjcdoudsyrflmx6kjcyb0f">
        <w:r>
          <w:rPr>
            <w:rStyle w:val="Hyperlink"/>
          </w:rPr>
          <w:t xml:space="preserve">https://doi.org/10.1177/1094428112452151</w:t>
        </w:r>
      </w:hyperlink>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r>
        <w:t xml:space="preserve"> </w:t>
      </w:r>
      <w:hyperlink w:history="1" r:id="rIdxzsvna20gqf1hjwe4hvjd">
        <w:r>
          <w:rPr>
            <w:rStyle w:val="Hyperlink"/>
          </w:rPr>
          <w:t xml:space="preserve">https://doi.org/10.1080/01944363.2016.1249011</w:t>
        </w:r>
      </w:hyperlink>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r>
        <w:t xml:space="preserve"> </w:t>
      </w:r>
      <w:hyperlink w:history="1" r:id="rIdbyzcmj0dnau4ygvgom9au">
        <w:r>
          <w:rPr>
            <w:rStyle w:val="Hyperlink"/>
          </w:rPr>
          <w:t xml:space="preserve">https://doi.org/10.1080/13683500.2013.827159</w:t>
        </w:r>
      </w:hyperlink>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r>
        <w:t xml:space="preserve"> </w:t>
      </w:r>
      <w:hyperlink w:history="1" r:id="rIdpppypi4ovnoxpfdwp-bai">
        <w:r>
          <w:rPr>
            <w:rStyle w:val="Hyperlink"/>
          </w:rPr>
          <w:t xml:space="preserve">https://doi.org/10.1080/13683500.2018.1504899</w:t>
        </w:r>
      </w:hyperlink>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r>
        <w:t xml:space="preserve"> </w:t>
      </w:r>
      <w:hyperlink w:history="1" r:id="rId9si7xjnixdwvxipuz7ty5">
        <w:r>
          <w:rPr>
            <w:rStyle w:val="Hyperlink"/>
          </w:rPr>
          <w:t xml:space="preserve">https://doi.org/10.5465/amr.1991.4279002</w:t>
        </w:r>
      </w:hyperlink>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r>
        <w:t xml:space="preserve"> </w:t>
      </w:r>
      <w:hyperlink w:history="1" r:id="rIdy_u4kxyomqn3ey1q617sr">
        <w:r>
          <w:rPr>
            <w:rStyle w:val="Hyperlink"/>
          </w:rPr>
          <w:t xml:space="preserve">https://doi.org/10.1016/j.lrp.2016.06.006</w:t>
        </w:r>
      </w:hyperlink>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r>
        <w:t xml:space="preserve"> </w:t>
      </w:r>
      <w:hyperlink w:history="1" r:id="rIddekhoxzw1z_ckjahhcv5b">
        <w:r>
          <w:rPr>
            <w:rStyle w:val="Hyperlink"/>
          </w:rPr>
          <w:t xml:space="preserve">https://doi.org/10.1016/j.lrp.2009.07.003</w:t>
        </w:r>
      </w:hyperlink>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r>
        <w:t xml:space="preserve"> </w:t>
      </w:r>
      <w:hyperlink w:history="1" r:id="rIdlfciprguv-snm6fefyprf">
        <w:r>
          <w:rPr>
            <w:rStyle w:val="Hyperlink"/>
          </w:rPr>
          <w:t xml:space="preserve">https://doi.org/10.5465/amd.2016.0153</w:t>
        </w:r>
      </w:hyperlink>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r>
        <w:t xml:space="preserve"> </w:t>
      </w:r>
      <w:hyperlink w:history="1" r:id="rIdoezmmetjmoj5clwfb385_">
        <w:r>
          <w:rPr>
            <w:rStyle w:val="Hyperlink"/>
          </w:rPr>
          <w:t xml:space="preserve">https://doi.org/10.1177/0308518X18778038</w:t>
        </w:r>
      </w:hyperlink>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r>
        <w:t xml:space="preserve"> </w:t>
      </w:r>
      <w:hyperlink w:history="1" r:id="rIdvhbuknmd7xtt0c3w3p6gs">
        <w:r>
          <w:rPr>
            <w:rStyle w:val="Hyperlink"/>
          </w:rPr>
          <w:t xml:space="preserve">https://people.bu.edu/zg/publications/airbnb.pdf</w:t>
        </w:r>
      </w:hyperlink>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r>
        <w:t xml:space="preserve"> </w:t>
      </w:r>
      <w:hyperlink w:history="1" r:id="rIdkitr0i9gcmhcqxohmpnax">
        <w:r>
          <w:rPr>
            <w:rStyle w:val="Hyperlink"/>
          </w:rPr>
          <w:t xml:space="preserve">https://doi.org/10.1177/0149206311406265</w:t>
        </w:r>
      </w:hyperlink>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r>
        <w:t xml:space="preserve"> </w:t>
      </w:r>
      <w:hyperlink w:history="1" r:id="rIdd_ejqvq6mo3gnk2mnfdme">
        <w:r>
          <w:rPr>
            <w:rStyle w:val="Hyperlink"/>
          </w:rPr>
          <w:t xml:space="preserve">https://www.legifrance.gouv.fr/eli/loi/2024/11/19/TECX2330139L/jo/texte</w:t>
        </w:r>
      </w:hyperlink>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r>
        <w:t xml:space="preserve"> </w:t>
      </w:r>
      <w:hyperlink w:history="1" r:id="rIdqdwrovrwqacmgbyrfumhh">
        <w:r>
          <w:rPr>
            <w:rStyle w:val="Hyperlink"/>
          </w:rPr>
          <w:t xml:space="preserve">https://eur-lex.europa.eu/eli/reg/2024/1028/oj</w:t>
        </w:r>
      </w:hyperlink>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Raptotassios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3cdl5-clftwtwxspyz_e" Type="http://schemas.openxmlformats.org/officeDocument/2006/relationships/hyperlink" Target="https://doi.org/10.1287/mksc.2020.1227" TargetMode="External"/><Relationship Id="rIdnz0ig57l3kuux9u0cmkaa" Type="http://schemas.openxmlformats.org/officeDocument/2006/relationships/hyperlink" Target="https://doi.org/10.1191/1478088706qp063oa" TargetMode="External"/><Relationship Id="rIdr_wzq25yhdf-gdcatunam" Type="http://schemas.openxmlformats.org/officeDocument/2006/relationships/hyperlink" Target="https://doi.org/10.5465/amr.1989.4308385" TargetMode="External"/><Relationship Id="rIdcrdfxkkst5m18a_g4iepy" Type="http://schemas.openxmlformats.org/officeDocument/2006/relationships/hyperlink" Target="https://doi.org/10.1177/0149206316675927" TargetMode="External"/><Relationship Id="rIdneilib-xwjezxw5j8s0l4" Type="http://schemas.openxmlformats.org/officeDocument/2006/relationships/hyperlink" Target="https://doi.org/10.1016/j.jue.2020.103278" TargetMode="External"/><Relationship Id="rIdjcdoudsyrflmx6kjcyb0f" Type="http://schemas.openxmlformats.org/officeDocument/2006/relationships/hyperlink" Target="https://doi.org/10.1177/1094428112452151" TargetMode="External"/><Relationship Id="rIdxzsvna20gqf1hjwe4hvjd" Type="http://schemas.openxmlformats.org/officeDocument/2006/relationships/hyperlink" Target="https://doi.org/10.1080/01944363.2016.1249011" TargetMode="External"/><Relationship Id="rIdbyzcmj0dnau4ygvgom9au" Type="http://schemas.openxmlformats.org/officeDocument/2006/relationships/hyperlink" Target="https://doi.org/10.1080/13683500.2013.827159" TargetMode="External"/><Relationship Id="rIdpppypi4ovnoxpfdwp-bai" Type="http://schemas.openxmlformats.org/officeDocument/2006/relationships/hyperlink" Target="https://doi.org/10.1080/13683500.2018.1504899" TargetMode="External"/><Relationship Id="rId9si7xjnixdwvxipuz7ty5" Type="http://schemas.openxmlformats.org/officeDocument/2006/relationships/hyperlink" Target="https://doi.org/10.5465/amr.1991.4279002" TargetMode="External"/><Relationship Id="rIdy_u4kxyomqn3ey1q617sr" Type="http://schemas.openxmlformats.org/officeDocument/2006/relationships/hyperlink" Target="https://doi.org/10.1016/j.lrp.2016.06.006" TargetMode="External"/><Relationship Id="rIddekhoxzw1z_ckjahhcv5b" Type="http://schemas.openxmlformats.org/officeDocument/2006/relationships/hyperlink" Target="https://doi.org/10.1016/j.lrp.2009.07.003" TargetMode="External"/><Relationship Id="rIdlfciprguv-snm6fefyprf" Type="http://schemas.openxmlformats.org/officeDocument/2006/relationships/hyperlink" Target="https://doi.org/10.5465/amd.2016.0153" TargetMode="External"/><Relationship Id="rIdoezmmetjmoj5clwfb385_" Type="http://schemas.openxmlformats.org/officeDocument/2006/relationships/hyperlink" Target="https://doi.org/10.1177/0308518X18778038" TargetMode="External"/><Relationship Id="rIdvhbuknmd7xtt0c3w3p6gs" Type="http://schemas.openxmlformats.org/officeDocument/2006/relationships/hyperlink" Target="https://people.bu.edu/zg/publications/airbnb.pdf" TargetMode="External"/><Relationship Id="rIdkitr0i9gcmhcqxohmpnax" Type="http://schemas.openxmlformats.org/officeDocument/2006/relationships/hyperlink" Target="https://doi.org/10.1177/0149206311406265" TargetMode="External"/><Relationship Id="rIdd_ejqvq6mo3gnk2mnfdme" Type="http://schemas.openxmlformats.org/officeDocument/2006/relationships/hyperlink" Target="https://www.legifrance.gouv.fr/eli/loi/2024/11/19/TECX2330139L/jo/texte" TargetMode="External"/><Relationship Id="rIdqdwrovrwqacmgbyrfumhh" Type="http://schemas.openxmlformats.org/officeDocument/2006/relationships/hyperlink" Target="https://eur-lex.europa.eu/eli/reg/2024/1028/oj"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2026-10-17T14:35:07.837Z</dcterms:created>
  <dcterms:modified xsi:type="dcterms:W3CDTF">2026-10-17T14:35:07.846Z</dcterms:modified>
</cp:coreProperties>
</file>

<file path=docProps/custom.xml><?xml version="1.0" encoding="utf-8"?>
<Properties xmlns="http://schemas.openxmlformats.org/officeDocument/2006/custom-properties" xmlns:vt="http://schemas.openxmlformats.org/officeDocument/2006/docPropsVTypes"/>
</file>