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mRNA Data Management Platform — Documentation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Xc9f51922400d2e3db90724de9e38394d2996973"/>
    <w:p>
      <w:pPr>
        <w:pStyle w:val="Heading1"/>
      </w:pPr>
      <w:r>
        <w:t xml:space="preserve">mRNA Data Management Platform — Documentation</w:t>
      </w:r>
    </w:p>
    <w:p>
      <w:pPr>
        <w:pStyle w:val="FirstParagraph"/>
      </w:pPr>
      <w:r>
        <w:t xml:space="preserve">A browser-based workbench for designing, analyzing, QC-ing, scoring and assembling</w:t>
      </w:r>
      <w:r>
        <w:t xml:space="preserve"> </w:t>
      </w:r>
      <w:r>
        <w:t xml:space="preserve">mRNA sequences — end to end, with no code. It gives RNA-therapeutics teams a single</w:t>
      </w:r>
      <w:r>
        <w:t xml:space="preserve"> </w:t>
      </w:r>
      <w:r>
        <w:t xml:space="preserve">structured record for every construct, an explainable QC layer, pluggable AI models,</w:t>
      </w:r>
      <w:r>
        <w:t xml:space="preserve"> </w:t>
      </w:r>
      <w:r>
        <w:t xml:space="preserve">and experiment tracking that lays the groundwork for a closed Design-Build-Test-Learn</w:t>
      </w:r>
      <w:r>
        <w:t xml:space="preserve"> </w:t>
      </w:r>
      <w:r>
        <w:t xml:space="preserve">loop.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app:</w:t>
      </w:r>
      <w:r>
        <w:t xml:space="preserve"> </w:t>
      </w:r>
      <w:r>
        <w:t xml:space="preserve">https://offtargeteffect-mrna-design-studio.hf.space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Stack:</w:t>
      </w:r>
      <w:r>
        <w:t xml:space="preserve"> </w:t>
      </w:r>
      <w:r>
        <w:t xml:space="preserve">Python 3.13 · Panel/Bokeh · Plotly · pandas/NumPy · SQLAlchemy · BioPython · DNAChisel · ViennaRNA (optional)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2c204c330ce3230c3a965fd2da1f38a0b6c5574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2"/>
        </w:numPr>
      </w:pPr>
      <w:hyperlink w:anchor="X136a724f0ad6bedecc70d52a088da11b9355002">
        <w:r>
          <w:rPr>
            <w:rStyle w:val="Hyperlink"/>
          </w:rPr>
          <w:t xml:space="preserve">Architecture</w:t>
        </w:r>
      </w:hyperlink>
    </w:p>
    <w:p>
      <w:pPr>
        <w:pStyle w:val="Compact"/>
        <w:numPr>
          <w:ilvl w:val="0"/>
          <w:numId w:val="1002"/>
        </w:numPr>
      </w:pPr>
      <w:hyperlink w:anchor="X79b0d7cf134156b2bdf58b98a5bed12de6c93f3">
        <w:r>
          <w:rPr>
            <w:rStyle w:val="Hyperlink"/>
          </w:rPr>
          <w:t xml:space="preserve">The application (tab by tab)</w:t>
        </w:r>
      </w:hyperlink>
    </w:p>
    <w:p>
      <w:pPr>
        <w:pStyle w:val="Compact"/>
        <w:numPr>
          <w:ilvl w:val="0"/>
          <w:numId w:val="1002"/>
        </w:numPr>
      </w:pPr>
      <w:hyperlink w:anchor="Xd60ce6894fe50c9dec92d51dab78330006ad7c6">
        <w:r>
          <w:rPr>
            <w:rStyle w:val="Hyperlink"/>
          </w:rPr>
          <w:t xml:space="preserve">The analysis engine</w:t>
        </w:r>
      </w:hyperlink>
    </w:p>
    <w:p>
      <w:pPr>
        <w:pStyle w:val="Compact"/>
        <w:numPr>
          <w:ilvl w:val="0"/>
          <w:numId w:val="1002"/>
        </w:numPr>
      </w:pPr>
      <w:hyperlink w:anchor="Xafa624c8c29f1c8c04b9b556aa72b2c32dbb36d">
        <w:r>
          <w:rPr>
            <w:rStyle w:val="Hyperlink"/>
          </w:rPr>
          <w:t xml:space="preserve">Liability / QC scoring</w:t>
        </w:r>
      </w:hyperlink>
    </w:p>
    <w:p>
      <w:pPr>
        <w:pStyle w:val="Compact"/>
        <w:numPr>
          <w:ilvl w:val="0"/>
          <w:numId w:val="1002"/>
        </w:numPr>
      </w:pPr>
      <w:hyperlink w:anchor="X1d8194655968b438f8a3fca1e36f23c6d21de95">
        <w:r>
          <w:rPr>
            <w:rStyle w:val="Hyperlink"/>
          </w:rPr>
          <w:t xml:space="preserve">Candidate objective scoring</w:t>
        </w:r>
      </w:hyperlink>
    </w:p>
    <w:p>
      <w:pPr>
        <w:pStyle w:val="Compact"/>
        <w:numPr>
          <w:ilvl w:val="0"/>
          <w:numId w:val="1002"/>
        </w:numPr>
      </w:pPr>
      <w:hyperlink w:anchor="X6be16e78f235f9c80e7a66ce81b7e7a1d06873e">
        <w:r>
          <w:rPr>
            <w:rStyle w:val="Hyperlink"/>
          </w:rPr>
          <w:t xml:space="preserve">Codon-optimization analysis</w:t>
        </w:r>
      </w:hyperlink>
    </w:p>
    <w:p>
      <w:pPr>
        <w:pStyle w:val="Compact"/>
        <w:numPr>
          <w:ilvl w:val="0"/>
          <w:numId w:val="1002"/>
        </w:numPr>
      </w:pPr>
      <w:hyperlink w:anchor="X193a833aedeb303541bc729d83a85b6170bba4d">
        <w:r>
          <w:rPr>
            <w:rStyle w:val="Hyperlink"/>
          </w:rPr>
          <w:t xml:space="preserve">The model system (pluggable AI)</w:t>
        </w:r>
      </w:hyperlink>
    </w:p>
    <w:p>
      <w:pPr>
        <w:pStyle w:val="Compact"/>
        <w:numPr>
          <w:ilvl w:val="0"/>
          <w:numId w:val="1002"/>
        </w:numPr>
      </w:pPr>
      <w:hyperlink w:anchor="X792a53fbfe86b8d47f69b0a00b4c587e677b083">
        <w:r>
          <w:rPr>
            <w:rStyle w:val="Hyperlink"/>
          </w:rPr>
          <w:t xml:space="preserve">Experiment / run tracking</w:t>
        </w:r>
      </w:hyperlink>
    </w:p>
    <w:p>
      <w:pPr>
        <w:pStyle w:val="Compact"/>
        <w:numPr>
          <w:ilvl w:val="0"/>
          <w:numId w:val="1002"/>
        </w:numPr>
      </w:pPr>
      <w:hyperlink w:anchor="X495e609e320a1102f8f3a3b6bc587e97e454b08">
        <w:r>
          <w:rPr>
            <w:rStyle w:val="Hyperlink"/>
          </w:rPr>
          <w:t xml:space="preserve">The data layer</w:t>
        </w:r>
      </w:hyperlink>
    </w:p>
    <w:p>
      <w:pPr>
        <w:pStyle w:val="Compact"/>
        <w:numPr>
          <w:ilvl w:val="0"/>
          <w:numId w:val="1002"/>
        </w:numPr>
      </w:pPr>
      <w:hyperlink w:anchor="Xc0b15fb4a1ffec10ef3b213713016cb96866ed3">
        <w:r>
          <w:rPr>
            <w:rStyle w:val="Hyperlink"/>
          </w:rPr>
          <w:t xml:space="preserve">Configuration</w:t>
        </w:r>
      </w:hyperlink>
    </w:p>
    <w:p>
      <w:pPr>
        <w:pStyle w:val="Compact"/>
        <w:numPr>
          <w:ilvl w:val="0"/>
          <w:numId w:val="1002"/>
        </w:numPr>
      </w:pPr>
      <w:hyperlink w:anchor="X71d9257e74c867e7c0ca826e978774e20e0fbe9">
        <w:r>
          <w:rPr>
            <w:rStyle w:val="Hyperlink"/>
          </w:rPr>
          <w:t xml:space="preserve">Running it</w:t>
        </w:r>
      </w:hyperlink>
    </w:p>
    <w:p>
      <w:pPr>
        <w:pStyle w:val="Compact"/>
        <w:numPr>
          <w:ilvl w:val="0"/>
          <w:numId w:val="1002"/>
        </w:numPr>
      </w:pPr>
      <w:hyperlink w:anchor="X56d932ab20fc00a9be5e487b44d84c67414b499">
        <w:r>
          <w:rPr>
            <w:rStyle w:val="Hyperlink"/>
          </w:rPr>
          <w:t xml:space="preserve">Deployment</w:t>
        </w:r>
      </w:hyperlink>
    </w:p>
    <w:p>
      <w:pPr>
        <w:pStyle w:val="Compact"/>
        <w:numPr>
          <w:ilvl w:val="0"/>
          <w:numId w:val="1002"/>
        </w:numPr>
      </w:pPr>
      <w:hyperlink w:anchor="Xf41644de12db080ec8f8142c1de1b60fdc63482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0"/>
          <w:numId w:val="1002"/>
        </w:numPr>
      </w:pPr>
      <w:hyperlink w:anchor="X4344e33e4a2122213cb5c7f0d6afde21aad220e">
        <w:r>
          <w:rPr>
            <w:rStyle w:val="Hyperlink"/>
          </w:rPr>
          <w:t xml:space="preserve">Project structure</w:t>
        </w:r>
      </w:hyperlink>
    </w:p>
    <w:p>
      <w:pPr>
        <w:pStyle w:val="Compact"/>
        <w:numPr>
          <w:ilvl w:val="0"/>
          <w:numId w:val="1002"/>
        </w:numPr>
      </w:pPr>
      <w:hyperlink w:anchor="Xff733df83a3dd50d5d186a157c6a9bfd2252094">
        <w:r>
          <w:rPr>
            <w:rStyle w:val="Hyperlink"/>
          </w:rPr>
          <w:t xml:space="preserve">Extending the platform</w:t>
        </w:r>
      </w:hyperlink>
    </w:p>
    <w:p>
      <w:pPr>
        <w:pStyle w:val="Compact"/>
        <w:numPr>
          <w:ilvl w:val="0"/>
          <w:numId w:val="1002"/>
        </w:numPr>
      </w:pPr>
      <w:hyperlink w:anchor="Xd74432463d925e2ed620e9d035b4f084819e91f">
        <w:r>
          <w:rPr>
            <w:rStyle w:val="Hyperlink"/>
          </w:rPr>
          <w:t xml:space="preserve">Scope &amp; roadmap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it-is"/>
    <w:p>
      <w:pPr>
        <w:pStyle w:val="Heading2"/>
      </w:pPr>
      <w:r>
        <w:t xml:space="preserve">1. What it is</w:t>
      </w:r>
    </w:p>
    <w:p>
      <w:pPr>
        <w:pStyle w:val="FirstParagraph"/>
      </w:pPr>
      <w:r>
        <w:t xml:space="preserve">The platform takes an mRNA construct from</w:t>
      </w:r>
      <w:r>
        <w:t xml:space="preserve"> </w:t>
      </w:r>
      <w:r>
        <w:rPr>
          <w:b/>
          <w:bCs/>
        </w:rPr>
        <w:t xml:space="preserve">import → analyse &amp; QC → compare &amp; score →</w:t>
      </w:r>
      <w:r>
        <w:rPr>
          <w:b/>
          <w:bCs/>
        </w:rPr>
        <w:t xml:space="preserve"> </w:t>
      </w:r>
      <w:r>
        <w:rPr>
          <w:b/>
          <w:bCs/>
        </w:rPr>
        <w:t xml:space="preserve">assemble</w:t>
      </w:r>
      <w:r>
        <w:t xml:space="preserve">, in one reactive UI. Its design goals: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structured record</w:t>
      </w:r>
      <w:r>
        <w:t xml:space="preserve"> </w:t>
      </w:r>
      <w:r>
        <w:t xml:space="preserve">per construct (no sequences scattered across spreadsheets).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Explainable QC</w:t>
      </w:r>
      <w:r>
        <w:t xml:space="preserve"> </w:t>
      </w:r>
      <w:r>
        <w:t xml:space="preserve">— every quality flag and score traces back to a specific metric.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Pluggable intelligence</w:t>
      </w:r>
      <w:r>
        <w:t xml:space="preserve"> </w:t>
      </w:r>
      <w:r>
        <w:t xml:space="preserve">— scoring/generative models register as plugins (local code</w:t>
      </w:r>
      <w:r>
        <w:t xml:space="preserve"> </w:t>
      </w:r>
      <w:r>
        <w:t xml:space="preserve">or remote API); the platform itself is the deterministic data + orchestration layer.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Traceability</w:t>
      </w:r>
      <w:r>
        <w:t xml:space="preserve"> </w:t>
      </w:r>
      <w:r>
        <w:t xml:space="preserve">— every model run is logged with its version and comparable over time.</w:t>
      </w:r>
    </w:p>
    <w:p>
      <w:pPr>
        <w:pStyle w:val="FirstParagraph"/>
      </w:pPr>
      <w:r>
        <w:t xml:space="preserve">It is a</w:t>
      </w:r>
      <w:r>
        <w:t xml:space="preserve"> </w:t>
      </w:r>
      <w:r>
        <w:rPr>
          <w:b/>
          <w:bCs/>
        </w:rPr>
        <w:t xml:space="preserve">prototype</w:t>
      </w:r>
      <w:r>
        <w:t xml:space="preserve">: a focused workbench over curated sets, not production NGS-scale</w:t>
      </w:r>
      <w:r>
        <w:t xml:space="preserve"> </w:t>
      </w:r>
      <w:r>
        <w:t xml:space="preserve">infrastructure. See</w:t>
      </w:r>
      <w:r>
        <w:t xml:space="preserve"> </w:t>
      </w:r>
      <w:hyperlink w:anchor="Xd74432463d925e2ed620e9d035b4f084819e91f">
        <w:r>
          <w:rPr>
            <w:rStyle w:val="Hyperlink"/>
          </w:rPr>
          <w:t xml:space="preserve">Scope &amp; roadmap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architecture"/>
    <w:p>
      <w:pPr>
        <w:pStyle w:val="Heading2"/>
      </w:pPr>
      <w:r>
        <w:t xml:space="preserve">2. Architecture</w:t>
      </w:r>
    </w:p>
    <w:p>
      <w:pPr>
        <w:pStyle w:val="FirstParagraph"/>
      </w:pPr>
      <w:r>
        <w:t xml:space="preserve">Layered, with a strict separation between a pure domain core and the UI: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UI layer            ui/                                      │</w:t>
      </w:r>
      <w:r>
        <w:br/>
      </w:r>
      <w:r>
        <w:rPr>
          <w:rStyle w:val="VerbatimChar"/>
        </w:rPr>
        <w:t xml:space="preserve">│  Panel/Bokeh reactive components; one AppState per session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Domain core         core/                                    │</w:t>
      </w:r>
      <w:r>
        <w:br/>
      </w:r>
      <w:r>
        <w:rPr>
          <w:rStyle w:val="VerbatimChar"/>
        </w:rPr>
        <w:t xml:space="preserve">│  Pure-Python analysis &amp; models — no UI deps, fully unit-tested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Model layer         models/                                  │</w:t>
      </w:r>
      <w:r>
        <w:br/>
      </w:r>
      <w:r>
        <w:rPr>
          <w:rStyle w:val="VerbatimChar"/>
        </w:rPr>
        <w:t xml:space="preserve">│  Pluggable scoring/generative model registry + run tracking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Data layer          core/database/                           │</w:t>
      </w:r>
      <w:r>
        <w:br/>
      </w:r>
      <w:r>
        <w:rPr>
          <w:rStyle w:val="VerbatimChar"/>
        </w:rPr>
        <w:t xml:space="preserve">│  SQLAlchemy + CSV importers, schema-mapped to a canonical model│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core/</w:t>
      </w:r>
      <w:r>
        <w:t xml:space="preserve"> </w:t>
      </w:r>
      <w:r>
        <w:t xml:space="preserve">has no Panel/Plotly imports — it can be tested and reused headlessly.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ui/state.py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AppState</w:t>
      </w:r>
      <w:r>
        <w:t xml:space="preserve">, a</w:t>
      </w:r>
      <w:r>
        <w:t xml:space="preserve"> </w:t>
      </w:r>
      <w:r>
        <w:rPr>
          <w:rStyle w:val="VerbatimChar"/>
        </w:rPr>
        <w:t xml:space="preserve">param.Parameterized</w:t>
      </w:r>
      <w:r>
        <w:t xml:space="preserve"> </w:t>
      </w:r>
      <w:r>
        <w:t xml:space="preserve">object instantiated</w:t>
      </w:r>
      <w:r>
        <w:t xml:space="preserve"> </w:t>
      </w:r>
      <w:r>
        <w:rPr>
          <w:b/>
          <w:bCs/>
        </w:rPr>
        <w:t xml:space="preserve">once per</w:t>
      </w:r>
      <w:r>
        <w:rPr>
          <w:b/>
          <w:bCs/>
        </w:rPr>
        <w:t xml:space="preserve"> </w:t>
      </w:r>
      <w:r>
        <w:rPr>
          <w:b/>
          <w:bCs/>
        </w:rPr>
        <w:t xml:space="preserve">browser session</w:t>
      </w:r>
      <w:r>
        <w:t xml:space="preserve">; every component reacts to its parameters.</w:t>
      </w:r>
    </w:p>
    <w:p>
      <w:pPr>
        <w:pStyle w:val="Compact"/>
        <w:numPr>
          <w:ilvl w:val="0"/>
          <w:numId w:val="1004"/>
        </w:numPr>
      </w:pPr>
      <w:r>
        <w:t xml:space="preserve">Data flows one way:</w:t>
      </w:r>
      <w:r>
        <w:t xml:space="preserve"> </w:t>
      </w:r>
      <w:r>
        <w:rPr>
          <w:b/>
          <w:bCs/>
        </w:rPr>
        <w:t xml:space="preserve">importers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mRNASequence</w:t>
      </w:r>
      <w:r>
        <w:rPr>
          <w:b/>
          <w:bCs/>
        </w:rPr>
        <w:t xml:space="preserve"> </w:t>
      </w:r>
      <w:r>
        <w:rPr>
          <w:b/>
          <w:bCs/>
        </w:rPr>
        <w:t xml:space="preserve">model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SequenceAnalyzer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AnalysisReport</w:t>
      </w:r>
      <w:r>
        <w:rPr>
          <w:b/>
          <w:bCs/>
        </w:rPr>
        <w:t xml:space="preserve"> </w:t>
      </w:r>
      <w:r>
        <w:rPr>
          <w:b/>
          <w:bCs/>
        </w:rPr>
        <w:t xml:space="preserve">→ scoring/UI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the-application-tab-by-tab"/>
    <w:p>
      <w:pPr>
        <w:pStyle w:val="Heading2"/>
      </w:pPr>
      <w:r>
        <w:t xml:space="preserve">3. The application (tab by tab)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50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 Data</w:t>
            </w:r>
          </w:p>
        </w:tc>
        <w:tc>
          <w:tcPr/>
          <w:p>
            <w:pPr>
              <w:pStyle w:val="Compact"/>
            </w:pPr>
            <w:r>
              <w:t xml:space="preserve">Load sequences from CSV/Excel or PostgreSQL; columns auto-map to the mRNA model; import into a worklist.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Repository</w:t>
            </w:r>
          </w:p>
        </w:tc>
        <w:tc>
          <w:tcPr/>
          <w:p>
            <w:pPr>
              <w:pStyle w:val="Compact"/>
            </w:pPr>
            <w:r>
              <w:t xml:space="preserve">Browse/register scoring &amp; generative models (local Python or remote API), each versioned.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Worklist</w:t>
            </w:r>
          </w:p>
        </w:tc>
        <w:tc>
          <w:tcPr/>
          <w:p>
            <w:pPr>
              <w:pStyle w:val="Compact"/>
            </w:pPr>
            <w:r>
              <w:t xml:space="preserve">Inspect sequences; run base analysis (GC, CAI, homopolymers, restriction sites) +</w:t>
            </w:r>
            <w:r>
              <w:t xml:space="preserve"> </w:t>
            </w:r>
            <w:r>
              <w:rPr>
                <w:b/>
                <w:bCs/>
              </w:rPr>
              <w:t xml:space="preserve">QC score</w:t>
            </w:r>
            <w:r>
              <w:t xml:space="preserve">; per-row liability breakdown; score with models; export 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 Analysis</w:t>
            </w:r>
          </w:p>
        </w:tc>
        <w:tc>
          <w:tcPr/>
          <w:p>
            <w:pPr>
              <w:pStyle w:val="Compact"/>
            </w:pPr>
            <w:r>
              <w:t xml:space="preserve">Multi-objective comparison scorecard (Expression / Stability / Immunogenicity / Manufacturability + Overall) with shortlist; per-candidate structure map + codon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Experiments</w:t>
            </w:r>
          </w:p>
        </w:tc>
        <w:tc>
          <w:tcPr/>
          <w:p>
            <w:pPr>
              <w:pStyle w:val="Compact"/>
            </w:pPr>
            <w:r>
              <w:t xml:space="preserve">Registered model versions, run history, and version-to-version score comparison.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Parts Workshop</w:t>
            </w:r>
          </w:p>
        </w:tc>
        <w:tc>
          <w:tcPr/>
          <w:p>
            <w:pPr>
              <w:pStyle w:val="Compact"/>
            </w:pPr>
            <w:r>
              <w:t xml:space="preserve">Browse/compose reusable parts (5′UTR, Kozak, CDS, 3′UTR, poly-A).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Assemble Plasmid</w:t>
            </w:r>
          </w:p>
        </w:tc>
        <w:tc>
          <w:tcPr/>
          <w:p>
            <w:pPr>
              <w:pStyle w:val="Compact"/>
            </w:pPr>
            <w:r>
              <w:t xml:space="preserve">Pick a backbone &amp; cloning strategy, run QC, export the assembled construct.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Sequences</w:t>
            </w:r>
          </w:p>
        </w:tc>
        <w:tc>
          <w:tcPr/>
          <w:p>
            <w:pPr>
              <w:pStyle w:val="Compact"/>
            </w:pPr>
            <w:r>
              <w:t xml:space="preserve">Produce codon-optimized variants from configurable settings.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the-analysis-engine"/>
    <w:p>
      <w:pPr>
        <w:pStyle w:val="Heading2"/>
      </w:pPr>
      <w:r>
        <w:t xml:space="preserve">4. The analysis engine</w:t>
      </w:r>
    </w:p>
    <w:p>
      <w:pPr>
        <w:pStyle w:val="FirstParagraph"/>
      </w:pPr>
      <w:r>
        <w:rPr>
          <w:rStyle w:val="VerbatimChar"/>
        </w:rPr>
        <w:t xml:space="preserve">core/analysis/analyzer.py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SequenceAnalyzer.run_full_analysis(seq)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that runs the entire QC panel on one sequence and returns one</w:t>
      </w:r>
      <w:r>
        <w:t xml:space="preserve"> </w:t>
      </w:r>
      <w:r>
        <w:rPr>
          <w:rStyle w:val="VerbatimChar"/>
        </w:rPr>
        <w:t xml:space="preserve">AnalysisReport</w:t>
      </w:r>
      <w:r>
        <w:t xml:space="preserve">. It is a</w:t>
      </w:r>
      <w:r>
        <w:t xml:space="preserve"> </w:t>
      </w:r>
      <w:r>
        <w:rPr>
          <w:b/>
          <w:bCs/>
        </w:rPr>
        <w:t xml:space="preserve">deterministic pipeline — not an ML model</w:t>
      </w:r>
      <w:r>
        <w:t xml:space="preserve">: same input → same</w:t>
      </w:r>
      <w:r>
        <w:t xml:space="preserve"> </w:t>
      </w:r>
      <w:r>
        <w:t xml:space="preserve">output, every result explainable.</w:t>
      </w:r>
    </w:p>
    <w:p>
      <w:pPr>
        <w:pStyle w:val="BodyText"/>
      </w:pPr>
      <w:r>
        <w:t xml:space="preserve">Pipeline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Assemble</w:t>
      </w:r>
      <w:r>
        <w:t xml:space="preserve"> </w:t>
      </w:r>
      <w:r>
        <w:t xml:space="preserve">the full sequence (5′UTR + Kozak + CDS + 3′UTR + poly-A, or the supplied</w:t>
      </w:r>
      <w:r>
        <w:t xml:space="preserve"> </w:t>
      </w:r>
      <w:r>
        <w:rPr>
          <w:rStyle w:val="VerbatimChar"/>
        </w:rPr>
        <w:t xml:space="preserve">full_mrna</w:t>
      </w:r>
      <w:r>
        <w:t xml:space="preserve">).</w:t>
      </w:r>
      <w:r>
        <w:t xml:space="preserve"> </w:t>
      </w:r>
      <w:r>
        <w:t xml:space="preserve">2. Run each analysis module: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GC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gc_content.py</w:t>
      </w:r>
      <w:r>
        <w:t xml:space="preserve">) — global % + sliding window + GC-by-codon-position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</w:t>
      </w:r>
      <w:r>
        <w:t xml:space="preserve"> </w:t>
      </w:r>
      <w:r>
        <w:t xml:space="preserve">(</w:t>
      </w:r>
      <w:r>
        <w:rPr>
          <w:rStyle w:val="VerbatimChar"/>
        </w:rPr>
        <w:t xml:space="preserve">cai.py</w:t>
      </w:r>
      <w:r>
        <w:t xml:space="preserve">) — Codon Adaptation Index + codon usage, per host organism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CDS validation</w:t>
      </w:r>
      <w:r>
        <w:t xml:space="preserve"> </w:t>
      </w:r>
      <w:r>
        <w:t xml:space="preserve">— start (ATG), stop codon, in-frame (÷3)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Homopolymers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homopolymers.py</w:t>
      </w:r>
      <w:r>
        <w:t xml:space="preserve">) — runs of repeated bases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Restriction sites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restriction_sites.py</w:t>
      </w:r>
      <w:r>
        <w:t xml:space="preserve">) — common cloning enzymes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Kozak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kozak.py</w:t>
      </w:r>
      <w:r>
        <w:t xml:space="preserve">) — translation-initiation strength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Secondary structure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structure.py</w:t>
      </w:r>
      <w:r>
        <w:t xml:space="preserve">) — ViennaRNA MFE (optional; stub if not installed)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Uridine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uridine.py</w:t>
      </w:r>
      <w:r>
        <w:t xml:space="preserve">) — total % + high-U stretches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Motifs</w:t>
      </w:r>
      <w:r>
        <w:t xml:space="preserve"> </w:t>
      </w:r>
      <w:r>
        <w:t xml:space="preserve">(</w:t>
      </w:r>
      <w:r>
        <w:rPr>
          <w:rStyle w:val="VerbatimChar"/>
        </w:rPr>
        <w:t xml:space="preserve">motifs.py</w:t>
      </w:r>
      <w:r>
        <w:t xml:space="preserve">) — uORFs, premature polyA, AU-rich elements, splice donors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Aggregate</w:t>
      </w:r>
      <w:r>
        <w:t xml:space="preserve"> </w:t>
      </w:r>
      <w:r>
        <w:t xml:space="preserve">a liability/QC assessment (</w:t>
      </w:r>
      <w:r>
        <w:rPr>
          <w:rStyle w:val="VerbatimChar"/>
        </w:rPr>
        <w:t xml:space="preserve">liability.py</w:t>
      </w:r>
      <w:r>
        <w:t xml:space="preserve">).</w:t>
      </w:r>
    </w:p>
    <w:p>
      <w:pPr>
        <w:pStyle w:val="BodyText"/>
      </w:pPr>
      <w:r>
        <w:t xml:space="preserve">Two behaviours worth knowing: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Caching</w:t>
      </w:r>
      <w:r>
        <w:t xml:space="preserve"> </w:t>
      </w:r>
      <w:r>
        <w:t xml:space="preserve">— results are stored on the sequence (</w:t>
      </w:r>
      <w:r>
        <w:rPr>
          <w:rStyle w:val="VerbatimChar"/>
        </w:rPr>
        <w:t xml:space="preserve">_analysis_cache</w:t>
      </w:r>
      <w:r>
        <w:t xml:space="preserve">); re-analysis is a</w:t>
      </w:r>
      <w:r>
        <w:t xml:space="preserve"> </w:t>
      </w:r>
      <w:r>
        <w:t xml:space="preserve">cache hit unless</w:t>
      </w:r>
      <w:r>
        <w:t xml:space="preserve"> </w:t>
      </w:r>
      <w:r>
        <w:rPr>
          <w:rStyle w:val="VerbatimChar"/>
        </w:rPr>
        <w:t xml:space="preserve">force_rerun=True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 </w:t>
      </w:r>
      <w:r>
        <w:t xml:space="preserve">— the analyzer is constructed with</w:t>
      </w:r>
      <w:r>
        <w:t xml:space="preserve"> </w:t>
      </w:r>
      <w:r>
        <w:rPr>
          <w:rStyle w:val="VerbatimChar"/>
        </w:rPr>
        <w:t xml:space="preserve">gc_window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gc_step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homopolymer_min_run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restriction_enzymes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cai_organism</w:t>
      </w:r>
      <w:r>
        <w:t xml:space="preserve">, so QC rules are tunable</w:t>
      </w:r>
      <w:r>
        <w:t xml:space="preserve"> </w:t>
      </w:r>
      <w:r>
        <w:t xml:space="preserve">per programme/modality.</w:t>
      </w:r>
    </w:p>
    <w:p>
      <w:pPr>
        <w:pStyle w:val="BodyText"/>
      </w:pPr>
      <w:r>
        <w:t xml:space="preserve">Output: an</w:t>
      </w:r>
      <w:r>
        <w:t xml:space="preserve"> </w:t>
      </w:r>
      <w:r>
        <w:rPr>
          <w:rStyle w:val="VerbatimChar"/>
        </w:rPr>
        <w:t xml:space="preserve">AnalysisReport</w:t>
      </w:r>
      <w:r>
        <w:t xml:space="preserve"> </w:t>
      </w:r>
      <w:r>
        <w:t xml:space="preserve">dataclass holding every result + a</w:t>
      </w:r>
      <w:r>
        <w:t xml:space="preserve"> </w:t>
      </w:r>
      <w:r>
        <w:rPr>
          <w:rStyle w:val="VerbatimChar"/>
        </w:rPr>
        <w:t xml:space="preserve">to_dict()</w:t>
      </w:r>
      <w:r>
        <w:t xml:space="preserve"> </w:t>
      </w:r>
      <w:r>
        <w:t xml:space="preserve">for the worklist/table.</w:t>
      </w:r>
    </w:p>
    <w:p>
      <w:r>
        <w:pict>
          <v:rect style="width:0;height:1.5pt" o:hralign="center" o:hrstd="t" o:hr="t"/>
        </w:pict>
      </w:r>
    </w:p>
    <w:bookmarkEnd w:id="13"/>
    <w:bookmarkStart w:id="14" w:name="liability-qc-scoring"/>
    <w:p>
      <w:pPr>
        <w:pStyle w:val="Heading2"/>
      </w:pPr>
      <w:r>
        <w:t xml:space="preserve">5. Liability / QC scoring</w:t>
      </w:r>
    </w:p>
    <w:p>
      <w:pPr>
        <w:pStyle w:val="FirstParagraph"/>
      </w:pPr>
      <w:r>
        <w:rPr>
          <w:rStyle w:val="VerbatimChar"/>
        </w:rPr>
        <w:t xml:space="preserve">core/analysis/liability.py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assess_liabilities(report, seq)</w:t>
      </w:r>
      <w:r>
        <w:t xml:space="preserve"> </w:t>
      </w:r>
      <w:r>
        <w:t xml:space="preserve">rolls the analysis into a</w:t>
      </w:r>
      <w:r>
        <w:t xml:space="preserve"> </w:t>
      </w:r>
      <w:r>
        <w:rPr>
          <w:b/>
          <w:bCs/>
        </w:rPr>
        <w:t xml:space="preserve">severity-ranked list of flags + a 0–100 QC score + a verdict</w:t>
      </w:r>
      <w:r>
        <w:t xml:space="preserve"> </w:t>
      </w:r>
      <w:r>
        <w:t xml:space="preserve">(pass / review / fail).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Flags</w:t>
      </w:r>
      <w:r>
        <w:t xml:space="preserve"> </w:t>
      </w:r>
      <w:r>
        <w:t xml:space="preserve">(each with severity, detail, location, recommendation) cover: GC out of range,</w:t>
      </w:r>
      <w:r>
        <w:t xml:space="preserve"> </w:t>
      </w:r>
      <w:r>
        <w:t xml:space="preserve">homopolymer runs (excluding the legitimate poly-A tail), restriction sites, elevated</w:t>
      </w:r>
      <w:r>
        <w:t xml:space="preserve"> </w:t>
      </w:r>
      <w:r>
        <w:t xml:space="preserve">uridine, CDS integrity, weak Kozak, strong structure, and sequence motifs.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Severity → penalty:</w:t>
      </w:r>
      <w:r>
        <w:t xml:space="preserve"> </w:t>
      </w:r>
      <w:r>
        <w:t xml:space="preserve">critical −25, warning −10, info −3.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max(0, 100 − Σ penalties)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Verdict:</w:t>
      </w:r>
      <w:r>
        <w:t xml:space="preserve"> </w:t>
      </w:r>
      <w:r>
        <w:t xml:space="preserve">any critical →</w:t>
      </w:r>
      <w:r>
        <w:t xml:space="preserve"> </w:t>
      </w:r>
      <w:r>
        <w:rPr>
          <w:i/>
          <w:iCs/>
        </w:rPr>
        <w:t xml:space="preserve">fail</w:t>
      </w:r>
      <w:r>
        <w:t xml:space="preserve">; else any warning →</w:t>
      </w:r>
      <w:r>
        <w:t xml:space="preserve"> </w:t>
      </w:r>
      <w:r>
        <w:rPr>
          <w:i/>
          <w:iCs/>
        </w:rPr>
        <w:t xml:space="preserve">review</w:t>
      </w:r>
      <w:r>
        <w:t xml:space="preserve">; else</w:t>
      </w:r>
      <w:r>
        <w:t xml:space="preserve"> </w:t>
      </w:r>
      <w:r>
        <w:rPr>
          <w:i/>
          <w:iCs/>
        </w:rPr>
        <w:t xml:space="preserve">pass</w:t>
      </w:r>
      <w:r>
        <w:t xml:space="preserve">.</w:t>
      </w:r>
    </w:p>
    <w:p>
      <w:pPr>
        <w:pStyle w:val="FirstParagraph"/>
      </w:pPr>
      <w:r>
        <w:t xml:space="preserve">Surfaced as a scorecard (analysis dashboard / candidate inspect) and as</w:t>
      </w:r>
      <w:r>
        <w:t xml:space="preserve"> </w:t>
      </w:r>
      <w:r>
        <w:rPr>
          <w:b/>
          <w:bCs/>
        </w:rPr>
        <w:t xml:space="preserve">QC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Liabilities</w:t>
      </w:r>
      <w:r>
        <w:t xml:space="preserve"> </w:t>
      </w:r>
      <w:r>
        <w:t xml:space="preserve">columns in the worklist.</w:t>
      </w:r>
    </w:p>
    <w:p>
      <w:r>
        <w:pict>
          <v:rect style="width:0;height:1.5pt" o:hralign="center" o:hrstd="t" o:hr="t"/>
        </w:pict>
      </w:r>
    </w:p>
    <w:bookmarkEnd w:id="14"/>
    <w:bookmarkStart w:id="15" w:name="candidate-objective-scoring"/>
    <w:p>
      <w:pPr>
        <w:pStyle w:val="Heading2"/>
      </w:pPr>
      <w:r>
        <w:t xml:space="preserve">6. Candidate objective scoring</w:t>
      </w:r>
    </w:p>
    <w:p>
      <w:pPr>
        <w:pStyle w:val="FirstParagraph"/>
      </w:pPr>
      <w:r>
        <w:rPr>
          <w:rStyle w:val="VerbatimChar"/>
        </w:rPr>
        <w:t xml:space="preserve">core/analysis/candidate_score.py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score_objectives(report)</w:t>
      </w:r>
      <w:r>
        <w:t xml:space="preserve"> </w:t>
      </w:r>
      <w:r>
        <w:t xml:space="preserve">condenses the report into the</w:t>
      </w:r>
      <w:r>
        <w:t xml:space="preserve"> </w:t>
      </w:r>
      <w:r>
        <w:t xml:space="preserve">four objectives mRNA designers trade off, each</w:t>
      </w:r>
      <w:r>
        <w:t xml:space="preserve"> </w:t>
      </w:r>
      <w:r>
        <w:rPr>
          <w:b/>
          <w:bCs/>
        </w:rPr>
        <w:t xml:space="preserve">0–100, higher is better</w:t>
      </w:r>
      <w:r>
        <w:t xml:space="preserve">. These are</w:t>
      </w:r>
      <w:r>
        <w:t xml:space="preserve"> </w:t>
      </w:r>
      <w:r>
        <w:rPr>
          <w:b/>
          <w:bCs/>
        </w:rPr>
        <w:t xml:space="preserve">transparent weighted heuristics, not trained models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50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Formula (summary)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0.6 × CAI(0–100) + 0.4 × Kozak</w:t>
            </w:r>
            <w:r>
              <w:t xml:space="preserve"> </w:t>
            </w:r>
            <w:r>
              <w:t xml:space="preserve">(strong 100 / adequate 70 / weak 35)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Stability</w:t>
            </w:r>
          </w:p>
        </w:tc>
        <w:tc>
          <w:tcPr/>
          <w:p>
            <w:pPr>
              <w:pStyle w:val="Compact"/>
            </w:pPr>
            <w:r>
              <w:t xml:space="preserve">GC distance from 50–60% optimal band, − homopolymer penalty, + folding-MFE bonus if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Immunogenicity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100 − (uridine% − 20)×3 − 8 × high-U stretches</w:t>
            </w:r>
            <w:r>
              <w:t xml:space="preserve"> </w:t>
            </w:r>
            <w:r>
              <w:t xml:space="preserve">(low U = high score)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Manufacturability</w:t>
            </w:r>
          </w:p>
        </w:tc>
        <w:tc>
          <w:tcPr/>
          <w:p>
            <w:pPr>
              <w:pStyle w:val="Compact"/>
            </w:pPr>
            <w:r>
              <w:t xml:space="preserve">100 − penalties for restriction sites / homopolymers / GC extremes / splice motifs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weighted mean: Expression 30% · Stability 25% · Immunogenicity 20% · Manufacturability 25%</w:t>
            </w:r>
          </w:p>
        </w:tc>
      </w:tr>
    </w:tbl>
    <w:p>
      <w:pPr>
        <w:pStyle w:val="BodyText"/>
      </w:pPr>
      <w:r>
        <w:t xml:space="preserve">All scores clamp to 0–100; missing metrics fall back to neutral defaults. The Candidate</w:t>
      </w:r>
      <w:r>
        <w:t xml:space="preserve"> </w:t>
      </w:r>
      <w:r>
        <w:t xml:space="preserve">Analysis tab ranks by Overall, colour-codes by band, and shortlists the top N.</w:t>
      </w:r>
    </w:p>
    <w:p>
      <w:r>
        <w:pict>
          <v:rect style="width:0;height:1.5pt" o:hralign="center" o:hrstd="t" o:hr="t"/>
        </w:pict>
      </w:r>
    </w:p>
    <w:bookmarkEnd w:id="15"/>
    <w:bookmarkStart w:id="16" w:name="codon-optimization-analysis"/>
    <w:p>
      <w:pPr>
        <w:pStyle w:val="Heading2"/>
      </w:pPr>
      <w:r>
        <w:t xml:space="preserve">7. Codon-optimization analysis</w:t>
      </w:r>
    </w:p>
    <w:p>
      <w:pPr>
        <w:pStyle w:val="FirstParagraph"/>
      </w:pPr>
      <w:r>
        <w:rPr>
          <w:rStyle w:val="VerbatimChar"/>
        </w:rPr>
        <w:t xml:space="preserve">core/analysis/codon_analysis.py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analyze_codons(cds, organism)</w:t>
      </w:r>
      <w:r>
        <w:t xml:space="preserve"> </w:t>
      </w:r>
      <w:r>
        <w:t xml:space="preserve">provides per-codon detail: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Per-codon optimality</w:t>
      </w:r>
      <w:r>
        <w:t xml:space="preserve"> </w:t>
      </w:r>
      <w:r>
        <w:t xml:space="preserve">— each codon’s relative adaptiveness (0–1) vs the best synonym.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%MinMax profile</w:t>
      </w:r>
      <w:r>
        <w:t xml:space="preserve"> </w:t>
      </w:r>
      <w:r>
        <w:t xml:space="preserve">— classic sliding-window measure (positive = common/fast codons,</w:t>
      </w:r>
      <w:r>
        <w:t xml:space="preserve"> </w:t>
      </w:r>
      <w:r>
        <w:t xml:space="preserve">negative = rare/slow clusters that stall ribosomes).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Rare-codon clusters</w:t>
      </w:r>
      <w:r>
        <w:t xml:space="preserve"> </w:t>
      </w:r>
      <w:r>
        <w:t xml:space="preserve">— runs of low-optimality codons worth recoding.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Original-vs-optimized projection</w:t>
      </w:r>
      <w:r>
        <w:t xml:space="preserve"> </w:t>
      </w:r>
      <w:r>
        <w:t xml:space="preserve">— projected CAI gain and rare-codon reduction if the</w:t>
      </w:r>
      <w:r>
        <w:t xml:space="preserve"> </w:t>
      </w:r>
      <w:r>
        <w:t xml:space="preserve">CDS were optimized for the host (reuses</w:t>
      </w:r>
      <w:r>
        <w:t xml:space="preserve"> </w:t>
      </w:r>
      <w:r>
        <w:rPr>
          <w:rStyle w:val="VerbatimChar"/>
        </w:rPr>
        <w:t xml:space="preserve">core/sequence_tools/codon_optimizer.py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6"/>
    <w:bookmarkStart w:id="17" w:name="the-model-system-pluggable-ai"/>
    <w:p>
      <w:pPr>
        <w:pStyle w:val="Heading2"/>
      </w:pPr>
      <w:r>
        <w:t xml:space="preserve">8. The model system (pluggable AI)</w:t>
      </w:r>
    </w:p>
    <w:p>
      <w:pPr>
        <w:pStyle w:val="FirstParagraph"/>
      </w:pPr>
      <w:r>
        <w:t xml:space="preserve">This is where ML lives —</w:t>
      </w:r>
      <w:r>
        <w:t xml:space="preserve"> </w:t>
      </w:r>
      <w:r>
        <w:rPr>
          <w:b/>
          <w:bCs/>
        </w:rPr>
        <w:t xml:space="preserve">separate from the deterministic analysis pipeline</w:t>
      </w:r>
      <w:r>
        <w:t xml:space="preserve">. Defined in</w:t>
      </w:r>
      <w:r>
        <w:t xml:space="preserve"> </w:t>
      </w:r>
      <w:r>
        <w:rPr>
          <w:rStyle w:val="VerbatimChar"/>
        </w:rPr>
        <w:t xml:space="preserve">models/base.py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ScoringModel</w:t>
      </w:r>
      <w:r>
        <w:t xml:space="preserve"> </w:t>
      </w:r>
      <w:r>
        <w:t xml:space="preserve">(ABC)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score(sequence) → 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score_batch(...)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GenerativeModel</w:t>
      </w:r>
      <w:r>
        <w:t xml:space="preserve"> </w:t>
      </w:r>
      <w:r>
        <w:t xml:space="preserve">(ABC) —</w:t>
      </w:r>
      <w:r>
        <w:t xml:space="preserve"> </w:t>
      </w:r>
      <w:r>
        <w:rPr>
          <w:rStyle w:val="VerbatimChar"/>
        </w:rPr>
        <w:t xml:space="preserve">generate(constraints, n, seed) → [sequences]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APIScoringModel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APIGenerativeModel</w:t>
      </w:r>
      <w:r>
        <w:t xml:space="preserve"> </w:t>
      </w:r>
      <w:r>
        <w:t xml:space="preserve">— wrap a remote REST endpoint (POST sequences → scores/sequences).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ModelRegistry</w:t>
      </w:r>
      <w:r>
        <w:t xml:space="preserve"> </w:t>
      </w:r>
      <w:r>
        <w:t xml:space="preserve">— registers models from a local Python file (</w:t>
      </w:r>
      <w:r>
        <w:rPr>
          <w:rStyle w:val="VerbatimChar"/>
        </w:rPr>
        <w:t xml:space="preserve">load_local</w:t>
      </w:r>
      <w:r>
        <w:t xml:space="preserve">) or an API</w:t>
      </w:r>
      <w:r>
        <w:t xml:space="preserve"> </w:t>
      </w:r>
      <w:r>
        <w:t xml:space="preserve">endpoint; exposes</w:t>
      </w:r>
      <w:r>
        <w:t xml:space="preserve"> </w:t>
      </w:r>
      <w:r>
        <w:rPr>
          <w:rStyle w:val="VerbatimChar"/>
        </w:rPr>
        <w:t xml:space="preserve">scoring_models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generative_models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run_scoring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run_generation</w:t>
      </w:r>
      <w:r>
        <w:t xml:space="preserve">.</w:t>
      </w:r>
    </w:p>
    <w:p>
      <w:pPr>
        <w:pStyle w:val="FirstParagraph"/>
      </w:pPr>
      <w:r>
        <w:t xml:space="preserve">Built-in example scorers:</w:t>
      </w:r>
      <w:r>
        <w:t xml:space="preserve"> </w:t>
      </w:r>
      <w:r>
        <w:rPr>
          <w:rStyle w:val="VerbatimChar"/>
        </w:rPr>
        <w:t xml:space="preserve">models/mrna_stability_scorer.py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models/rna_structure_scorer.py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models/catalog.py</w:t>
      </w:r>
      <w:r>
        <w:t xml:space="preserve"> </w:t>
      </w:r>
      <w:r>
        <w:t xml:space="preserve">lists public models that can be imported.</w:t>
      </w:r>
    </w:p>
    <w:p>
      <w:pPr>
        <w:pStyle w:val="BodyText"/>
      </w:pPr>
      <w:r>
        <w:rPr>
          <w:b/>
          <w:bCs/>
        </w:rPr>
        <w:t xml:space="preserve">Framing:</w:t>
      </w:r>
      <w:r>
        <w:t xml:space="preserve"> </w:t>
      </w:r>
      <w:r>
        <w:t xml:space="preserve">the platform is AI-</w:t>
      </w:r>
      <w:r>
        <w:rPr>
          <w:i/>
          <w:iCs/>
        </w:rPr>
        <w:t xml:space="preserve">enabling</w:t>
      </w:r>
      <w:r>
        <w:t xml:space="preserve"> </w:t>
      </w:r>
      <w:r>
        <w:t xml:space="preserve">infrastructure — structured data in, models run</w:t>
      </w:r>
      <w:r>
        <w:t xml:space="preserve"> </w:t>
      </w:r>
      <w:r>
        <w:t xml:space="preserve">against it, every run tracked. The intelligence plugs in; the platform is not itself a model.</w:t>
      </w:r>
    </w:p>
    <w:p>
      <w:r>
        <w:pict>
          <v:rect style="width:0;height:1.5pt" o:hralign="center" o:hrstd="t" o:hr="t"/>
        </w:pict>
      </w:r>
    </w:p>
    <w:bookmarkEnd w:id="17"/>
    <w:bookmarkStart w:id="18" w:name="experiment-run-tracking"/>
    <w:p>
      <w:pPr>
        <w:pStyle w:val="Heading2"/>
      </w:pPr>
      <w:r>
        <w:t xml:space="preserve">9. Experiment / run tracking</w:t>
      </w:r>
    </w:p>
    <w:p>
      <w:pPr>
        <w:pStyle w:val="FirstParagraph"/>
      </w:pPr>
      <w:r>
        <w:rPr>
          <w:rStyle w:val="VerbatimChar"/>
        </w:rPr>
        <w:t xml:space="preserve">models/runs.py</w:t>
      </w:r>
      <w:r>
        <w:t xml:space="preserve"> </w:t>
      </w:r>
      <w:r>
        <w:t xml:space="preserve">records every scoring run: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ModelRun</w:t>
      </w:r>
      <w:r>
        <w:t xml:space="preserve"> </w:t>
      </w:r>
      <w:r>
        <w:t xml:space="preserve">— model name + version + source, worklist, N, score min/max/mean/std,</w:t>
      </w:r>
      <w:r>
        <w:t xml:space="preserve"> </w:t>
      </w:r>
      <w:r>
        <w:t xml:space="preserve">timestamp, and the per-sequence scores.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RunHistory</w:t>
      </w:r>
      <w:r>
        <w:t xml:space="preserve"> </w:t>
      </w:r>
      <w:r>
        <w:t xml:space="preserve">— append-only store;</w:t>
      </w:r>
      <w:r>
        <w:t xml:space="preserve"> </w:t>
      </w:r>
      <w:r>
        <w:rPr>
          <w:rStyle w:val="VerbatimChar"/>
        </w:rPr>
        <w:t xml:space="preserve">for_model()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model_names()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compare(run_a, run_b)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RunComparison</w:t>
      </w:r>
      <w:r>
        <w:t xml:space="preserve"> </w:t>
      </w:r>
      <w:r>
        <w:t xml:space="preserve">with per-sequence deltas and</w:t>
      </w:r>
      <w:r>
        <w:t xml:space="preserve"> </w:t>
      </w:r>
      <w:r>
        <w:t xml:space="preserve">improved/worsened/unchanged counts.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Experiments</w:t>
      </w:r>
      <w:r>
        <w:t xml:space="preserve"> </w:t>
      </w:r>
      <w:r>
        <w:t xml:space="preserve">tab shows registered model versions, the run history, and a</w:t>
      </w:r>
      <w:r>
        <w:t xml:space="preserve"> </w:t>
      </w:r>
      <w:r>
        <w:t xml:space="preserve">version-to-version comparison. This is the</w:t>
      </w:r>
      <w:r>
        <w:t xml:space="preserve"> </w:t>
      </w:r>
      <w:r>
        <w:t xml:space="preserve">“Learn”</w:t>
      </w:r>
      <w:r>
        <w:t xml:space="preserve"> </w:t>
      </w:r>
      <w:r>
        <w:t xml:space="preserve">scaffolding of the DBTL loop.</w:t>
      </w:r>
    </w:p>
    <w:p>
      <w:r>
        <w:pict>
          <v:rect style="width:0;height:1.5pt" o:hralign="center" o:hrstd="t" o:hr="t"/>
        </w:pict>
      </w:r>
    </w:p>
    <w:bookmarkEnd w:id="18"/>
    <w:bookmarkStart w:id="19" w:name="the-data-layer"/>
    <w:p>
      <w:pPr>
        <w:pStyle w:val="Heading2"/>
      </w:pPr>
      <w:r>
        <w:t xml:space="preserve">10. The data layer</w:t>
      </w:r>
    </w:p>
    <w:p>
      <w:pPr>
        <w:pStyle w:val="FirstParagraph"/>
      </w:pPr>
      <w:r>
        <w:rPr>
          <w:rStyle w:val="VerbatimChar"/>
        </w:rPr>
        <w:t xml:space="preserve">core/database/</w:t>
      </w:r>
      <w:r>
        <w:t xml:space="preserve"> </w:t>
      </w:r>
      <w:r>
        <w:t xml:space="preserve">provides a uniform import interface: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base.py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DatabaseConnector</w:t>
      </w:r>
      <w:r>
        <w:t xml:space="preserve"> </w:t>
      </w:r>
      <w:r>
        <w:t xml:space="preserve">interface +</w:t>
      </w:r>
      <w:r>
        <w:t xml:space="preserve"> </w:t>
      </w:r>
      <w:r>
        <w:rPr>
          <w:rStyle w:val="VerbatimChar"/>
        </w:rPr>
        <w:t xml:space="preserve">SchemaMapper</w:t>
      </w:r>
      <w:r>
        <w:t xml:space="preserve"> </w:t>
      </w:r>
      <w:r>
        <w:t xml:space="preserve">(maps arbitrary</w:t>
      </w:r>
      <w:r>
        <w:t xml:space="preserve"> </w:t>
      </w:r>
      <w:r>
        <w:t xml:space="preserve">source columns to the canonical</w:t>
      </w:r>
      <w:r>
        <w:t xml:space="preserve"> </w:t>
      </w:r>
      <w:r>
        <w:rPr>
          <w:rStyle w:val="VerbatimChar"/>
        </w:rPr>
        <w:t xml:space="preserve">mRNASequence</w:t>
      </w:r>
      <w:r>
        <w:t xml:space="preserve"> </w:t>
      </w:r>
      <w:r>
        <w:t xml:space="preserve">model).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postgres.py</w:t>
      </w:r>
      <w:r>
        <w:t xml:space="preserve"> </w:t>
      </w:r>
      <w:r>
        <w:t xml:space="preserve">(SQLAlchemy + psycopg2),</w:t>
      </w:r>
      <w:r>
        <w:t xml:space="preserve"> </w:t>
      </w:r>
      <w:r>
        <w:rPr>
          <w:rStyle w:val="VerbatimChar"/>
          <w:b/>
          <w:bCs/>
        </w:rPr>
        <w:t xml:space="preserve">sqlite.py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csv_importer.py</w:t>
      </w:r>
      <w:r>
        <w:t xml:space="preserve"> </w:t>
      </w:r>
      <w:r>
        <w:t xml:space="preserve">(CSV/Excel).</w:t>
      </w:r>
    </w:p>
    <w:p>
      <w:pPr>
        <w:pStyle w:val="FirstParagraph"/>
      </w:pPr>
      <w:r>
        <w:t xml:space="preserve">Core models (</w:t>
      </w:r>
      <w:r>
        <w:rPr>
          <w:rStyle w:val="VerbatimChar"/>
        </w:rPr>
        <w:t xml:space="preserve">core/models/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mRNASequence</w:t>
      </w:r>
      <w:r>
        <w:t xml:space="preserve"> </w:t>
      </w:r>
      <w:r>
        <w:t xml:space="preserve">— the canonical record: optional components (5′UTR, Kozak, CDS, 3′UTR,</w:t>
      </w:r>
      <w:r>
        <w:t xml:space="preserve"> </w:t>
      </w:r>
      <w:r>
        <w:t xml:space="preserve">poly-A) or a</w:t>
      </w:r>
      <w:r>
        <w:t xml:space="preserve"> </w:t>
      </w:r>
      <w:r>
        <w:rPr>
          <w:rStyle w:val="VerbatimChar"/>
        </w:rPr>
        <w:t xml:space="preserve">full_mrna</w:t>
      </w:r>
      <w:r>
        <w:t xml:space="preserve">, plus metadata;</w:t>
      </w:r>
      <w:r>
        <w:t xml:space="preserve"> </w:t>
      </w:r>
      <w:r>
        <w:rPr>
          <w:rStyle w:val="VerbatimChar"/>
        </w:rPr>
        <w:t xml:space="preserve">assembled_sequence</w:t>
      </w:r>
      <w:r>
        <w:t xml:space="preserve"> </w:t>
      </w:r>
      <w:r>
        <w:t xml:space="preserve">concatenates components.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Worklist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WorklistItem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PlasmidBackbone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SequencePart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configuration"/>
    <w:p>
      <w:pPr>
        <w:pStyle w:val="Heading2"/>
      </w:pPr>
      <w:r>
        <w:t xml:space="preserve">11. Configuration</w:t>
      </w:r>
    </w:p>
    <w:p>
      <w:pPr>
        <w:pStyle w:val="FirstParagraph"/>
      </w:pPr>
      <w:r>
        <w:t xml:space="preserve">Environment variables (see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; loaded via python-dotenv):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MRNA_STUDIO_PASSWORD</w:t>
            </w:r>
          </w:p>
        </w:tc>
        <w:tc>
          <w:tcPr/>
          <w:p>
            <w:pPr>
              <w:pStyle w:val="Compact"/>
            </w:pPr>
            <w:r>
              <w:t xml:space="preserve">Single shared password (any username) — enables the login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MRNA_STUDIO_USERS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{"user": "pass"}</w:t>
            </w:r>
            <w:r>
              <w:t xml:space="preserve"> </w:t>
            </w:r>
            <w:r>
              <w:t xml:space="preserve">for multiple users (overrides the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MRNA_STUDIO_COOKIE_SECRET</w:t>
            </w:r>
          </w:p>
        </w:tc>
        <w:tc>
          <w:tcPr/>
          <w:p>
            <w:pPr>
              <w:pStyle w:val="Compact"/>
            </w:pPr>
            <w:r>
              <w:t xml:space="preserve">Session-cookie signing secret (set in production)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Server bind (default 5007 / 0.0.0.0; platforms set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 </w:t>
            </w:r>
            <w:r>
              <w:t xml:space="preserve">automatically)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MRNA_STUDIO_RELOAD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enables hot-reload in development</w:t>
            </w:r>
          </w:p>
        </w:tc>
      </w:tr>
    </w:tbl>
    <w:p>
      <w:pPr>
        <w:pStyle w:val="BodyText"/>
      </w:pPr>
      <w:r>
        <w:t xml:space="preserve">If neither password variable is set, the app runs open (no login).</w:t>
      </w:r>
    </w:p>
    <w:p>
      <w:r>
        <w:pict>
          <v:rect style="width:0;height:1.5pt" o:hralign="center" o:hrstd="t" o:hr="t"/>
        </w:pict>
      </w:r>
    </w:p>
    <w:bookmarkEnd w:id="20"/>
    <w:bookmarkStart w:id="21" w:name="running-it"/>
    <w:p>
      <w:pPr>
        <w:pStyle w:val="Heading2"/>
      </w:pPr>
      <w:r>
        <w:t xml:space="preserve">12. Running it</w:t>
      </w:r>
    </w:p>
    <w:p>
      <w:pPr>
        <w:pStyle w:val="FirstParagraph"/>
      </w:pPr>
      <w:r>
        <w:t xml:space="preserve">Prerequisites: a terminal with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(no system Python needed — setup installs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+ Python 3.13).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</w:t>
      </w:r>
      <w:r>
        <w:rPr>
          <w:rStyle w:val="CommentTok"/>
        </w:rPr>
        <w:t xml:space="preserve"># install uv, Python 3.13, venv, dependencies (~1 min)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       </w:t>
      </w:r>
      <w:r>
        <w:rPr>
          <w:rStyle w:val="CommentTok"/>
        </w:rPr>
        <w:t xml:space="preserve"># start at http://localhost:5007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run-secure  </w:t>
      </w:r>
      <w:r>
        <w:rPr>
          <w:rStyle w:val="CommentTok"/>
        </w:rPr>
        <w:t xml:space="preserve"># password-protected (requires .env)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</w:t>
      </w:r>
      <w:r>
        <w:rPr>
          <w:rStyle w:val="CommentTok"/>
        </w:rPr>
        <w:t xml:space="preserve"># run the test suite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      </w:t>
      </w:r>
      <w:r>
        <w:rPr>
          <w:rStyle w:val="CommentTok"/>
        </w:rPr>
        <w:t xml:space="preserve"># ruff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kill      </w:t>
      </w:r>
      <w:r>
        <w:rPr>
          <w:rStyle w:val="CommentTok"/>
        </w:rPr>
        <w:t xml:space="preserve"># stop the app</w:t>
      </w:r>
    </w:p>
    <w:p>
      <w:pPr>
        <w:pStyle w:val="FirstParagraph"/>
      </w:pPr>
      <w:r>
        <w:t xml:space="preserve">Optional demo database (Docker):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db-up     </w:t>
      </w:r>
      <w:r>
        <w:rPr>
          <w:rStyle w:val="CommentTok"/>
        </w:rPr>
        <w:t xml:space="preserve"># start demo PostgreSQL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db-down   </w:t>
      </w:r>
      <w:r>
        <w:rPr>
          <w:rStyle w:val="CommentTok"/>
        </w:rPr>
        <w:t xml:space="preserve"># stop it</w:t>
      </w:r>
    </w:p>
    <w:p>
      <w:pPr>
        <w:pStyle w:val="FirstParagraph"/>
      </w:pPr>
      <w:r>
        <w:t xml:space="preserve">Sample data lives in</w:t>
      </w:r>
      <w:r>
        <w:t xml:space="preserve"> </w:t>
      </w:r>
      <w:r>
        <w:rPr>
          <w:rStyle w:val="VerbatimChar"/>
        </w:rPr>
        <w:t xml:space="preserve">demo/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demo_sequences_extended.csv</w:t>
      </w:r>
      <w:r>
        <w:t xml:space="preserve"> </w:t>
      </w:r>
      <w:r>
        <w:t xml:space="preserve">is the richest).</w:t>
      </w:r>
    </w:p>
    <w:p>
      <w:r>
        <w:pict>
          <v:rect style="width:0;height:1.5pt" o:hralign="center" o:hrstd="t" o:hr="t"/>
        </w:pict>
      </w:r>
    </w:p>
    <w:bookmarkEnd w:id="21"/>
    <w:bookmarkStart w:id="22" w:name="deployment"/>
    <w:p>
      <w:pPr>
        <w:pStyle w:val="Heading2"/>
      </w:pPr>
      <w:r>
        <w:t xml:space="preserve">13. Deployment</w:t>
      </w:r>
    </w:p>
    <w:p>
      <w:pPr>
        <w:pStyle w:val="FirstParagraph"/>
      </w:pPr>
      <w:r>
        <w:t xml:space="preserve">The app is containerised (</w:t>
      </w:r>
      <w:r>
        <w:rPr>
          <w:rStyle w:val="VerbatimChar"/>
        </w:rPr>
        <w:t xml:space="preserve">Dockerfile</w:t>
      </w:r>
      <w:r>
        <w:t xml:space="preserve">) and reads</w:t>
      </w:r>
      <w:r>
        <w:t xml:space="preserve"> </w:t>
      </w:r>
      <w:r>
        <w:rPr>
          <w:rStyle w:val="VerbatimChar"/>
        </w:rPr>
        <w:t xml:space="preserve">PORT</w:t>
      </w:r>
      <w:r>
        <w:t xml:space="preserve">/</w:t>
      </w:r>
      <w:r>
        <w:rPr>
          <w:rStyle w:val="VerbatimChar"/>
        </w:rPr>
        <w:t xml:space="preserve">HOST</w:t>
      </w:r>
      <w:r>
        <w:t xml:space="preserve"> </w:t>
      </w:r>
      <w:r>
        <w:t xml:space="preserve">from the environment, so it</w:t>
      </w:r>
      <w:r>
        <w:t xml:space="preserve"> </w:t>
      </w:r>
      <w:r>
        <w:t xml:space="preserve">runs on any container host.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Hosted demo:</w:t>
      </w:r>
      <w:r>
        <w:t xml:space="preserve"> </w:t>
      </w:r>
      <w:r>
        <w:t xml:space="preserve">Hugging Face Spaces (Docker SDK,</w:t>
      </w:r>
      <w:r>
        <w:t xml:space="preserve"> </w:t>
      </w:r>
      <w:r>
        <w:rPr>
          <w:rStyle w:val="VerbatimChar"/>
        </w:rPr>
        <w:t xml:space="preserve">app_port: 5007</w:t>
      </w:r>
      <w:r>
        <w:t xml:space="preserve">).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MRNA_STUDIO_PASSWORD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MRNA_STUDIO_COOKIE_SECRET</w:t>
      </w:r>
      <w:r>
        <w:t xml:space="preserve">) are set in Space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Also supported:</w:t>
      </w:r>
      <w:r>
        <w:t xml:space="preserve"> </w:t>
      </w:r>
      <w:r>
        <w:t xml:space="preserve">Railway, Render, local Docker (</w:t>
      </w:r>
      <w:r>
        <w:rPr>
          <w:rStyle w:val="VerbatimChar"/>
        </w:rPr>
        <w:t xml:space="preserve">make docker-build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docker-run</w:t>
      </w:r>
      <w:r>
        <w:t xml:space="preserve">).</w:t>
      </w:r>
    </w:p>
    <w:p>
      <w:pPr>
        <w:pStyle w:val="FirstParagraph"/>
      </w:pPr>
      <w:r>
        <w:t xml:space="preserve">Note: ViennaRNA is optional and not in the hosted image — secondary-structure results show as</w:t>
      </w:r>
      <w:r>
        <w:t xml:space="preserve"> </w:t>
      </w:r>
      <w:r>
        <w:t xml:space="preserve">a stub there; all other analyses run.</w:t>
      </w:r>
    </w:p>
    <w:p>
      <w:r>
        <w:pict>
          <v:rect style="width:0;height:1.5pt" o:hralign="center" o:hrstd="t" o:hr="t"/>
        </w:pict>
      </w:r>
    </w:p>
    <w:bookmarkEnd w:id="22"/>
    <w:bookmarkStart w:id="23" w:name="testing"/>
    <w:p>
      <w:pPr>
        <w:pStyle w:val="Heading2"/>
      </w:pPr>
      <w:r>
        <w:t xml:space="preserve">14. Testing</w:t>
      </w:r>
    </w:p>
    <w:p>
      <w:pPr>
        <w:pStyle w:val="FirstParagraph"/>
      </w:pPr>
      <w:r>
        <w:rPr>
          <w:rStyle w:val="VerbatimChar"/>
        </w:rPr>
        <w:t xml:space="preserve">pytest</w:t>
      </w:r>
      <w:r>
        <w:t xml:space="preserve"> </w:t>
      </w:r>
      <w:r>
        <w:t xml:space="preserve">suite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):</w:t>
      </w:r>
      <w:r>
        <w:t xml:space="preserve"> </w:t>
      </w:r>
      <w:r>
        <w:rPr>
          <w:rStyle w:val="VerbatimChar"/>
        </w:rPr>
        <w:t xml:space="preserve">test_analysis.py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test_liability.py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test_candidate_score.py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test_codon_analysis.py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test_runs.py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test_database.py</w:t>
      </w:r>
      <w:r>
        <w:t xml:space="preserve">. The pure-core design means the analysis, scoring, and</w:t>
      </w:r>
      <w:r>
        <w:t xml:space="preserve"> </w:t>
      </w:r>
      <w:r>
        <w:t xml:space="preserve">model logic are all unit-tested without the UI.</w:t>
      </w:r>
      <w:r>
        <w:t xml:space="preserve"> </w:t>
      </w:r>
      <w:r>
        <w:rPr>
          <w:b/>
          <w:bCs/>
        </w:rPr>
        <w:t xml:space="preserve">118 tests</w:t>
      </w:r>
      <w:r>
        <w:t xml:space="preserve"> </w:t>
      </w:r>
      <w:r>
        <w:t xml:space="preserve">at time of writing.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structure"/>
    <w:p>
      <w:pPr>
        <w:pStyle w:val="Heading2"/>
      </w:pPr>
      <w:r>
        <w:t xml:space="preserve">15. Project structure</w:t>
      </w:r>
    </w:p>
    <w:p>
      <w:pPr>
        <w:pStyle w:val="SourceCode"/>
      </w:pPr>
      <w:r>
        <w:rPr>
          <w:rStyle w:val="VerbatimChar"/>
        </w:rPr>
        <w:t xml:space="preserve">core/</w:t>
      </w:r>
      <w:r>
        <w:br/>
      </w:r>
      <w:r>
        <w:rPr>
          <w:rStyle w:val="VerbatimChar"/>
        </w:rPr>
        <w:t xml:space="preserve">  analysis/        analyzer.py + GC, CAI, homopolymers, restriction_sites, kozak,</w:t>
      </w:r>
      <w:r>
        <w:br/>
      </w:r>
      <w:r>
        <w:rPr>
          <w:rStyle w:val="VerbatimChar"/>
        </w:rPr>
        <w:t xml:space="preserve">                   structure, uridine, motifs, liability, candidate_score, codon_analysis</w:t>
      </w:r>
      <w:r>
        <w:br/>
      </w:r>
      <w:r>
        <w:rPr>
          <w:rStyle w:val="VerbatimChar"/>
        </w:rPr>
        <w:t xml:space="preserve">  database/        base (SchemaMapper) + postgres / sqlite / csv importers</w:t>
      </w:r>
      <w:r>
        <w:br/>
      </w:r>
      <w:r>
        <w:rPr>
          <w:rStyle w:val="VerbatimChar"/>
        </w:rPr>
        <w:t xml:space="preserve">  models/          mRNASequence, Worklist, PlasmidBackbone, SequencePart</w:t>
      </w:r>
      <w:r>
        <w:br/>
      </w:r>
      <w:r>
        <w:rPr>
          <w:rStyle w:val="VerbatimChar"/>
        </w:rPr>
        <w:t xml:space="preserve">  sequence_tools/  codon_optimizer, clean_for_cloning</w:t>
      </w:r>
      <w:r>
        <w:br/>
      </w:r>
      <w:r>
        <w:rPr>
          <w:rStyle w:val="VerbatimChar"/>
        </w:rPr>
        <w:t xml:space="preserve">  data/            seed parts &amp; backbones</w:t>
      </w:r>
      <w:r>
        <w:br/>
      </w:r>
      <w:r>
        <w:rPr>
          <w:rStyle w:val="VerbatimChar"/>
        </w:rPr>
        <w:t xml:space="preserve">models/            ScoringModel/GenerativeModel ABCs, ModelRegistry, runs (tracking),</w:t>
      </w:r>
      <w:r>
        <w:br/>
      </w:r>
      <w:r>
        <w:rPr>
          <w:rStyle w:val="VerbatimChar"/>
        </w:rPr>
        <w:t xml:space="preserve">                   built-in scorers, catalog</w:t>
      </w:r>
      <w:r>
        <w:br/>
      </w:r>
      <w:r>
        <w:rPr>
          <w:rStyle w:val="VerbatimChar"/>
        </w:rPr>
        <w:t xml:space="preserve">ui/</w:t>
      </w:r>
      <w:r>
        <w:br/>
      </w:r>
      <w:r>
        <w:rPr>
          <w:rStyle w:val="VerbatimChar"/>
        </w:rPr>
        <w:t xml:space="preserve">  app.py           Panel entry point (template, tabs, auth, serve)</w:t>
      </w:r>
      <w:r>
        <w:br/>
      </w:r>
      <w:r>
        <w:rPr>
          <w:rStyle w:val="VerbatimChar"/>
        </w:rPr>
        <w:t xml:space="preserve">  state.py         AppState (per-session reactive state)</w:t>
      </w:r>
      <w:r>
        <w:br/>
      </w:r>
      <w:r>
        <w:rPr>
          <w:rStyle w:val="VerbatimChar"/>
        </w:rPr>
        <w:t xml:space="preserve">  components/      one module per tab + shared panels</w:t>
      </w:r>
      <w:r>
        <w:br/>
      </w:r>
      <w:r>
        <w:rPr>
          <w:rStyle w:val="VerbatimChar"/>
        </w:rPr>
        <w:t xml:space="preserve">tests/             pytest suite</w:t>
      </w:r>
      <w:r>
        <w:br/>
      </w:r>
      <w:r>
        <w:rPr>
          <w:rStyle w:val="VerbatimChar"/>
        </w:rPr>
        <w:t xml:space="preserve">demo/              sample data, demo DB, deck, demo script</w:t>
      </w:r>
      <w:r>
        <w:br/>
      </w:r>
      <w:r>
        <w:rPr>
          <w:rStyle w:val="VerbatimChar"/>
        </w:rPr>
        <w:t xml:space="preserve">Dockerfile, Makefile, Procfile, pyproject.toml, requirements.txt</w:t>
      </w:r>
    </w:p>
    <w:p>
      <w:r>
        <w:pict>
          <v:rect style="width:0;height:1.5pt" o:hralign="center" o:hrstd="t" o:hr="t"/>
        </w:pict>
      </w:r>
    </w:p>
    <w:bookmarkEnd w:id="24"/>
    <w:bookmarkStart w:id="25" w:name="extending-the-platform"/>
    <w:p>
      <w:pPr>
        <w:pStyle w:val="Heading2"/>
      </w:pPr>
      <w:r>
        <w:t xml:space="preserve">16. Extending the platform</w:t>
      </w:r>
    </w:p>
    <w:p>
      <w:pPr>
        <w:pStyle w:val="FirstParagraph"/>
      </w:pPr>
      <w:r>
        <w:rPr>
          <w:b/>
          <w:bCs/>
        </w:rPr>
        <w:t xml:space="preserve">Add a scoring model</w:t>
      </w:r>
      <w:r>
        <w:t xml:space="preserve"> </w:t>
      </w:r>
      <w:r>
        <w:t xml:space="preserve">— drop a Python file exposing a</w:t>
      </w:r>
      <w:r>
        <w:t xml:space="preserve"> </w:t>
      </w:r>
      <w:r>
        <w:rPr>
          <w:rStyle w:val="VerbatimChar"/>
        </w:rPr>
        <w:t xml:space="preserve">ScoringModel</w:t>
      </w:r>
      <w:r>
        <w:t xml:space="preserve"> </w:t>
      </w:r>
      <w:r>
        <w:t xml:space="preserve">subclass and load it</w:t>
      </w:r>
      <w:r>
        <w:t xml:space="preserve"> </w:t>
      </w:r>
      <w:r>
        <w:t xml:space="preserve">via the Model Repository (or</w:t>
      </w:r>
      <w:r>
        <w:t xml:space="preserve"> </w:t>
      </w:r>
      <w:r>
        <w:rPr>
          <w:rStyle w:val="VerbatimChar"/>
        </w:rPr>
        <w:t xml:space="preserve">ModelRegistry.load_local(path)</w:t>
      </w:r>
      <w:r>
        <w:t xml:space="preserve">), or register a REST endpoint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register_api_scorer(...)</w:t>
      </w:r>
      <w:r>
        <w:t xml:space="preserve">. Every run is then tracked automatically.</w:t>
      </w:r>
    </w:p>
    <w:p>
      <w:pPr>
        <w:pStyle w:val="BodyText"/>
      </w:pPr>
      <w:r>
        <w:rPr>
          <w:b/>
          <w:bCs/>
        </w:rPr>
        <w:t xml:space="preserve">Add an analysis</w:t>
      </w:r>
      <w:r>
        <w:t xml:space="preserve"> </w:t>
      </w:r>
      <w:r>
        <w:t xml:space="preserve">— write a pure function/module under</w:t>
      </w:r>
      <w:r>
        <w:t xml:space="preserve"> </w:t>
      </w:r>
      <w:r>
        <w:rPr>
          <w:rStyle w:val="VerbatimChar"/>
        </w:rPr>
        <w:t xml:space="preserve">core/analysis/</w:t>
      </w:r>
      <w:r>
        <w:t xml:space="preserve">, add its result to</w:t>
      </w:r>
      <w:r>
        <w:t xml:space="preserve"> </w:t>
      </w:r>
      <w:r>
        <w:rPr>
          <w:rStyle w:val="VerbatimChar"/>
        </w:rPr>
        <w:t xml:space="preserve">AnalysisReport</w:t>
      </w:r>
      <w:r>
        <w:t xml:space="preserve">, compute it in</w:t>
      </w:r>
      <w:r>
        <w:t xml:space="preserve"> </w:t>
      </w:r>
      <w:r>
        <w:rPr>
          <w:rStyle w:val="VerbatimChar"/>
        </w:rPr>
        <w:t xml:space="preserve">run_full_analysis</w:t>
      </w:r>
      <w:r>
        <w:t xml:space="preserve">, and (optionally) feed it into</w:t>
      </w:r>
      <w:r>
        <w:t xml:space="preserve"> </w:t>
      </w:r>
      <w:r>
        <w:rPr>
          <w:rStyle w:val="VerbatimChar"/>
        </w:rPr>
        <w:t xml:space="preserve">assess_liabilities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score_objectives</w:t>
      </w:r>
      <w:r>
        <w:t xml:space="preserve">. Add a 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 a tab</w:t>
      </w:r>
      <w:r>
        <w:t xml:space="preserve"> </w:t>
      </w:r>
      <w:r>
        <w:t xml:space="preserve">— create a component under</w:t>
      </w:r>
      <w:r>
        <w:t xml:space="preserve"> </w:t>
      </w:r>
      <w:r>
        <w:rPr>
          <w:rStyle w:val="VerbatimChar"/>
        </w:rPr>
        <w:t xml:space="preserve">ui/components/</w:t>
      </w:r>
      <w:r>
        <w:t xml:space="preserve">, then register it in</w:t>
      </w:r>
      <w:r>
        <w:t xml:space="preserve"> </w:t>
      </w:r>
      <w:r>
        <w:rPr>
          <w:rStyle w:val="VerbatimChar"/>
        </w:rPr>
        <w:t xml:space="preserve">ui/app.py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_TAB_NAMES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_TAB_KEYS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pn.Tabs</w:t>
      </w:r>
      <w:r>
        <w:t xml:space="preserve"> </w:t>
      </w:r>
      <w:r>
        <w:t xml:space="preserve">construction).</w:t>
      </w:r>
    </w:p>
    <w:p>
      <w:r>
        <w:pict>
          <v:rect style="width:0;height:1.5pt" o:hralign="center" o:hrstd="t" o:hr="t"/>
        </w:pict>
      </w:r>
    </w:p>
    <w:bookmarkEnd w:id="25"/>
    <w:bookmarkStart w:id="26" w:name="scope-roadmap"/>
    <w:p>
      <w:pPr>
        <w:pStyle w:val="Heading2"/>
      </w:pPr>
      <w:r>
        <w:t xml:space="preserve">17. Scope &amp; roadmap</w:t>
      </w:r>
    </w:p>
    <w:p>
      <w:pPr>
        <w:pStyle w:val="FirstParagraph"/>
      </w:pPr>
      <w:r>
        <w:rPr>
          <w:b/>
          <w:bCs/>
        </w:rPr>
        <w:t xml:space="preserve">Today (prototype):</w:t>
      </w:r>
      <w:r>
        <w:t xml:space="preserve"> </w:t>
      </w:r>
      <w:r>
        <w:t xml:space="preserve">import &amp; structured model · explainable QC/liability · multi-objective</w:t>
      </w:r>
      <w:r>
        <w:t xml:space="preserve"> </w:t>
      </w:r>
      <w:r>
        <w:t xml:space="preserve">candidate comparison · codon analysis · pluggable model scoring · run/version tracking ·</w:t>
      </w:r>
      <w:r>
        <w:t xml:space="preserve"> </w:t>
      </w:r>
      <w:r>
        <w:t xml:space="preserve">parts/assembly/generation. Demonstrates DBTL steps 1 (design), 2 (automated QC), and 4</w:t>
      </w:r>
      <w:r>
        <w:t xml:space="preserve"> </w:t>
      </w:r>
      <w:r>
        <w:t xml:space="preserve">(feedback/versioning).</w:t>
      </w:r>
    </w:p>
    <w:p>
      <w:pPr>
        <w:pStyle w:val="BodyText"/>
      </w:pPr>
      <w:r>
        <w:rPr>
          <w:b/>
          <w:bCs/>
        </w:rPr>
        <w:t xml:space="preserve">Not yet built:</w:t>
      </w:r>
      <w:r>
        <w:t xml:space="preserve"> </w:t>
      </w:r>
      <w:r>
        <w:t xml:space="preserve">wet-lab experimental testing (step 3, external by nature), automated</w:t>
      </w:r>
      <w:r>
        <w:t xml:space="preserve"> </w:t>
      </w:r>
      <w:r>
        <w:t xml:space="preserve">outcome ingestion and model retraining, NGS-scale ingestion, and structure-based</w:t>
      </w:r>
      <w:r>
        <w:t xml:space="preserve"> </w:t>
      </w:r>
      <w:r>
        <w:t xml:space="preserve">developability. These are the closed-loop and scale roadmap items.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mRNA Data Management Platform — Documentation</dc:title>
  <dc:creator/>
  <cp:keywords/>
  <dcterms:created xsi:type="dcterms:W3CDTF">2026-06-28T02:59:07Z</dcterms:created>
  <dcterms:modified xsi:type="dcterms:W3CDTF">2026-06-28T02:59:07Z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