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12.jpg" ContentType="image/jpeg"/>
  <Override PartName="/word/media/rId20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mRNA Data Management Platform —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c9f51922400d2e3db90724de9e38394d2996973"/>
    <w:p>
      <w:pPr>
        <w:pStyle w:val="Heading1"/>
      </w:pPr>
      <w:r>
        <w:t xml:space="preserve">mRNA Data Management Platform — Documentation</w:t>
      </w:r>
    </w:p>
    <w:p>
      <w:pPr>
        <w:pStyle w:val="FirstParagraph"/>
      </w:pPr>
      <w:r>
        <w:t xml:space="preserve">A browser-based workbench for designing, analyzing, QC-ing, scoring and assembling</w:t>
      </w:r>
      <w:r>
        <w:t xml:space="preserve"> </w:t>
      </w:r>
      <w:r>
        <w:t xml:space="preserve">mRNA sequences — end to end, with no code. It gives RNA-therapeutics teams a single</w:t>
      </w:r>
      <w:r>
        <w:t xml:space="preserve"> </w:t>
      </w:r>
      <w:r>
        <w:t xml:space="preserve">structured record for every construct, an explainable QC layer, pluggable AI models,</w:t>
      </w:r>
      <w:r>
        <w:t xml:space="preserve"> </w:t>
      </w:r>
      <w:r>
        <w:t xml:space="preserve">and experiment tracking that lays the groundwork for a closed Design-Build-Test-Learn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app:</w:t>
      </w:r>
      <w:r>
        <w:t xml:space="preserve"> </w:t>
      </w:r>
      <w:r>
        <w:t xml:space="preserve">https://offtargeteffect-mrna-design-studio.hf.space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Python 3.13 · Panel/Bokeh · Plotly · pandas/NumPy · SQLAlchemy · BioPython · DNAChisel · ViennaRNA (optional)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2c204c330ce3230c3a965fd2da1f38a0b6c5574">
        <w:r>
          <w:rPr>
            <w:rStyle w:val="Hyperlink"/>
          </w:rPr>
          <w:t xml:space="preserve">What it is</w:t>
        </w:r>
      </w:hyperlink>
    </w:p>
    <w:p>
      <w:pPr>
        <w:pStyle w:val="Compact"/>
        <w:numPr>
          <w:ilvl w:val="0"/>
          <w:numId w:val="1002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2"/>
        </w:numPr>
      </w:pPr>
      <w:hyperlink w:anchor="X79b0d7cf134156b2bdf58b98a5bed12de6c93f3">
        <w:r>
          <w:rPr>
            <w:rStyle w:val="Hyperlink"/>
          </w:rPr>
          <w:t xml:space="preserve">The application (tab by tab)</w:t>
        </w:r>
      </w:hyperlink>
    </w:p>
    <w:p>
      <w:pPr>
        <w:pStyle w:val="Compact"/>
        <w:numPr>
          <w:ilvl w:val="0"/>
          <w:numId w:val="1002"/>
        </w:numPr>
      </w:pPr>
      <w:hyperlink w:anchor="Xd60ce6894fe50c9dec92d51dab78330006ad7c6">
        <w:r>
          <w:rPr>
            <w:rStyle w:val="Hyperlink"/>
          </w:rPr>
          <w:t xml:space="preserve">The analysis engine</w:t>
        </w:r>
      </w:hyperlink>
    </w:p>
    <w:p>
      <w:pPr>
        <w:pStyle w:val="Compact"/>
        <w:numPr>
          <w:ilvl w:val="0"/>
          <w:numId w:val="1002"/>
        </w:numPr>
      </w:pPr>
      <w:hyperlink w:anchor="Xafa624c8c29f1c8c04b9b556aa72b2c32dbb36d">
        <w:r>
          <w:rPr>
            <w:rStyle w:val="Hyperlink"/>
          </w:rPr>
          <w:t xml:space="preserve">Liability / QC scoring</w:t>
        </w:r>
      </w:hyperlink>
    </w:p>
    <w:p>
      <w:pPr>
        <w:pStyle w:val="Compact"/>
        <w:numPr>
          <w:ilvl w:val="0"/>
          <w:numId w:val="1002"/>
        </w:numPr>
      </w:pPr>
      <w:hyperlink w:anchor="X1d8194655968b438f8a3fca1e36f23c6d21de95">
        <w:r>
          <w:rPr>
            <w:rStyle w:val="Hyperlink"/>
          </w:rPr>
          <w:t xml:space="preserve">Candidate objective scoring</w:t>
        </w:r>
      </w:hyperlink>
    </w:p>
    <w:p>
      <w:pPr>
        <w:pStyle w:val="Compact"/>
        <w:numPr>
          <w:ilvl w:val="0"/>
          <w:numId w:val="1002"/>
        </w:numPr>
      </w:pPr>
      <w:hyperlink w:anchor="X6be16e78f235f9c80e7a66ce81b7e7a1d06873e">
        <w:r>
          <w:rPr>
            <w:rStyle w:val="Hyperlink"/>
          </w:rPr>
          <w:t xml:space="preserve">Codon-optimization analysis</w:t>
        </w:r>
      </w:hyperlink>
    </w:p>
    <w:p>
      <w:pPr>
        <w:pStyle w:val="Compact"/>
        <w:numPr>
          <w:ilvl w:val="0"/>
          <w:numId w:val="1002"/>
        </w:numPr>
      </w:pPr>
      <w:hyperlink w:anchor="X193a833aedeb303541bc729d83a85b6170bba4d">
        <w:r>
          <w:rPr>
            <w:rStyle w:val="Hyperlink"/>
          </w:rPr>
          <w:t xml:space="preserve">The model system (pluggable AI)</w:t>
        </w:r>
      </w:hyperlink>
    </w:p>
    <w:p>
      <w:pPr>
        <w:pStyle w:val="Compact"/>
        <w:numPr>
          <w:ilvl w:val="0"/>
          <w:numId w:val="1002"/>
        </w:numPr>
      </w:pPr>
      <w:hyperlink w:anchor="X792a53fbfe86b8d47f69b0a00b4c587e677b083">
        <w:r>
          <w:rPr>
            <w:rStyle w:val="Hyperlink"/>
          </w:rPr>
          <w:t xml:space="preserve">Experiment / run tracking</w:t>
        </w:r>
      </w:hyperlink>
    </w:p>
    <w:p>
      <w:pPr>
        <w:pStyle w:val="Compact"/>
        <w:numPr>
          <w:ilvl w:val="0"/>
          <w:numId w:val="1002"/>
        </w:numPr>
      </w:pPr>
      <w:hyperlink w:anchor="X495e609e320a1102f8f3a3b6bc587e97e454b08">
        <w:r>
          <w:rPr>
            <w:rStyle w:val="Hyperlink"/>
          </w:rPr>
          <w:t xml:space="preserve">The data layer</w:t>
        </w:r>
      </w:hyperlink>
    </w:p>
    <w:p>
      <w:pPr>
        <w:pStyle w:val="Compact"/>
        <w:numPr>
          <w:ilvl w:val="0"/>
          <w:numId w:val="1002"/>
        </w:numPr>
      </w:pPr>
      <w:hyperlink w:anchor="Xc0b15fb4a1ffec10ef3b213713016cb96866ed3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2"/>
        </w:numPr>
      </w:pPr>
      <w:hyperlink w:anchor="X71d9257e74c867e7c0ca826e978774e20e0fbe9">
        <w:r>
          <w:rPr>
            <w:rStyle w:val="Hyperlink"/>
          </w:rPr>
          <w:t xml:space="preserve">Running it</w:t>
        </w:r>
      </w:hyperlink>
    </w:p>
    <w:p>
      <w:pPr>
        <w:pStyle w:val="Compact"/>
        <w:numPr>
          <w:ilvl w:val="0"/>
          <w:numId w:val="1002"/>
        </w:numPr>
      </w:pPr>
      <w:hyperlink w:anchor="X56d932ab20fc00a9be5e487b44d84c67414b499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2"/>
        </w:numPr>
      </w:pPr>
      <w:hyperlink w:anchor="Xf41644de12db080ec8f8142c1de1b60fdc63482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2"/>
        </w:numPr>
      </w:pPr>
      <w:hyperlink w:anchor="X4344e33e4a2122213cb5c7f0d6afde21aad220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2"/>
        </w:numPr>
      </w:pPr>
      <w:hyperlink w:anchor="Xff733df83a3dd50d5d186a157c6a9bfd2252094">
        <w:r>
          <w:rPr>
            <w:rStyle w:val="Hyperlink"/>
          </w:rPr>
          <w:t xml:space="preserve">Extending the platform</w:t>
        </w:r>
      </w:hyperlink>
    </w:p>
    <w:p>
      <w:pPr>
        <w:pStyle w:val="Compact"/>
        <w:numPr>
          <w:ilvl w:val="0"/>
          <w:numId w:val="1002"/>
        </w:numPr>
      </w:pPr>
      <w:hyperlink w:anchor="Xd74432463d925e2ed620e9d035b4f084819e91f">
        <w:r>
          <w:rPr>
            <w:rStyle w:val="Hyperlink"/>
          </w:rPr>
          <w:t xml:space="preserve">Scope &amp; roadmap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what-it-is"/>
    <w:p>
      <w:pPr>
        <w:pStyle w:val="Heading2"/>
      </w:pPr>
      <w:r>
        <w:t xml:space="preserve">1. What it is</w:t>
      </w:r>
    </w:p>
    <w:p>
      <w:pPr>
        <w:pStyle w:val="FirstParagraph"/>
      </w:pPr>
      <w:r>
        <w:t xml:space="preserve">The platform takes an mRNA construct from</w:t>
      </w:r>
      <w:r>
        <w:t xml:space="preserve"> </w:t>
      </w:r>
      <w:r>
        <w:rPr>
          <w:b/>
          <w:bCs/>
        </w:rPr>
        <w:t xml:space="preserve">import → analyse &amp; QC → compare &amp; score →</w:t>
      </w:r>
      <w:r>
        <w:rPr>
          <w:b/>
          <w:bCs/>
        </w:rPr>
        <w:t xml:space="preserve"> </w:t>
      </w:r>
      <w:r>
        <w:rPr>
          <w:b/>
          <w:bCs/>
        </w:rPr>
        <w:t xml:space="preserve">assemble</w:t>
      </w:r>
      <w:r>
        <w:t xml:space="preserve">, in one reactive UI. Its design goals: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structured record</w:t>
      </w:r>
      <w:r>
        <w:t xml:space="preserve"> </w:t>
      </w:r>
      <w:r>
        <w:t xml:space="preserve">per construct (no sequences scattered across spreadsheets).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Explainable QC</w:t>
      </w:r>
      <w:r>
        <w:t xml:space="preserve"> </w:t>
      </w:r>
      <w:r>
        <w:t xml:space="preserve">— every quality flag and score traces back to a specific metric.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Pluggable intelligence</w:t>
      </w:r>
      <w:r>
        <w:t xml:space="preserve"> </w:t>
      </w:r>
      <w:r>
        <w:t xml:space="preserve">— scoring/generative models register as plugins (local code</w:t>
      </w:r>
      <w:r>
        <w:t xml:space="preserve"> </w:t>
      </w:r>
      <w:r>
        <w:t xml:space="preserve">or remote API); the platform itself is the deterministic data + orchestration layer.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Traceability</w:t>
      </w:r>
      <w:r>
        <w:t xml:space="preserve"> </w:t>
      </w:r>
      <w:r>
        <w:t xml:space="preserve">— every model run is logged with its version and comparable over time.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prototype</w:t>
      </w:r>
      <w:r>
        <w:t xml:space="preserve">: a focused workbench over curated sets, not production NGS-scale</w:t>
      </w:r>
      <w:r>
        <w:t xml:space="preserve"> </w:t>
      </w:r>
      <w:r>
        <w:t xml:space="preserve">infrastructure. See</w:t>
      </w:r>
      <w:r>
        <w:t xml:space="preserve"> </w:t>
      </w:r>
      <w:hyperlink w:anchor="Xd74432463d925e2ed620e9d035b4f084819e91f">
        <w:r>
          <w:rPr>
            <w:rStyle w:val="Hyperlink"/>
          </w:rPr>
          <w:t xml:space="preserve">Scope &amp; roadmap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2. Architecture</w:t>
      </w:r>
    </w:p>
    <w:p>
      <w:pPr>
        <w:pStyle w:val="FirstParagraph"/>
      </w:pPr>
      <w:r>
        <w:t xml:space="preserve">Layered, with a strict separation between a pure domain core and the UI: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UI layer            ui/                                      │</w:t>
      </w:r>
      <w:r>
        <w:br/>
      </w:r>
      <w:r>
        <w:rPr>
          <w:rStyle w:val="VerbatimChar"/>
        </w:rPr>
        <w:t xml:space="preserve">│  Panel/Bokeh reactive components; one AppState per session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core         core/                                    │</w:t>
      </w:r>
      <w:r>
        <w:br/>
      </w:r>
      <w:r>
        <w:rPr>
          <w:rStyle w:val="VerbatimChar"/>
        </w:rPr>
        <w:t xml:space="preserve">│  Pure-Python analysis &amp; models — no UI deps, fully unit-tested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Model layer         models/                                  │</w:t>
      </w:r>
      <w:r>
        <w:br/>
      </w:r>
      <w:r>
        <w:rPr>
          <w:rStyle w:val="VerbatimChar"/>
        </w:rPr>
        <w:t xml:space="preserve">│  Pluggable scoring/generative model registry + run tracking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layer          core/database/                           │</w:t>
      </w:r>
      <w:r>
        <w:br/>
      </w:r>
      <w:r>
        <w:rPr>
          <w:rStyle w:val="VerbatimChar"/>
        </w:rPr>
        <w:t xml:space="preserve">│  SQLAlchemy + CSV importers, schema-mapped to a canonical model│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core/</w:t>
      </w:r>
      <w:r>
        <w:t xml:space="preserve"> </w:t>
      </w:r>
      <w:r>
        <w:t xml:space="preserve">has no Panel/Plotly imports — it can be tested and reused headlessly.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ui/state.py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param.Parameterized</w:t>
      </w:r>
      <w:r>
        <w:t xml:space="preserve"> </w:t>
      </w:r>
      <w:r>
        <w:t xml:space="preserve">object instantiated</w:t>
      </w:r>
      <w:r>
        <w:t xml:space="preserve"> </w:t>
      </w:r>
      <w:r>
        <w:rPr>
          <w:b/>
          <w:bCs/>
        </w:rPr>
        <w:t xml:space="preserve">once per</w:t>
      </w:r>
      <w:r>
        <w:rPr>
          <w:b/>
          <w:bCs/>
        </w:rPr>
        <w:t xml:space="preserve"> </w:t>
      </w:r>
      <w:r>
        <w:rPr>
          <w:b/>
          <w:bCs/>
        </w:rPr>
        <w:t xml:space="preserve">browser session</w:t>
      </w:r>
      <w:r>
        <w:t xml:space="preserve">; every component reacts to its parameters.</w:t>
      </w:r>
    </w:p>
    <w:p>
      <w:pPr>
        <w:pStyle w:val="Compact"/>
        <w:numPr>
          <w:ilvl w:val="0"/>
          <w:numId w:val="1004"/>
        </w:numPr>
      </w:pPr>
      <w:r>
        <w:t xml:space="preserve">Data flows one way:</w:t>
      </w:r>
      <w:r>
        <w:t xml:space="preserve"> </w:t>
      </w:r>
      <w:r>
        <w:rPr>
          <w:b/>
          <w:bCs/>
        </w:rPr>
        <w:t xml:space="preserve">importers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mRNASequence</w:t>
      </w:r>
      <w:r>
        <w:rPr>
          <w:b/>
          <w:bCs/>
        </w:rPr>
        <w:t xml:space="preserve"> </w:t>
      </w:r>
      <w:r>
        <w:rPr>
          <w:b/>
          <w:bCs/>
        </w:rPr>
        <w:t xml:space="preserve">model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SequenceAnalyzer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AnalysisReport</w:t>
      </w:r>
      <w:r>
        <w:rPr>
          <w:b/>
          <w:bCs/>
        </w:rPr>
        <w:t xml:space="preserve"> </w:t>
      </w:r>
      <w:r>
        <w:rPr>
          <w:b/>
          <w:bCs/>
        </w:rPr>
        <w:t xml:space="preserve">→ scoring/UI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8" w:name="the-application-tab-by-tab"/>
    <w:p>
      <w:pPr>
        <w:pStyle w:val="Heading2"/>
      </w:pPr>
      <w:r>
        <w:t xml:space="preserve">3. The application (tab by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Data</w:t>
            </w:r>
          </w:p>
        </w:tc>
        <w:tc>
          <w:tcPr/>
          <w:p>
            <w:pPr>
              <w:pStyle w:val="Compact"/>
            </w:pPr>
            <w:r>
              <w:t xml:space="preserve">Load sequences from CSV/Excel or PostgreSQL; columns auto-map to the mRNA model; import into a worklist.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Repository</w:t>
            </w:r>
          </w:p>
        </w:tc>
        <w:tc>
          <w:tcPr/>
          <w:p>
            <w:pPr>
              <w:pStyle w:val="Compact"/>
            </w:pPr>
            <w:r>
              <w:t xml:space="preserve">Browse/register scoring &amp; generative models (local Python or remote API), each versioned.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Worklist</w:t>
            </w:r>
          </w:p>
        </w:tc>
        <w:tc>
          <w:tcPr/>
          <w:p>
            <w:pPr>
              <w:pStyle w:val="Compact"/>
            </w:pPr>
            <w:r>
              <w:t xml:space="preserve">Inspect sequences; run base analysis (GC, CAI, homopolymers, restriction sites) +</w:t>
            </w:r>
            <w:r>
              <w:t xml:space="preserve"> </w:t>
            </w:r>
            <w:r>
              <w:rPr>
                <w:b/>
                <w:bCs/>
              </w:rPr>
              <w:t xml:space="preserve">QC score</w:t>
            </w:r>
            <w:r>
              <w:t xml:space="preserve">; per-row liability breakdown; score with models; export 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 Analysis</w:t>
            </w:r>
          </w:p>
        </w:tc>
        <w:tc>
          <w:tcPr/>
          <w:p>
            <w:pPr>
              <w:pStyle w:val="Compact"/>
            </w:pPr>
            <w:r>
              <w:t xml:space="preserve">Multi-objective comparison scorecard (Expression / Stability / Immunogenicity / Manufacturability + Overall) with shortlist; per-candidate structure map + codon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Experiments</w:t>
            </w:r>
          </w:p>
        </w:tc>
        <w:tc>
          <w:tcPr/>
          <w:p>
            <w:pPr>
              <w:pStyle w:val="Compact"/>
            </w:pPr>
            <w:r>
              <w:t xml:space="preserve">Registered model versions, run history, and version-to-version score comparison.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Workshop</w:t>
            </w:r>
          </w:p>
        </w:tc>
        <w:tc>
          <w:tcPr/>
          <w:p>
            <w:pPr>
              <w:pStyle w:val="Compact"/>
            </w:pPr>
            <w:r>
              <w:t xml:space="preserve">Browse/compose reusable parts (5′UTR, Kozak, CDS, 3′UTR, poly-A).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Assemble Plasmid</w:t>
            </w:r>
          </w:p>
        </w:tc>
        <w:tc>
          <w:tcPr/>
          <w:p>
            <w:pPr>
              <w:pStyle w:val="Compact"/>
            </w:pPr>
            <w:r>
              <w:t xml:space="preserve">Pick a backbone &amp; cloning strategy, run QC, export the assembled construct.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Sequences</w:t>
            </w:r>
          </w:p>
        </w:tc>
        <w:tc>
          <w:tcPr/>
          <w:p>
            <w:pPr>
              <w:pStyle w:val="Compact"/>
            </w:pPr>
            <w:r>
              <w:t xml:space="preserve">Produce codon-optimized variants from configurable settings.</w:t>
            </w:r>
          </w:p>
        </w:tc>
      </w:tr>
    </w:tbl>
    <w:p>
      <w:pPr>
        <w:pStyle w:val="CaptionedFigure"/>
      </w:pPr>
      <w:r>
        <w:drawing>
          <wp:inline>
            <wp:extent cx="5334000" cy="3198115"/>
            <wp:effectExtent b="0" l="0" r="0" t="0"/>
            <wp:docPr descr="Import Data — load sequences from CSV/Excel or PostgreSQL; columns auto-map to the structured mRNA model." title="" id="13" name="Picture"/>
            <a:graphic>
              <a:graphicData uri="http://schemas.openxmlformats.org/drawingml/2006/picture">
                <pic:pic>
                  <pic:nvPicPr>
                    <pic:cNvPr descr="images/import-dat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 Data — load sequences from CSV/Excel or PostgreSQL; columns auto-map to the structured mRNA model.</w:t>
      </w:r>
    </w:p>
    <w:p>
      <w:pPr>
        <w:pStyle w:val="CaptionedFigure"/>
      </w:pPr>
      <w:r>
        <w:drawing>
          <wp:inline>
            <wp:extent cx="5334000" cy="3198115"/>
            <wp:effectExtent b="0" l="0" r="0" t="0"/>
            <wp:docPr descr="Worklist — the imported panel with base analysis run: GC%, CAI, homopolymers, restriction sites, and the QC score / liabilities count per candidate." title="" id="16" name="Picture"/>
            <a:graphic>
              <a:graphicData uri="http://schemas.openxmlformats.org/drawingml/2006/picture">
                <pic:pic>
                  <pic:nvPicPr>
                    <pic:cNvPr descr="images/worklist-qc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Worklist — the imported panel with base analysis run: GC%, CAI, homopolymers, restriction sites, and the QC score / liabilities count per candidate.</w:t>
      </w:r>
    </w:p>
    <w:p>
      <w:r>
        <w:pict>
          <v:rect style="width:0;height:1.5pt" o:hralign="center" o:hrstd="t" o:hr="t"/>
        </w:pict>
      </w:r>
    </w:p>
    <w:bookmarkEnd w:id="18"/>
    <w:bookmarkStart w:id="19" w:name="the-analysis-engine"/>
    <w:p>
      <w:pPr>
        <w:pStyle w:val="Heading2"/>
      </w:pPr>
      <w:r>
        <w:t xml:space="preserve">4. The analysis engine</w:t>
      </w:r>
    </w:p>
    <w:p>
      <w:pPr>
        <w:pStyle w:val="FirstParagraph"/>
      </w:pPr>
      <w:r>
        <w:rPr>
          <w:rStyle w:val="VerbatimChar"/>
        </w:rPr>
        <w:t xml:space="preserve">core/analysis/analyzer.py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SequenceAnalyzer.run_full_analysis(seq)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</w:t>
      </w:r>
      <w:r>
        <w:rPr>
          <w:b/>
          <w:bCs/>
        </w:rPr>
        <w:t xml:space="preserve"> </w:t>
      </w:r>
      <w:r>
        <w:rPr>
          <w:b/>
          <w:bCs/>
        </w:rPr>
        <w:t xml:space="preserve">entry point</w:t>
      </w:r>
      <w:r>
        <w:t xml:space="preserve"> </w:t>
      </w:r>
      <w:r>
        <w:t xml:space="preserve">that runs the entire QC panel on one sequence and returns one</w:t>
      </w:r>
      <w:r>
        <w:t xml:space="preserve"> </w:t>
      </w:r>
      <w:r>
        <w:rPr>
          <w:rStyle w:val="VerbatimChar"/>
        </w:rPr>
        <w:t xml:space="preserve">AnalysisReport</w:t>
      </w:r>
      <w:r>
        <w:t xml:space="preserve">. It is a</w:t>
      </w:r>
      <w:r>
        <w:t xml:space="preserve"> </w:t>
      </w:r>
      <w:r>
        <w:rPr>
          <w:b/>
          <w:bCs/>
        </w:rPr>
        <w:t xml:space="preserve">deterministic pipeline — not an ML model</w:t>
      </w:r>
      <w:r>
        <w:t xml:space="preserve">: same input → same</w:t>
      </w:r>
      <w:r>
        <w:t xml:space="preserve"> </w:t>
      </w:r>
      <w:r>
        <w:t xml:space="preserve">output, every result explainable.</w:t>
      </w:r>
    </w:p>
    <w:p>
      <w:pPr>
        <w:pStyle w:val="BodyText"/>
      </w:pPr>
      <w:r>
        <w:t xml:space="preserve">Pipeline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Assemble</w:t>
      </w:r>
      <w:r>
        <w:t xml:space="preserve"> </w:t>
      </w:r>
      <w:r>
        <w:t xml:space="preserve">the full sequence (5′UTR + Kozak + CDS + 3′UTR + poly-A, or the supplied</w:t>
      </w:r>
      <w:r>
        <w:t xml:space="preserve"> </w:t>
      </w:r>
      <w:r>
        <w:rPr>
          <w:rStyle w:val="VerbatimChar"/>
        </w:rPr>
        <w:t xml:space="preserve">full_mrna</w:t>
      </w:r>
      <w:r>
        <w:t xml:space="preserve">).</w:t>
      </w:r>
      <w:r>
        <w:t xml:space="preserve"> </w:t>
      </w:r>
      <w:r>
        <w:t xml:space="preserve">2. Run each analysis module: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GC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gc_content.py</w:t>
      </w:r>
      <w:r>
        <w:t xml:space="preserve">) — global % + sliding window + GC-by-codon-position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CAI</w:t>
      </w:r>
      <w:r>
        <w:t xml:space="preserve"> </w:t>
      </w:r>
      <w:r>
        <w:t xml:space="preserve">(</w:t>
      </w:r>
      <w:r>
        <w:rPr>
          <w:rStyle w:val="VerbatimChar"/>
        </w:rPr>
        <w:t xml:space="preserve">cai.py</w:t>
      </w:r>
      <w:r>
        <w:t xml:space="preserve">) — Codon Adaptation Index + codon usage, per host organism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CDS validation</w:t>
      </w:r>
      <w:r>
        <w:t xml:space="preserve"> </w:t>
      </w:r>
      <w:r>
        <w:t xml:space="preserve">— start (ATG), stop codon, in-frame (÷3)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Homopolymers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homopolymers.py</w:t>
      </w:r>
      <w:r>
        <w:t xml:space="preserve">) — runs of repeated bases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Restriction sites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restriction_sites.py</w:t>
      </w:r>
      <w:r>
        <w:t xml:space="preserve">) — common cloning enzymes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Kozak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kozak.py</w:t>
      </w:r>
      <w:r>
        <w:t xml:space="preserve">) — translation-initiation strength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structure.py</w:t>
      </w:r>
      <w:r>
        <w:t xml:space="preserve">) — ViennaRNA MFE (optional; stub if not installed)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Uridine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uridine.py</w:t>
      </w:r>
      <w:r>
        <w:t xml:space="preserve">) — total % + high-U stretches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Motifs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motifs.py</w:t>
      </w:r>
      <w:r>
        <w:t xml:space="preserve">) — uORFs, premature polyA, AU-rich elements, splice donors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a liability/QC assessment (</w:t>
      </w:r>
      <w:r>
        <w:rPr>
          <w:rStyle w:val="VerbatimChar"/>
        </w:rPr>
        <w:t xml:space="preserve">liability.py</w:t>
      </w:r>
      <w:r>
        <w:t xml:space="preserve">).</w:t>
      </w:r>
    </w:p>
    <w:p>
      <w:pPr>
        <w:pStyle w:val="BodyText"/>
      </w:pPr>
      <w:r>
        <w:t xml:space="preserve">Two behaviours worth knowing: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Caching</w:t>
      </w:r>
      <w:r>
        <w:t xml:space="preserve"> </w:t>
      </w:r>
      <w:r>
        <w:t xml:space="preserve">— results are stored on the sequence (</w:t>
      </w:r>
      <w:r>
        <w:rPr>
          <w:rStyle w:val="VerbatimChar"/>
        </w:rPr>
        <w:t xml:space="preserve">_analysis_cache</w:t>
      </w:r>
      <w:r>
        <w:t xml:space="preserve">); re-analysis is a</w:t>
      </w:r>
      <w:r>
        <w:t xml:space="preserve"> </w:t>
      </w:r>
      <w:r>
        <w:t xml:space="preserve">cache hit unless</w:t>
      </w:r>
      <w:r>
        <w:t xml:space="preserve"> </w:t>
      </w:r>
      <w:r>
        <w:rPr>
          <w:rStyle w:val="VerbatimChar"/>
        </w:rPr>
        <w:t xml:space="preserve">force_rerun=True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— the analyzer is constructed with</w:t>
      </w:r>
      <w:r>
        <w:t xml:space="preserve"> </w:t>
      </w:r>
      <w:r>
        <w:rPr>
          <w:rStyle w:val="VerbatimChar"/>
        </w:rPr>
        <w:t xml:space="preserve">gc_window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gc_step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homopolymer_min_run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restriction_enzymes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cai_organism</w:t>
      </w:r>
      <w:r>
        <w:t xml:space="preserve">, so QC rules are tunable</w:t>
      </w:r>
      <w:r>
        <w:t xml:space="preserve"> </w:t>
      </w:r>
      <w:r>
        <w:t xml:space="preserve">per programme/modality.</w:t>
      </w:r>
    </w:p>
    <w:p>
      <w:pPr>
        <w:pStyle w:val="BodyText"/>
      </w:pPr>
      <w:r>
        <w:t xml:space="preserve">Output: an</w:t>
      </w:r>
      <w:r>
        <w:t xml:space="preserve"> </w:t>
      </w:r>
      <w:r>
        <w:rPr>
          <w:rStyle w:val="VerbatimChar"/>
        </w:rPr>
        <w:t xml:space="preserve">AnalysisReport</w:t>
      </w:r>
      <w:r>
        <w:t xml:space="preserve"> </w:t>
      </w:r>
      <w:r>
        <w:t xml:space="preserve">dataclass holding every result + a</w:t>
      </w:r>
      <w:r>
        <w:t xml:space="preserve"> </w:t>
      </w:r>
      <w:r>
        <w:rPr>
          <w:rStyle w:val="VerbatimChar"/>
        </w:rPr>
        <w:t xml:space="preserve">to_dict()</w:t>
      </w:r>
      <w:r>
        <w:t xml:space="preserve"> </w:t>
      </w:r>
      <w:r>
        <w:t xml:space="preserve">for the worklist/table.</w:t>
      </w:r>
    </w:p>
    <w:p>
      <w:r>
        <w:pict>
          <v:rect style="width:0;height:1.5pt" o:hralign="center" o:hrstd="t" o:hr="t"/>
        </w:pict>
      </w:r>
    </w:p>
    <w:bookmarkEnd w:id="19"/>
    <w:bookmarkStart w:id="23" w:name="liability-qc-scoring"/>
    <w:p>
      <w:pPr>
        <w:pStyle w:val="Heading2"/>
      </w:pPr>
      <w:r>
        <w:t xml:space="preserve">5. Liability / QC scoring</w:t>
      </w:r>
    </w:p>
    <w:p>
      <w:pPr>
        <w:pStyle w:val="FirstParagraph"/>
      </w:pPr>
      <w:r>
        <w:rPr>
          <w:rStyle w:val="VerbatimChar"/>
        </w:rPr>
        <w:t xml:space="preserve">core/analysis/liability.py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assess_liabilities(report, seq)</w:t>
      </w:r>
      <w:r>
        <w:t xml:space="preserve"> </w:t>
      </w:r>
      <w:r>
        <w:t xml:space="preserve">rolls the analysis into a</w:t>
      </w:r>
      <w:r>
        <w:t xml:space="preserve"> </w:t>
      </w:r>
      <w:r>
        <w:rPr>
          <w:b/>
          <w:bCs/>
        </w:rPr>
        <w:t xml:space="preserve">severity-ranked list of flags + a 0–100 QC score + a verdict</w:t>
      </w:r>
      <w:r>
        <w:t xml:space="preserve"> </w:t>
      </w:r>
      <w:r>
        <w:t xml:space="preserve">(pass / review / fail).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Flags</w:t>
      </w:r>
      <w:r>
        <w:t xml:space="preserve"> </w:t>
      </w:r>
      <w:r>
        <w:t xml:space="preserve">(each with severity, detail, location, recommendation) cover: GC out of range,</w:t>
      </w:r>
      <w:r>
        <w:t xml:space="preserve"> </w:t>
      </w:r>
      <w:r>
        <w:t xml:space="preserve">homopolymer runs (excluding the legitimate poly-A tail), restriction sites, elevated</w:t>
      </w:r>
      <w:r>
        <w:t xml:space="preserve"> </w:t>
      </w:r>
      <w:r>
        <w:t xml:space="preserve">uridine, CDS integrity, weak Kozak, strong structure, and sequence motifs.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 → penalty:</w:t>
      </w:r>
      <w:r>
        <w:t xml:space="preserve"> </w:t>
      </w:r>
      <w:r>
        <w:t xml:space="preserve">critical −25, warning −10, info −3.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max(0, 100 − Σ penalties)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any critical →</w:t>
      </w:r>
      <w:r>
        <w:t xml:space="preserve"> </w:t>
      </w:r>
      <w:r>
        <w:rPr>
          <w:i/>
          <w:iCs/>
        </w:rPr>
        <w:t xml:space="preserve">fail</w:t>
      </w:r>
      <w:r>
        <w:t xml:space="preserve">; else any warning →</w:t>
      </w:r>
      <w:r>
        <w:t xml:space="preserve"> </w:t>
      </w:r>
      <w:r>
        <w:rPr>
          <w:i/>
          <w:iCs/>
        </w:rPr>
        <w:t xml:space="preserve">review</w:t>
      </w:r>
      <w:r>
        <w:t xml:space="preserve">; else</w:t>
      </w:r>
      <w:r>
        <w:t xml:space="preserve"> </w:t>
      </w:r>
      <w:r>
        <w:rPr>
          <w:i/>
          <w:iCs/>
        </w:rPr>
        <w:t xml:space="preserve">pass</w:t>
      </w:r>
      <w:r>
        <w:t xml:space="preserve">.</w:t>
      </w:r>
    </w:p>
    <w:p>
      <w:pPr>
        <w:pStyle w:val="FirstParagraph"/>
      </w:pPr>
      <w:r>
        <w:t xml:space="preserve">Surfaced as a scorecard (analysis dashboard / candidate inspect) and as</w:t>
      </w:r>
      <w:r>
        <w:t xml:space="preserve"> </w:t>
      </w:r>
      <w:r>
        <w:rPr>
          <w:b/>
          <w:bCs/>
        </w:rPr>
        <w:t xml:space="preserve">QC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Liabilities</w:t>
      </w:r>
      <w:r>
        <w:t xml:space="preserve"> </w:t>
      </w:r>
      <w:r>
        <w:t xml:space="preserve">columns in the worklist.</w:t>
      </w:r>
    </w:p>
    <w:p>
      <w:pPr>
        <w:pStyle w:val="CaptionedFigure"/>
      </w:pPr>
      <w:r>
        <w:drawing>
          <wp:inline>
            <wp:extent cx="5334000" cy="3198115"/>
            <wp:effectExtent b="0" l="0" r="0" t="0"/>
            <wp:docPr descr="Per-sequence liability breakdown — a 0–100 QC score, a pass/review/fail verdict, severity counts, and each flag with its location and recommendation." title="" id="21" name="Picture"/>
            <a:graphic>
              <a:graphicData uri="http://schemas.openxmlformats.org/drawingml/2006/picture">
                <pic:pic>
                  <pic:nvPicPr>
                    <pic:cNvPr descr="images/liability-breakdown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Per-sequence liability breakdown — a 0–100 QC score, a pass/review/fail verdict, severity counts, and each flag with its location and recommendation.</w:t>
      </w:r>
    </w:p>
    <w:p>
      <w:r>
        <w:pict>
          <v:rect style="width:0;height:1.5pt" o:hralign="center" o:hrstd="t" o:hr="t"/>
        </w:pict>
      </w:r>
    </w:p>
    <w:bookmarkEnd w:id="23"/>
    <w:bookmarkStart w:id="27" w:name="candidate-objective-scoring"/>
    <w:p>
      <w:pPr>
        <w:pStyle w:val="Heading2"/>
      </w:pPr>
      <w:r>
        <w:t xml:space="preserve">6. Candidate objective scoring</w:t>
      </w:r>
    </w:p>
    <w:p>
      <w:pPr>
        <w:pStyle w:val="FirstParagraph"/>
      </w:pPr>
      <w:r>
        <w:rPr>
          <w:rStyle w:val="VerbatimChar"/>
        </w:rPr>
        <w:t xml:space="preserve">core/analysis/candidate_score.py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score_objectives(report)</w:t>
      </w:r>
      <w:r>
        <w:t xml:space="preserve"> </w:t>
      </w:r>
      <w:r>
        <w:t xml:space="preserve">condenses the report into the</w:t>
      </w:r>
      <w:r>
        <w:t xml:space="preserve"> </w:t>
      </w:r>
      <w:r>
        <w:t xml:space="preserve">four objectives mRNA designers trade off, each</w:t>
      </w:r>
      <w:r>
        <w:t xml:space="preserve"> </w:t>
      </w:r>
      <w:r>
        <w:rPr>
          <w:b/>
          <w:bCs/>
        </w:rPr>
        <w:t xml:space="preserve">0–100, higher is better</w:t>
      </w:r>
      <w:r>
        <w:t xml:space="preserve">. These are</w:t>
      </w:r>
      <w:r>
        <w:t xml:space="preserve"> </w:t>
      </w:r>
      <w:r>
        <w:rPr>
          <w:b/>
          <w:bCs/>
        </w:rPr>
        <w:t xml:space="preserve">transparent weighted heuristics, not trained models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Formula (summary)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 × CAI(0–100) + 0.4 × Kozak</w:t>
            </w:r>
            <w:r>
              <w:t xml:space="preserve"> </w:t>
            </w:r>
            <w:r>
              <w:t xml:space="preserve">(strong 100 / adequate 70 / weak 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GC distance from 50–60% optimal band, − homopolymer penalty, + folding-MFE bonus if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Immunogenicity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100 − (uridine% − 20)×3 − 8 × high-U stretches</w:t>
            </w:r>
            <w:r>
              <w:t xml:space="preserve"> </w:t>
            </w:r>
            <w:r>
              <w:t xml:space="preserve">(low U = high score)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Manufacturability</w:t>
            </w:r>
          </w:p>
        </w:tc>
        <w:tc>
          <w:tcPr/>
          <w:p>
            <w:pPr>
              <w:pStyle w:val="Compact"/>
            </w:pPr>
            <w:r>
              <w:t xml:space="preserve">100 − penalties for restriction sites / homopolymers / GC extremes / splice motifs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weighted mean: Expression 30% · Stability 25% · Immunogenicity 20% · Manufacturability 25%</w:t>
            </w:r>
          </w:p>
        </w:tc>
      </w:tr>
    </w:tbl>
    <w:p>
      <w:pPr>
        <w:pStyle w:val="BodyText"/>
      </w:pPr>
      <w:r>
        <w:t xml:space="preserve">All scores clamp to 0–100; missing metrics fall back to neutral defaults. The Candidate</w:t>
      </w:r>
      <w:r>
        <w:t xml:space="preserve"> </w:t>
      </w:r>
      <w:r>
        <w:t xml:space="preserve">Analysis tab ranks by Overall, colour-codes by band, and shortlists the top N.</w:t>
      </w:r>
    </w:p>
    <w:p>
      <w:pPr>
        <w:pStyle w:val="CaptionedFigure"/>
      </w:pPr>
      <w:r>
        <w:drawing>
          <wp:inline>
            <wp:extent cx="5334000" cy="3198115"/>
            <wp:effectExtent b="0" l="0" r="0" t="0"/>
            <wp:docPr descr="Candidate Analysis — the comparison scorecard ranking every candidate across the four objectives, with the top-N shortlist (★) and a per-candidate sequence/structure map below." title="" id="25" name="Picture"/>
            <a:graphic>
              <a:graphicData uri="http://schemas.openxmlformats.org/drawingml/2006/picture">
                <pic:pic>
                  <pic:nvPicPr>
                    <pic:cNvPr descr="images/candidate-analysis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Candidate Analysis — the comparison scorecard ranking every candidate across the four objectives, with the top-N shortlist (★) and a per-candidate sequence/structure map below.</w:t>
      </w:r>
    </w:p>
    <w:p>
      <w:r>
        <w:pict>
          <v:rect style="width:0;height:1.5pt" o:hralign="center" o:hrstd="t" o:hr="t"/>
        </w:pict>
      </w:r>
    </w:p>
    <w:bookmarkEnd w:id="27"/>
    <w:bookmarkStart w:id="28" w:name="codon-optimization-analysis"/>
    <w:p>
      <w:pPr>
        <w:pStyle w:val="Heading2"/>
      </w:pPr>
      <w:r>
        <w:t xml:space="preserve">7. Codon-optimization analysis</w:t>
      </w:r>
    </w:p>
    <w:p>
      <w:pPr>
        <w:pStyle w:val="FirstParagraph"/>
      </w:pPr>
      <w:r>
        <w:rPr>
          <w:rStyle w:val="VerbatimChar"/>
        </w:rPr>
        <w:t xml:space="preserve">core/analysis/codon_analysis.py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analyze_codons(cds, organism)</w:t>
      </w:r>
      <w:r>
        <w:t xml:space="preserve"> </w:t>
      </w:r>
      <w:r>
        <w:t xml:space="preserve">provides per-codon detail: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Per-codon optimality</w:t>
      </w:r>
      <w:r>
        <w:t xml:space="preserve"> </w:t>
      </w:r>
      <w:r>
        <w:t xml:space="preserve">— each codon’s relative adaptiveness (0–1) vs the best synonym.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%MinMax profile</w:t>
      </w:r>
      <w:r>
        <w:t xml:space="preserve"> </w:t>
      </w:r>
      <w:r>
        <w:t xml:space="preserve">— classic sliding-window measure (positive = common/fast codons,</w:t>
      </w:r>
      <w:r>
        <w:t xml:space="preserve"> </w:t>
      </w:r>
      <w:r>
        <w:t xml:space="preserve">negative = rare/slow clusters that stall ribosomes).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Rare-codon clusters</w:t>
      </w:r>
      <w:r>
        <w:t xml:space="preserve"> </w:t>
      </w:r>
      <w:r>
        <w:t xml:space="preserve">— runs of low-optimality codons worth recoding.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Original-vs-optimized projection</w:t>
      </w:r>
      <w:r>
        <w:t xml:space="preserve"> </w:t>
      </w:r>
      <w:r>
        <w:t xml:space="preserve">— projected CAI gain and rare-codon reduction if the</w:t>
      </w:r>
      <w:r>
        <w:t xml:space="preserve"> </w:t>
      </w:r>
      <w:r>
        <w:t xml:space="preserve">CDS were optimized for the host (reuses</w:t>
      </w:r>
      <w:r>
        <w:t xml:space="preserve"> </w:t>
      </w:r>
      <w:r>
        <w:rPr>
          <w:rStyle w:val="VerbatimChar"/>
        </w:rPr>
        <w:t xml:space="preserve">core/sequence_tools/codon_optimizer.py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the-model-system-pluggable-ai"/>
    <w:p>
      <w:pPr>
        <w:pStyle w:val="Heading2"/>
      </w:pPr>
      <w:r>
        <w:t xml:space="preserve">8. The model system (pluggable AI)</w:t>
      </w:r>
    </w:p>
    <w:p>
      <w:pPr>
        <w:pStyle w:val="FirstParagraph"/>
      </w:pPr>
      <w:r>
        <w:t xml:space="preserve">This is where ML lives —</w:t>
      </w:r>
      <w:r>
        <w:t xml:space="preserve"> </w:t>
      </w:r>
      <w:r>
        <w:rPr>
          <w:b/>
          <w:bCs/>
        </w:rPr>
        <w:t xml:space="preserve">separate from the deterministic analysis pipeline</w:t>
      </w:r>
      <w:r>
        <w:t xml:space="preserve">. Defined in</w:t>
      </w:r>
      <w:r>
        <w:t xml:space="preserve"> </w:t>
      </w:r>
      <w:r>
        <w:rPr>
          <w:rStyle w:val="VerbatimChar"/>
        </w:rPr>
        <w:t xml:space="preserve">models/base.py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ScoringModel</w:t>
      </w:r>
      <w:r>
        <w:t xml:space="preserve"> </w:t>
      </w:r>
      <w:r>
        <w:t xml:space="preserve">(ABC)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score(sequence) → 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score_batch(...)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GenerativeModel</w:t>
      </w:r>
      <w:r>
        <w:t xml:space="preserve"> </w:t>
      </w:r>
      <w:r>
        <w:t xml:space="preserve">(ABC) —</w:t>
      </w:r>
      <w:r>
        <w:t xml:space="preserve"> </w:t>
      </w:r>
      <w:r>
        <w:rPr>
          <w:rStyle w:val="VerbatimChar"/>
        </w:rPr>
        <w:t xml:space="preserve">generate(constraints, n, seed) → [sequences]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APIScoringModel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APIGenerativeModel</w:t>
      </w:r>
      <w:r>
        <w:t xml:space="preserve"> </w:t>
      </w:r>
      <w:r>
        <w:t xml:space="preserve">— wrap a remote REST endpoint (POST sequences → scores/sequences).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ModelRegistry</w:t>
      </w:r>
      <w:r>
        <w:t xml:space="preserve"> </w:t>
      </w:r>
      <w:r>
        <w:t xml:space="preserve">— registers models from a local Python file (</w:t>
      </w:r>
      <w:r>
        <w:rPr>
          <w:rStyle w:val="VerbatimChar"/>
        </w:rPr>
        <w:t xml:space="preserve">load_local</w:t>
      </w:r>
      <w:r>
        <w:t xml:space="preserve">) or an API</w:t>
      </w:r>
      <w:r>
        <w:t xml:space="preserve"> </w:t>
      </w:r>
      <w:r>
        <w:t xml:space="preserve">endpoint; exposes</w:t>
      </w:r>
      <w:r>
        <w:t xml:space="preserve"> </w:t>
      </w:r>
      <w:r>
        <w:rPr>
          <w:rStyle w:val="VerbatimChar"/>
        </w:rPr>
        <w:t xml:space="preserve">scoring_models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generative_models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run_scoring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run_generation</w:t>
      </w:r>
      <w:r>
        <w:t xml:space="preserve">.</w:t>
      </w:r>
    </w:p>
    <w:p>
      <w:pPr>
        <w:pStyle w:val="FirstParagraph"/>
      </w:pPr>
      <w:r>
        <w:t xml:space="preserve">Built-in example scorers:</w:t>
      </w:r>
      <w:r>
        <w:t xml:space="preserve"> </w:t>
      </w:r>
      <w:r>
        <w:rPr>
          <w:rStyle w:val="VerbatimChar"/>
        </w:rPr>
        <w:t xml:space="preserve">models/mrna_stability_scorer.py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models/rna_structure_scorer.py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models/catalog.py</w:t>
      </w:r>
      <w:r>
        <w:t xml:space="preserve"> </w:t>
      </w:r>
      <w:r>
        <w:t xml:space="preserve">lists public models that can be imported.</w:t>
      </w:r>
    </w:p>
    <w:p>
      <w:pPr>
        <w:pStyle w:val="BodyText"/>
      </w:pPr>
      <w:r>
        <w:rPr>
          <w:b/>
          <w:bCs/>
        </w:rPr>
        <w:t xml:space="preserve">Framing:</w:t>
      </w:r>
      <w:r>
        <w:t xml:space="preserve"> </w:t>
      </w:r>
      <w:r>
        <w:t xml:space="preserve">the platform is AI-</w:t>
      </w:r>
      <w:r>
        <w:rPr>
          <w:i/>
          <w:iCs/>
        </w:rPr>
        <w:t xml:space="preserve">enabling</w:t>
      </w:r>
      <w:r>
        <w:t xml:space="preserve"> </w:t>
      </w:r>
      <w:r>
        <w:t xml:space="preserve">infrastructure — structured data in, models run</w:t>
      </w:r>
      <w:r>
        <w:t xml:space="preserve"> </w:t>
      </w:r>
      <w:r>
        <w:t xml:space="preserve">against it, every run tracked. The intelligence plugs in; the platform is not itself a model.</w:t>
      </w:r>
    </w:p>
    <w:p>
      <w:r>
        <w:pict>
          <v:rect style="width:0;height:1.5pt" o:hralign="center" o:hrstd="t" o:hr="t"/>
        </w:pict>
      </w:r>
    </w:p>
    <w:bookmarkEnd w:id="29"/>
    <w:bookmarkStart w:id="30" w:name="experiment-run-tracking"/>
    <w:p>
      <w:pPr>
        <w:pStyle w:val="Heading2"/>
      </w:pPr>
      <w:r>
        <w:t xml:space="preserve">9. Experiment / run tracking</w:t>
      </w:r>
    </w:p>
    <w:p>
      <w:pPr>
        <w:pStyle w:val="FirstParagraph"/>
      </w:pPr>
      <w:r>
        <w:rPr>
          <w:rStyle w:val="VerbatimChar"/>
        </w:rPr>
        <w:t xml:space="preserve">models/runs.py</w:t>
      </w:r>
      <w:r>
        <w:t xml:space="preserve"> </w:t>
      </w:r>
      <w:r>
        <w:t xml:space="preserve">records every scoring run: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ModelRun</w:t>
      </w:r>
      <w:r>
        <w:t xml:space="preserve"> </w:t>
      </w:r>
      <w:r>
        <w:t xml:space="preserve">— model name + version + source, worklist, N, score min/max/mean/std,</w:t>
      </w:r>
      <w:r>
        <w:t xml:space="preserve"> </w:t>
      </w:r>
      <w:r>
        <w:t xml:space="preserve">timestamp, and the per-sequence scores.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RunHistory</w:t>
      </w:r>
      <w:r>
        <w:t xml:space="preserve"> </w:t>
      </w:r>
      <w:r>
        <w:t xml:space="preserve">— append-only store;</w:t>
      </w:r>
      <w:r>
        <w:t xml:space="preserve"> </w:t>
      </w:r>
      <w:r>
        <w:rPr>
          <w:rStyle w:val="VerbatimChar"/>
        </w:rPr>
        <w:t xml:space="preserve">for_model()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model_names()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compare(run_a, run_b)</w:t>
      </w:r>
      <w:r>
        <w:t xml:space="preserve"> </w:t>
      </w:r>
      <w:r>
        <w:t xml:space="preserve">→ a</w:t>
      </w:r>
      <w:r>
        <w:t xml:space="preserve"> </w:t>
      </w:r>
      <w:r>
        <w:rPr>
          <w:rStyle w:val="VerbatimChar"/>
        </w:rPr>
        <w:t xml:space="preserve">RunComparison</w:t>
      </w:r>
      <w:r>
        <w:t xml:space="preserve"> </w:t>
      </w:r>
      <w:r>
        <w:t xml:space="preserve">with per-sequence deltas and</w:t>
      </w:r>
      <w:r>
        <w:t xml:space="preserve"> </w:t>
      </w:r>
      <w:r>
        <w:t xml:space="preserve">improved/worsened/unchanged counts.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Experiments</w:t>
      </w:r>
      <w:r>
        <w:t xml:space="preserve"> </w:t>
      </w:r>
      <w:r>
        <w:t xml:space="preserve">tab shows registered model versions, the run history, and a</w:t>
      </w:r>
      <w:r>
        <w:t xml:space="preserve"> </w:t>
      </w:r>
      <w:r>
        <w:t xml:space="preserve">version-to-version comparison. This is the</w:t>
      </w:r>
      <w:r>
        <w:t xml:space="preserve"> </w:t>
      </w:r>
      <w:r>
        <w:t xml:space="preserve">“Learn”</w:t>
      </w:r>
      <w:r>
        <w:t xml:space="preserve"> </w:t>
      </w:r>
      <w:r>
        <w:t xml:space="preserve">scaffolding of the DBTL loop.</w:t>
      </w:r>
    </w:p>
    <w:p>
      <w:r>
        <w:pict>
          <v:rect style="width:0;height:1.5pt" o:hralign="center" o:hrstd="t" o:hr="t"/>
        </w:pict>
      </w:r>
    </w:p>
    <w:bookmarkEnd w:id="30"/>
    <w:bookmarkStart w:id="31" w:name="the-data-layer"/>
    <w:p>
      <w:pPr>
        <w:pStyle w:val="Heading2"/>
      </w:pPr>
      <w:r>
        <w:t xml:space="preserve">10. The data layer</w:t>
      </w:r>
    </w:p>
    <w:p>
      <w:pPr>
        <w:pStyle w:val="FirstParagraph"/>
      </w:pPr>
      <w:r>
        <w:rPr>
          <w:rStyle w:val="VerbatimChar"/>
        </w:rPr>
        <w:t xml:space="preserve">core/database/</w:t>
      </w:r>
      <w:r>
        <w:t xml:space="preserve"> </w:t>
      </w:r>
      <w:r>
        <w:t xml:space="preserve">provides a uniform import interface: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base.py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DatabaseConnector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SchemaMapper</w:t>
      </w:r>
      <w:r>
        <w:t xml:space="preserve"> </w:t>
      </w:r>
      <w:r>
        <w:t xml:space="preserve">(maps arbitrary</w:t>
      </w:r>
      <w:r>
        <w:t xml:space="preserve"> </w:t>
      </w:r>
      <w:r>
        <w:t xml:space="preserve">source columns to the canonical</w:t>
      </w:r>
      <w:r>
        <w:t xml:space="preserve"> </w:t>
      </w:r>
      <w:r>
        <w:rPr>
          <w:rStyle w:val="VerbatimChar"/>
        </w:rPr>
        <w:t xml:space="preserve">mRNASequence</w:t>
      </w:r>
      <w:r>
        <w:t xml:space="preserve"> </w:t>
      </w:r>
      <w:r>
        <w:t xml:space="preserve">model).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postgres.py</w:t>
      </w:r>
      <w:r>
        <w:t xml:space="preserve"> </w:t>
      </w:r>
      <w:r>
        <w:t xml:space="preserve">(SQLAlchemy + psycopg2),</w:t>
      </w:r>
      <w:r>
        <w:t xml:space="preserve"> </w:t>
      </w:r>
      <w:r>
        <w:rPr>
          <w:rStyle w:val="VerbatimChar"/>
          <w:b/>
          <w:bCs/>
        </w:rPr>
        <w:t xml:space="preserve">sqlite.py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csv_importer.py</w:t>
      </w:r>
      <w:r>
        <w:t xml:space="preserve"> </w:t>
      </w:r>
      <w:r>
        <w:t xml:space="preserve">(CSV/Excel).</w:t>
      </w:r>
    </w:p>
    <w:p>
      <w:pPr>
        <w:pStyle w:val="FirstParagraph"/>
      </w:pPr>
      <w:r>
        <w:t xml:space="preserve">Core models (</w:t>
      </w:r>
      <w:r>
        <w:rPr>
          <w:rStyle w:val="VerbatimChar"/>
        </w:rPr>
        <w:t xml:space="preserve">core/models/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mRNASequence</w:t>
      </w:r>
      <w:r>
        <w:t xml:space="preserve"> </w:t>
      </w:r>
      <w:r>
        <w:t xml:space="preserve">— the canonical record: optional components (5′UTR, Kozak, CDS, 3′UTR,</w:t>
      </w:r>
      <w:r>
        <w:t xml:space="preserve"> </w:t>
      </w:r>
      <w:r>
        <w:t xml:space="preserve">poly-A) or a</w:t>
      </w:r>
      <w:r>
        <w:t xml:space="preserve"> </w:t>
      </w:r>
      <w:r>
        <w:rPr>
          <w:rStyle w:val="VerbatimChar"/>
        </w:rPr>
        <w:t xml:space="preserve">full_mrna</w:t>
      </w:r>
      <w:r>
        <w:t xml:space="preserve">, plus metadata;</w:t>
      </w:r>
      <w:r>
        <w:t xml:space="preserve"> </w:t>
      </w:r>
      <w:r>
        <w:rPr>
          <w:rStyle w:val="VerbatimChar"/>
        </w:rPr>
        <w:t xml:space="preserve">assembled_sequence</w:t>
      </w:r>
      <w:r>
        <w:t xml:space="preserve"> </w:t>
      </w:r>
      <w:r>
        <w:t xml:space="preserve">concatenates components.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Worklist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WorklistItem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PlasmidBackbone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SequencePart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onfiguration"/>
    <w:p>
      <w:pPr>
        <w:pStyle w:val="Heading2"/>
      </w:pPr>
      <w:r>
        <w:t xml:space="preserve">11. Configuration</w:t>
      </w:r>
    </w:p>
    <w:p>
      <w:pPr>
        <w:pStyle w:val="FirstParagraph"/>
      </w:pPr>
      <w:r>
        <w:t xml:space="preserve">Environment variables 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 loaded via python-dotenv):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MRNA_STUDIO_PASSWORD</w:t>
            </w:r>
          </w:p>
        </w:tc>
        <w:tc>
          <w:tcPr/>
          <w:p>
            <w:pPr>
              <w:pStyle w:val="Compact"/>
            </w:pPr>
            <w:r>
              <w:t xml:space="preserve">Single shared password (any username) — enables the login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MRNA_STUDIO_USERS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{"user": "pass"}</w:t>
            </w:r>
            <w:r>
              <w:t xml:space="preserve"> </w:t>
            </w:r>
            <w:r>
              <w:t xml:space="preserve">for multiple users (overrides the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MRNA_STUDIO_COOKIE_SECRET</w:t>
            </w:r>
          </w:p>
        </w:tc>
        <w:tc>
          <w:tcPr/>
          <w:p>
            <w:pPr>
              <w:pStyle w:val="Compact"/>
            </w:pPr>
            <w:r>
              <w:t xml:space="preserve">Session-cookie signing secret (set in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Server bind (default 5007 / 0.0.0.0; platforms set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automatically)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MRNA_STUDIO_RELOAD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enables hot-reload in development</w:t>
            </w:r>
          </w:p>
        </w:tc>
      </w:tr>
    </w:tbl>
    <w:p>
      <w:pPr>
        <w:pStyle w:val="BodyText"/>
      </w:pPr>
      <w:r>
        <w:t xml:space="preserve">If neither password variable is set, the app runs open (no login).</w:t>
      </w:r>
    </w:p>
    <w:p>
      <w:r>
        <w:pict>
          <v:rect style="width:0;height:1.5pt" o:hralign="center" o:hrstd="t" o:hr="t"/>
        </w:pict>
      </w:r>
    </w:p>
    <w:bookmarkEnd w:id="32"/>
    <w:bookmarkStart w:id="33" w:name="running-it"/>
    <w:p>
      <w:pPr>
        <w:pStyle w:val="Heading2"/>
      </w:pPr>
      <w:r>
        <w:t xml:space="preserve">12. Running it</w:t>
      </w:r>
    </w:p>
    <w:p>
      <w:pPr>
        <w:pStyle w:val="FirstParagraph"/>
      </w:pPr>
      <w:r>
        <w:t xml:space="preserve">Prerequisites: a terminal with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(no system Python needed — setup installs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+ Python 3.13).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setup     </w:t>
      </w:r>
      <w:r>
        <w:rPr>
          <w:rStyle w:val="CommentTok"/>
        </w:rPr>
        <w:t xml:space="preserve"># install uv, Python 3.13, venv, dependencies (~1 min)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     </w:t>
      </w:r>
      <w:r>
        <w:rPr>
          <w:rStyle w:val="CommentTok"/>
        </w:rPr>
        <w:t xml:space="preserve"># start at http://localhost:5007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run-secure  </w:t>
      </w:r>
      <w:r>
        <w:rPr>
          <w:rStyle w:val="CommentTok"/>
        </w:rPr>
        <w:t xml:space="preserve"># password-protected (requires .env)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run the test suite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      </w:t>
      </w:r>
      <w:r>
        <w:rPr>
          <w:rStyle w:val="CommentTok"/>
        </w:rPr>
        <w:t xml:space="preserve"># ruff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kill      </w:t>
      </w:r>
      <w:r>
        <w:rPr>
          <w:rStyle w:val="CommentTok"/>
        </w:rPr>
        <w:t xml:space="preserve"># stop the app</w:t>
      </w:r>
    </w:p>
    <w:p>
      <w:pPr>
        <w:pStyle w:val="FirstParagraph"/>
      </w:pPr>
      <w:r>
        <w:t xml:space="preserve">Optional demo database (Docker):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db-up     </w:t>
      </w:r>
      <w:r>
        <w:rPr>
          <w:rStyle w:val="CommentTok"/>
        </w:rPr>
        <w:t xml:space="preserve"># start demo PostgreSQL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db-down   </w:t>
      </w:r>
      <w:r>
        <w:rPr>
          <w:rStyle w:val="CommentTok"/>
        </w:rPr>
        <w:t xml:space="preserve"># stop it</w:t>
      </w:r>
    </w:p>
    <w:p>
      <w:pPr>
        <w:pStyle w:val="FirstParagraph"/>
      </w:pPr>
      <w:r>
        <w:t xml:space="preserve">Sample data lives in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 </w:t>
      </w:r>
      <w:r>
        <w:t xml:space="preserve">(</w:t>
      </w:r>
      <w:r>
        <w:rPr>
          <w:rStyle w:val="VerbatimChar"/>
        </w:rPr>
        <w:t xml:space="preserve">demo_sequences_extended.csv</w:t>
      </w:r>
      <w:r>
        <w:t xml:space="preserve"> </w:t>
      </w:r>
      <w:r>
        <w:t xml:space="preserve">is the richest).</w:t>
      </w:r>
    </w:p>
    <w:p>
      <w:r>
        <w:pict>
          <v:rect style="width:0;height:1.5pt" o:hralign="center" o:hrstd="t" o:hr="t"/>
        </w:pict>
      </w:r>
    </w:p>
    <w:bookmarkEnd w:id="33"/>
    <w:bookmarkStart w:id="34" w:name="deployment"/>
    <w:p>
      <w:pPr>
        <w:pStyle w:val="Heading2"/>
      </w:pPr>
      <w:r>
        <w:t xml:space="preserve">13. Deployment</w:t>
      </w:r>
    </w:p>
    <w:p>
      <w:pPr>
        <w:pStyle w:val="FirstParagraph"/>
      </w:pPr>
      <w:r>
        <w:t xml:space="preserve">The app is containerised (</w:t>
      </w:r>
      <w:r>
        <w:rPr>
          <w:rStyle w:val="VerbatimChar"/>
        </w:rPr>
        <w:t xml:space="preserve">Dockerfile</w:t>
      </w:r>
      <w:r>
        <w:t xml:space="preserve">) and reads</w:t>
      </w:r>
      <w:r>
        <w:t xml:space="preserve"> </w:t>
      </w:r>
      <w:r>
        <w:rPr>
          <w:rStyle w:val="VerbatimChar"/>
        </w:rPr>
        <w:t xml:space="preserve">PORT</w:t>
      </w:r>
      <w:r>
        <w:t xml:space="preserve">/</w:t>
      </w:r>
      <w:r>
        <w:rPr>
          <w:rStyle w:val="VerbatimChar"/>
        </w:rPr>
        <w:t xml:space="preserve">HOST</w:t>
      </w:r>
      <w:r>
        <w:t xml:space="preserve"> </w:t>
      </w:r>
      <w:r>
        <w:t xml:space="preserve">from the environment, so it</w:t>
      </w:r>
      <w:r>
        <w:t xml:space="preserve"> </w:t>
      </w:r>
      <w:r>
        <w:t xml:space="preserve">runs on any container host.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Hosted demo:</w:t>
      </w:r>
      <w:r>
        <w:t xml:space="preserve"> </w:t>
      </w:r>
      <w:r>
        <w:t xml:space="preserve">Hugging Face Spaces (Docker SDK,</w:t>
      </w:r>
      <w:r>
        <w:t xml:space="preserve"> </w:t>
      </w:r>
      <w:r>
        <w:rPr>
          <w:rStyle w:val="VerbatimChar"/>
        </w:rPr>
        <w:t xml:space="preserve">app_port: 5007</w:t>
      </w:r>
      <w:r>
        <w:t xml:space="preserve">).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MRNA_STUDIO_PASSWORD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MRNA_STUDIO_COOKIE_SECRET</w:t>
      </w:r>
      <w:r>
        <w:t xml:space="preserve">) are set in Space settings.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Also supported:</w:t>
      </w:r>
      <w:r>
        <w:t xml:space="preserve"> </w:t>
      </w:r>
      <w:r>
        <w:t xml:space="preserve">Railway, Render, local Docker (</w:t>
      </w:r>
      <w:r>
        <w:rPr>
          <w:rStyle w:val="VerbatimChar"/>
        </w:rPr>
        <w:t xml:space="preserve">make docker-build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docker-run</w:t>
      </w:r>
      <w:r>
        <w:t xml:space="preserve">).</w:t>
      </w:r>
    </w:p>
    <w:p>
      <w:pPr>
        <w:pStyle w:val="FirstParagraph"/>
      </w:pPr>
      <w:r>
        <w:t xml:space="preserve">Note: ViennaRNA is optional and not in the hosted image — secondary-structure results show as</w:t>
      </w:r>
      <w:r>
        <w:t xml:space="preserve"> </w:t>
      </w:r>
      <w:r>
        <w:t xml:space="preserve">a stub there; all other analyses run.</w:t>
      </w:r>
    </w:p>
    <w:p>
      <w:r>
        <w:pict>
          <v:rect style="width:0;height:1.5pt" o:hralign="center" o:hrstd="t" o:hr="t"/>
        </w:pict>
      </w:r>
    </w:p>
    <w:bookmarkEnd w:id="34"/>
    <w:bookmarkStart w:id="35" w:name="testing"/>
    <w:p>
      <w:pPr>
        <w:pStyle w:val="Heading2"/>
      </w:pPr>
      <w:r>
        <w:t xml:space="preserve">14. Testing</w:t>
      </w:r>
    </w:p>
    <w:p>
      <w:pPr>
        <w:pStyle w:val="FirstParagraph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suite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(run with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):</w:t>
      </w:r>
      <w:r>
        <w:t xml:space="preserve"> </w:t>
      </w:r>
      <w:r>
        <w:rPr>
          <w:rStyle w:val="VerbatimChar"/>
        </w:rPr>
        <w:t xml:space="preserve">test_analysis.py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test_liability.py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test_candidate_score.py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test_codon_analysis.py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test_runs.py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test_database.py</w:t>
      </w:r>
      <w:r>
        <w:t xml:space="preserve">. The pure-core design means the analysis, scoring, and</w:t>
      </w:r>
      <w:r>
        <w:t xml:space="preserve"> </w:t>
      </w:r>
      <w:r>
        <w:t xml:space="preserve">model logic are all unit-tested without the UI.</w:t>
      </w:r>
      <w:r>
        <w:t xml:space="preserve"> </w:t>
      </w:r>
      <w:r>
        <w:rPr>
          <w:b/>
          <w:bCs/>
        </w:rPr>
        <w:t xml:space="preserve">118 tests</w:t>
      </w:r>
      <w:r>
        <w:t xml:space="preserve"> </w:t>
      </w:r>
      <w:r>
        <w:t xml:space="preserve">at time of writing.</w:t>
      </w:r>
    </w:p>
    <w:p>
      <w:r>
        <w:pict>
          <v:rect style="width:0;height:1.5pt" o:hralign="center" o:hrstd="t" o:hr="t"/>
        </w:pict>
      </w:r>
    </w:p>
    <w:bookmarkEnd w:id="35"/>
    <w:bookmarkStart w:id="36" w:name="project-structure"/>
    <w:p>
      <w:pPr>
        <w:pStyle w:val="Heading2"/>
      </w:pPr>
      <w:r>
        <w:t xml:space="preserve">15. Project structure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  analysis/        analyzer.py + GC, CAI, homopolymers, restriction_sites, kozak,</w:t>
      </w:r>
      <w:r>
        <w:br/>
      </w:r>
      <w:r>
        <w:rPr>
          <w:rStyle w:val="VerbatimChar"/>
        </w:rPr>
        <w:t xml:space="preserve">                   structure, uridine, motifs, liability, candidate_score, codon_analysis</w:t>
      </w:r>
      <w:r>
        <w:br/>
      </w:r>
      <w:r>
        <w:rPr>
          <w:rStyle w:val="VerbatimChar"/>
        </w:rPr>
        <w:t xml:space="preserve">  database/        base (SchemaMapper) + postgres / sqlite / csv importers</w:t>
      </w:r>
      <w:r>
        <w:br/>
      </w:r>
      <w:r>
        <w:rPr>
          <w:rStyle w:val="VerbatimChar"/>
        </w:rPr>
        <w:t xml:space="preserve">  models/          mRNASequence, Worklist, PlasmidBackbone, SequencePart</w:t>
      </w:r>
      <w:r>
        <w:br/>
      </w:r>
      <w:r>
        <w:rPr>
          <w:rStyle w:val="VerbatimChar"/>
        </w:rPr>
        <w:t xml:space="preserve">  sequence_tools/  codon_optimizer, clean_for_cloning</w:t>
      </w:r>
      <w:r>
        <w:br/>
      </w:r>
      <w:r>
        <w:rPr>
          <w:rStyle w:val="VerbatimChar"/>
        </w:rPr>
        <w:t xml:space="preserve">  data/            seed parts &amp; backbones</w:t>
      </w:r>
      <w:r>
        <w:br/>
      </w:r>
      <w:r>
        <w:rPr>
          <w:rStyle w:val="VerbatimChar"/>
        </w:rPr>
        <w:t xml:space="preserve">models/            ScoringModel/GenerativeModel ABCs, ModelRegistry, runs (tracking),</w:t>
      </w:r>
      <w:r>
        <w:br/>
      </w:r>
      <w:r>
        <w:rPr>
          <w:rStyle w:val="VerbatimChar"/>
        </w:rPr>
        <w:t xml:space="preserve">                   built-in scorers, catalog</w:t>
      </w:r>
      <w:r>
        <w:br/>
      </w:r>
      <w:r>
        <w:rPr>
          <w:rStyle w:val="VerbatimChar"/>
        </w:rPr>
        <w:t xml:space="preserve">ui/</w:t>
      </w:r>
      <w:r>
        <w:br/>
      </w:r>
      <w:r>
        <w:rPr>
          <w:rStyle w:val="VerbatimChar"/>
        </w:rPr>
        <w:t xml:space="preserve">  app.py           Panel entry point (template, tabs, auth, serve)</w:t>
      </w:r>
      <w:r>
        <w:br/>
      </w:r>
      <w:r>
        <w:rPr>
          <w:rStyle w:val="VerbatimChar"/>
        </w:rPr>
        <w:t xml:space="preserve">  state.py         AppState (per-session reactive state)</w:t>
      </w:r>
      <w:r>
        <w:br/>
      </w:r>
      <w:r>
        <w:rPr>
          <w:rStyle w:val="VerbatimChar"/>
        </w:rPr>
        <w:t xml:space="preserve">  components/      one module per tab + shared panels</w:t>
      </w:r>
      <w:r>
        <w:br/>
      </w:r>
      <w:r>
        <w:rPr>
          <w:rStyle w:val="VerbatimChar"/>
        </w:rPr>
        <w:t xml:space="preserve">tests/             pytest suite</w:t>
      </w:r>
      <w:r>
        <w:br/>
      </w:r>
      <w:r>
        <w:rPr>
          <w:rStyle w:val="VerbatimChar"/>
        </w:rPr>
        <w:t xml:space="preserve">demo/              sample data, demo DB, deck, demo script</w:t>
      </w:r>
      <w:r>
        <w:br/>
      </w:r>
      <w:r>
        <w:rPr>
          <w:rStyle w:val="VerbatimChar"/>
        </w:rPr>
        <w:t xml:space="preserve">Dockerfile, Makefile, Procfile, pyproject.toml, requirements.txt</w:t>
      </w:r>
    </w:p>
    <w:p>
      <w:r>
        <w:pict>
          <v:rect style="width:0;height:1.5pt" o:hralign="center" o:hrstd="t" o:hr="t"/>
        </w:pict>
      </w:r>
    </w:p>
    <w:bookmarkEnd w:id="36"/>
    <w:bookmarkStart w:id="37" w:name="extending-the-platform"/>
    <w:p>
      <w:pPr>
        <w:pStyle w:val="Heading2"/>
      </w:pPr>
      <w:r>
        <w:t xml:space="preserve">16. Extending the platform</w:t>
      </w:r>
    </w:p>
    <w:p>
      <w:pPr>
        <w:pStyle w:val="FirstParagraph"/>
      </w:pPr>
      <w:r>
        <w:rPr>
          <w:b/>
          <w:bCs/>
        </w:rPr>
        <w:t xml:space="preserve">Add a scoring model</w:t>
      </w:r>
      <w:r>
        <w:t xml:space="preserve"> </w:t>
      </w:r>
      <w:r>
        <w:t xml:space="preserve">— drop a Python file exposing a</w:t>
      </w:r>
      <w:r>
        <w:t xml:space="preserve"> </w:t>
      </w:r>
      <w:r>
        <w:rPr>
          <w:rStyle w:val="VerbatimChar"/>
        </w:rPr>
        <w:t xml:space="preserve">ScoringModel</w:t>
      </w:r>
      <w:r>
        <w:t xml:space="preserve"> </w:t>
      </w:r>
      <w:r>
        <w:t xml:space="preserve">subclass and load it</w:t>
      </w:r>
      <w:r>
        <w:t xml:space="preserve"> </w:t>
      </w:r>
      <w:r>
        <w:t xml:space="preserve">via the Model Repository (or</w:t>
      </w:r>
      <w:r>
        <w:t xml:space="preserve"> </w:t>
      </w:r>
      <w:r>
        <w:rPr>
          <w:rStyle w:val="VerbatimChar"/>
        </w:rPr>
        <w:t xml:space="preserve">ModelRegistry.load_local(path)</w:t>
      </w:r>
      <w:r>
        <w:t xml:space="preserve">), or register a REST endpoint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register_api_scorer(...)</w:t>
      </w:r>
      <w:r>
        <w:t xml:space="preserve">. Every run is then tracked automatically.</w:t>
      </w:r>
    </w:p>
    <w:p>
      <w:pPr>
        <w:pStyle w:val="BodyText"/>
      </w:pPr>
      <w:r>
        <w:rPr>
          <w:b/>
          <w:bCs/>
        </w:rPr>
        <w:t xml:space="preserve">Add an analysis</w:t>
      </w:r>
      <w:r>
        <w:t xml:space="preserve"> </w:t>
      </w:r>
      <w:r>
        <w:t xml:space="preserve">— write a pure function/module under</w:t>
      </w:r>
      <w:r>
        <w:t xml:space="preserve"> </w:t>
      </w:r>
      <w:r>
        <w:rPr>
          <w:rStyle w:val="VerbatimChar"/>
        </w:rPr>
        <w:t xml:space="preserve">core/analysis/</w:t>
      </w:r>
      <w:r>
        <w:t xml:space="preserve">, add its result to</w:t>
      </w:r>
      <w:r>
        <w:t xml:space="preserve"> </w:t>
      </w:r>
      <w:r>
        <w:rPr>
          <w:rStyle w:val="VerbatimChar"/>
        </w:rPr>
        <w:t xml:space="preserve">AnalysisReport</w:t>
      </w:r>
      <w:r>
        <w:t xml:space="preserve">, compute it in</w:t>
      </w:r>
      <w:r>
        <w:t xml:space="preserve"> </w:t>
      </w:r>
      <w:r>
        <w:rPr>
          <w:rStyle w:val="VerbatimChar"/>
        </w:rPr>
        <w:t xml:space="preserve">run_full_analysis</w:t>
      </w:r>
      <w:r>
        <w:t xml:space="preserve">, and (optionally) feed it into</w:t>
      </w:r>
      <w:r>
        <w:t xml:space="preserve"> </w:t>
      </w:r>
      <w:r>
        <w:rPr>
          <w:rStyle w:val="VerbatimChar"/>
        </w:rPr>
        <w:t xml:space="preserve">assess_liabilities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score_objectives</w:t>
      </w:r>
      <w:r>
        <w:t xml:space="preserve">. Add a test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 a tab</w:t>
      </w:r>
      <w:r>
        <w:t xml:space="preserve"> </w:t>
      </w:r>
      <w:r>
        <w:t xml:space="preserve">— create a component under</w:t>
      </w:r>
      <w:r>
        <w:t xml:space="preserve"> </w:t>
      </w:r>
      <w:r>
        <w:rPr>
          <w:rStyle w:val="VerbatimChar"/>
        </w:rPr>
        <w:t xml:space="preserve">ui/components/</w:t>
      </w:r>
      <w:r>
        <w:t xml:space="preserve">, then register it in</w:t>
      </w:r>
      <w:r>
        <w:t xml:space="preserve"> </w:t>
      </w:r>
      <w:r>
        <w:rPr>
          <w:rStyle w:val="VerbatimChar"/>
        </w:rPr>
        <w:t xml:space="preserve">ui/app.py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_TAB_NAMES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_TAB_KEYS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pn.Tabs</w:t>
      </w:r>
      <w:r>
        <w:t xml:space="preserve"> </w:t>
      </w:r>
      <w:r>
        <w:t xml:space="preserve">construction).</w:t>
      </w:r>
    </w:p>
    <w:p>
      <w:r>
        <w:pict>
          <v:rect style="width:0;height:1.5pt" o:hralign="center" o:hrstd="t" o:hr="t"/>
        </w:pict>
      </w:r>
    </w:p>
    <w:bookmarkEnd w:id="37"/>
    <w:bookmarkStart w:id="38" w:name="scope-roadmap"/>
    <w:p>
      <w:pPr>
        <w:pStyle w:val="Heading2"/>
      </w:pPr>
      <w:r>
        <w:t xml:space="preserve">17. Scope &amp; roadmap</w:t>
      </w:r>
    </w:p>
    <w:p>
      <w:pPr>
        <w:pStyle w:val="FirstParagraph"/>
      </w:pPr>
      <w:r>
        <w:rPr>
          <w:b/>
          <w:bCs/>
        </w:rPr>
        <w:t xml:space="preserve">Today (prototype):</w:t>
      </w:r>
      <w:r>
        <w:t xml:space="preserve"> </w:t>
      </w:r>
      <w:r>
        <w:t xml:space="preserve">import &amp; structured model · explainable QC/liability · multi-objective</w:t>
      </w:r>
      <w:r>
        <w:t xml:space="preserve"> </w:t>
      </w:r>
      <w:r>
        <w:t xml:space="preserve">candidate comparison · codon analysis · pluggable model scoring · run/version tracking ·</w:t>
      </w:r>
      <w:r>
        <w:t xml:space="preserve"> </w:t>
      </w:r>
      <w:r>
        <w:t xml:space="preserve">parts/assembly/generation. Demonstrates DBTL steps 1 (design), 2 (automated QC), and 4</w:t>
      </w:r>
      <w:r>
        <w:t xml:space="preserve"> </w:t>
      </w:r>
      <w:r>
        <w:t xml:space="preserve">(feedback/versioning).</w:t>
      </w:r>
    </w:p>
    <w:p>
      <w:pPr>
        <w:pStyle w:val="BodyText"/>
      </w:pPr>
      <w:r>
        <w:rPr>
          <w:b/>
          <w:bCs/>
        </w:rPr>
        <w:t xml:space="preserve">Not yet built:</w:t>
      </w:r>
      <w:r>
        <w:t xml:space="preserve"> </w:t>
      </w:r>
      <w:r>
        <w:t xml:space="preserve">wet-lab experimental testing (step 3, external by nature), automated</w:t>
      </w:r>
      <w:r>
        <w:t xml:space="preserve"> </w:t>
      </w:r>
      <w:r>
        <w:t xml:space="preserve">outcome ingestion and model retraining, NGS-scale ingestion, and structure-based</w:t>
      </w:r>
      <w:r>
        <w:t xml:space="preserve"> </w:t>
      </w:r>
      <w:r>
        <w:t xml:space="preserve">developability. These are the closed-loop and scale roadmap items.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jpg" /><Relationship Type="http://schemas.openxmlformats.org/officeDocument/2006/relationships/image" Id="rId12" Target="media/rId12.jpg" /><Relationship Type="http://schemas.openxmlformats.org/officeDocument/2006/relationships/image" Id="rId20" Target="media/rId20.jpg" /><Relationship Type="http://schemas.openxmlformats.org/officeDocument/2006/relationships/image" Id="rId15" Target="media/rId1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mRNA Data Management Platform — Documentation</dc:title>
  <dc:creator/>
  <cp:keywords/>
  <dcterms:created xsi:type="dcterms:W3CDTF">2026-06-28T08:36:57Z</dcterms:created>
  <dcterms:modified xsi:type="dcterms:W3CDTF">2026-06-28T08:36:57Z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