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447"/>
          <w:sz w:val="40"/>
        </w:rPr>
        <w:t>Lead Selection Governance Record</w:t>
      </w:r>
    </w:p>
    <w:p>
      <w:pPr>
        <w:jc w:val="center"/>
      </w:pPr>
      <w:r>
        <w:rPr>
          <w:b/>
          <w:color w:val="475569"/>
        </w:rPr>
        <w:t>Demo programme | 12 July 2026 | Synthetic demonstration data</w:t>
      </w:r>
    </w:p>
    <w:p>
      <w:pPr>
        <w:jc w:val="center"/>
      </w:pPr>
      <w:r>
        <w:rPr>
          <w:i/>
          <w:color w:val="64748B"/>
          <w:sz w:val="16"/>
        </w:rPr>
        <w:t>This record is illustrative only. It is designed to demonstrate structured rationale, evidence snapshots, dissent, conditions and reconsideration triggers.</w:t>
      </w:r>
    </w:p>
    <w:p>
      <w:pPr>
        <w:spacing w:before="120" w:after="60"/>
      </w:pPr>
      <w:r>
        <w:rPr>
          <w:b/>
          <w:color w:val="243447"/>
          <w:sz w:val="24"/>
        </w:rPr>
        <w:t>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EEF3"/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184"/>
            <w:vAlign w:val="center"/>
          </w:tcPr>
          <w:p>
            <w:r>
              <w:t>Which construct should advance into candidate-nomination studies?</w:t>
            </w:r>
          </w:p>
        </w:tc>
      </w:tr>
      <w:tr>
        <w:tc>
          <w:tcPr>
            <w:tcW w:type="dxa" w:w="5184"/>
            <w:shd w:fill="E8EEF3"/>
            <w:vAlign w:val="center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5184"/>
            <w:vAlign w:val="center"/>
          </w:tcPr>
          <w:p>
            <w:r>
              <w:t>Advance A17-03; retain A17-05 as backup.</w:t>
            </w:r>
          </w:p>
        </w:tc>
      </w:tr>
      <w:tr>
        <w:tc>
          <w:tcPr>
            <w:tcW w:type="dxa" w:w="5184"/>
            <w:shd w:fill="E8EEF3"/>
            <w:vAlign w:val="center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5184"/>
            <w:vAlign w:val="center"/>
          </w:tcPr>
          <w:p>
            <w:r>
              <w:t>Discovery Governance Committee</w:t>
            </w:r>
          </w:p>
        </w:tc>
      </w:tr>
      <w:tr>
        <w:tc>
          <w:tcPr>
            <w:tcW w:type="dxa" w:w="5184"/>
            <w:shd w:fill="E8EEF3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5184"/>
            <w:shd w:fill="E8EEF3"/>
            <w:vAlign w:val="center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5184"/>
            <w:vAlign w:val="center"/>
          </w:tcPr>
          <w:p>
            <w:r>
              <w:t>12 July 2026</w:t>
            </w:r>
          </w:p>
        </w:tc>
      </w:tr>
    </w:tbl>
    <w:p>
      <w:pPr>
        <w:spacing w:before="120" w:after="60"/>
      </w:pPr>
      <w:r>
        <w:rPr>
          <w:b/>
          <w:color w:val="243447"/>
          <w:sz w:val="24"/>
        </w:rPr>
        <w:t>Rationale</w:t>
      </w:r>
    </w:p>
    <w:p>
      <w:r>
        <w:t>A17-03 combined the strongest potency, receptor internalisation and early developability profile. Governance accepted expression heterogeneity as a biomarker-development risk rather than a reason to stop. The decision did not conclude that normal-tissue risk or formulation readiness were resolved.</w:t>
      </w:r>
    </w:p>
    <w:p>
      <w:pPr>
        <w:spacing w:before="120" w:after="60"/>
      </w:pPr>
      <w:r>
        <w:rPr>
          <w:b/>
          <w:color w:val="243447"/>
          <w:sz w:val="24"/>
        </w:rPr>
        <w:t>Evidence snapshot at the time of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43447"/>
          </w:tcPr>
          <w:p>
            <w:r>
              <w:rPr>
                <w:b/>
                <w:color w:val="FFFFFF"/>
              </w:rPr>
              <w:t>Evidence object</w:t>
            </w:r>
          </w:p>
        </w:tc>
        <w:tc>
          <w:tcPr>
            <w:tcW w:type="dxa" w:w="2592"/>
            <w:shd w:fill="243447"/>
          </w:tcPr>
          <w:p>
            <w:r>
              <w:rPr>
                <w:b/>
                <w:color w:val="FFFFFF"/>
              </w:rPr>
              <w:t>Finding available at the time</w:t>
            </w:r>
          </w:p>
        </w:tc>
        <w:tc>
          <w:tcPr>
            <w:tcW w:type="dxa" w:w="2592"/>
            <w:shd w:fill="243447"/>
          </w:tcPr>
          <w:p>
            <w:r>
              <w:rPr>
                <w:b/>
                <w:color w:val="FFFFFF"/>
              </w:rPr>
              <w:t>Decision use</w:t>
            </w:r>
          </w:p>
        </w:tc>
        <w:tc>
          <w:tcPr>
            <w:tcW w:type="dxa" w:w="2592"/>
            <w:shd w:fill="243447"/>
          </w:tcPr>
          <w:p>
            <w:r>
              <w:rPr>
                <w:b/>
                <w:color w:val="FFFFFF"/>
              </w:rPr>
              <w:t>State</w:t>
            </w:r>
          </w:p>
        </w:tc>
      </w:tr>
      <w:tr>
        <w:tc>
          <w:tcPr>
            <w:tcW w:type="dxa" w:w="2592"/>
          </w:tcPr>
          <w:p>
            <w:r>
              <w:t>E-003</w:t>
            </w:r>
          </w:p>
        </w:tc>
        <w:tc>
          <w:tcPr>
            <w:tcW w:type="dxa" w:w="2592"/>
          </w:tcPr>
          <w:p>
            <w:r>
              <w:t>Rapid receptor internalisation in high-expression models.</w:t>
            </w:r>
          </w:p>
        </w:tc>
        <w:tc>
          <w:tcPr>
            <w:tcW w:type="dxa" w:w="2592"/>
          </w:tcPr>
          <w:p>
            <w:r>
              <w:t>Supports construct mechanism.</w:t>
            </w:r>
          </w:p>
        </w:tc>
        <w:tc>
          <w:tcPr>
            <w:tcW w:type="dxa" w:w="2592"/>
          </w:tcPr>
          <w:p>
            <w:r>
              <w:t>Accepted</w:t>
            </w:r>
          </w:p>
        </w:tc>
      </w:tr>
      <w:tr>
        <w:tc>
          <w:tcPr>
            <w:tcW w:type="dxa" w:w="2592"/>
          </w:tcPr>
          <w:p>
            <w:r>
              <w:t>E-006</w:t>
            </w:r>
          </w:p>
        </w:tc>
        <w:tc>
          <w:tcPr>
            <w:tcW w:type="dxa" w:w="2592"/>
          </w:tcPr>
          <w:p>
            <w:r>
              <w:t>Sub-nanomolar potency in high-expression models.</w:t>
            </w:r>
          </w:p>
        </w:tc>
        <w:tc>
          <w:tcPr>
            <w:tcW w:type="dxa" w:w="2592"/>
          </w:tcPr>
          <w:p>
            <w:r>
              <w:t>Supports lead selection.</w:t>
            </w:r>
          </w:p>
        </w:tc>
        <w:tc>
          <w:tcPr>
            <w:tcW w:type="dxa" w:w="2592"/>
          </w:tcPr>
          <w:p>
            <w:r>
              <w:t>Accepted</w:t>
            </w:r>
          </w:p>
        </w:tc>
      </w:tr>
      <w:tr>
        <w:tc>
          <w:tcPr>
            <w:tcW w:type="dxa" w:w="2592"/>
          </w:tcPr>
          <w:p>
            <w:r>
              <w:t>E-007</w:t>
            </w:r>
          </w:p>
        </w:tc>
        <w:tc>
          <w:tcPr>
            <w:tcW w:type="dxa" w:w="2592"/>
          </w:tcPr>
          <w:p>
            <w:r>
              <w:t>Limited activity in low-expression models.</w:t>
            </w:r>
          </w:p>
        </w:tc>
        <w:tc>
          <w:tcPr>
            <w:tcW w:type="dxa" w:w="2592"/>
          </w:tcPr>
          <w:p>
            <w:r>
              <w:t>Creates biomarker dependency.</w:t>
            </w:r>
          </w:p>
        </w:tc>
        <w:tc>
          <w:tcPr>
            <w:tcW w:type="dxa" w:w="2592"/>
          </w:tcPr>
          <w:p>
            <w:r>
              <w:t>Accepted</w:t>
            </w:r>
          </w:p>
        </w:tc>
      </w:tr>
      <w:tr>
        <w:tc>
          <w:tcPr>
            <w:tcW w:type="dxa" w:w="2592"/>
          </w:tcPr>
          <w:p>
            <w:r>
              <w:t>E-015</w:t>
            </w:r>
          </w:p>
        </w:tc>
        <w:tc>
          <w:tcPr>
            <w:tcW w:type="dxa" w:w="2592"/>
          </w:tcPr>
          <w:p>
            <w:r>
              <w:t>Early freeze-thaw profile within target.</w:t>
            </w:r>
          </w:p>
        </w:tc>
        <w:tc>
          <w:tcPr>
            <w:tcW w:type="dxa" w:w="2592"/>
          </w:tcPr>
          <w:p>
            <w:r>
              <w:t>Supports developability.</w:t>
            </w:r>
          </w:p>
        </w:tc>
        <w:tc>
          <w:tcPr>
            <w:tcW w:type="dxa" w:w="2592"/>
          </w:tcPr>
          <w:p>
            <w:r>
              <w:t>Accepted</w:t>
            </w:r>
          </w:p>
        </w:tc>
      </w:tr>
    </w:tbl>
    <w:p>
      <w:pPr>
        <w:spacing w:before="120" w:after="60"/>
      </w:pPr>
      <w:r>
        <w:rPr>
          <w:b/>
          <w:color w:val="243447"/>
          <w:sz w:val="24"/>
        </w:rPr>
        <w:t>Dissent and accepted risks</w:t>
      </w:r>
    </w:p>
    <w:p>
      <w:r>
        <w:t>Safety representative dissent: expand normal-tissue binding and cross-reactivity work earlier than the proposed plan.</w:t>
      </w:r>
    </w:p>
    <w:p>
      <w:pPr>
        <w:pStyle w:val="ListBullet"/>
      </w:pPr>
      <w:r>
        <w:t>Biomarker cut-off not locked.</w:t>
      </w:r>
    </w:p>
    <w:p>
      <w:pPr>
        <w:pStyle w:val="ListBullet"/>
      </w:pPr>
      <w:r>
        <w:t>Normal-tissue panel incomplete.</w:t>
      </w:r>
    </w:p>
    <w:p>
      <w:pPr>
        <w:pStyle w:val="ListBullet"/>
      </w:pPr>
      <w:r>
        <w:t>Subcutaneous formulation not yet demonstrated.</w:t>
      </w:r>
    </w:p>
    <w:p>
      <w:pPr>
        <w:spacing w:before="120" w:after="60"/>
      </w:pPr>
      <w:r>
        <w:rPr>
          <w:b/>
          <w:color w:val="243447"/>
          <w:sz w:val="24"/>
        </w:rPr>
        <w:t>Conditions and 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475569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592"/>
            <w:shd w:fill="475569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592"/>
            <w:shd w:fill="475569"/>
          </w:tcPr>
          <w:p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2592"/>
            <w:shd w:fill="475569"/>
          </w:tcPr>
          <w:p>
            <w:r>
              <w:rPr>
                <w:b/>
                <w:color w:val="FFFFFF"/>
              </w:rPr>
              <w:t>Completion evidence</w:t>
            </w:r>
          </w:p>
        </w:tc>
      </w:tr>
      <w:tr>
        <w:tc>
          <w:tcPr>
            <w:tcW w:type="dxa" w:w="2592"/>
          </w:tcPr>
          <w:p>
            <w:r>
              <w:t>Expand normal-tissue panel</w:t>
            </w:r>
          </w:p>
        </w:tc>
        <w:tc>
          <w:tcPr>
            <w:tcW w:type="dxa" w:w="2592"/>
          </w:tcPr>
          <w:p>
            <w:r>
              <w:t>Safety Sciences</w:t>
            </w:r>
          </w:p>
        </w:tc>
        <w:tc>
          <w:tcPr>
            <w:tcW w:type="dxa" w:w="2592"/>
          </w:tcPr>
          <w:p>
            <w:r>
              <w:t>2 Oct 2026</w:t>
            </w:r>
          </w:p>
        </w:tc>
        <w:tc>
          <w:tcPr>
            <w:tcW w:type="dxa" w:w="2592"/>
          </w:tcPr>
          <w:p>
            <w:r>
              <w:t>Versioned tissue-binding assessment</w:t>
            </w:r>
          </w:p>
        </w:tc>
      </w:tr>
      <w:tr>
        <w:tc>
          <w:tcPr>
            <w:tcW w:type="dxa" w:w="2592"/>
          </w:tcPr>
          <w:p>
            <w:r>
              <w:t>Confirm activity in patient-derived models</w:t>
            </w:r>
          </w:p>
        </w:tc>
        <w:tc>
          <w:tcPr>
            <w:tcW w:type="dxa" w:w="2592"/>
          </w:tcPr>
          <w:p>
            <w:r>
              <w:t>In Vivo Pharmacology</w:t>
            </w:r>
          </w:p>
        </w:tc>
        <w:tc>
          <w:tcPr>
            <w:tcW w:type="dxa" w:w="2592"/>
          </w:tcPr>
          <w:p>
            <w:r>
              <w:t>27 Sep 2026</w:t>
            </w:r>
          </w:p>
        </w:tc>
        <w:tc>
          <w:tcPr>
            <w:tcW w:type="dxa" w:w="2592"/>
          </w:tcPr>
          <w:p>
            <w:r>
              <w:t>PDX evidence set</w:t>
            </w:r>
          </w:p>
        </w:tc>
      </w:tr>
      <w:tr>
        <w:tc>
          <w:tcPr>
            <w:tcW w:type="dxa" w:w="2592"/>
          </w:tcPr>
          <w:p>
            <w:r>
              <w:t>Start high-concentration formulation screen</w:t>
            </w:r>
          </w:p>
        </w:tc>
        <w:tc>
          <w:tcPr>
            <w:tcW w:type="dxa" w:w="2592"/>
          </w:tcPr>
          <w:p>
            <w:r>
              <w:t>Biologics CMC</w:t>
            </w:r>
          </w:p>
        </w:tc>
        <w:tc>
          <w:tcPr>
            <w:tcW w:type="dxa" w:w="2592"/>
          </w:tcPr>
          <w:p>
            <w:r>
              <w:t>14 Nov 2026</w:t>
            </w:r>
          </w:p>
        </w:tc>
        <w:tc>
          <w:tcPr>
            <w:tcW w:type="dxa" w:w="2592"/>
          </w:tcPr>
          <w:p>
            <w:r>
              <w:t>Formulation recommendation</w:t>
            </w:r>
          </w:p>
        </w:tc>
      </w:tr>
    </w:tbl>
    <w:p>
      <w:pPr>
        <w:spacing w:before="120" w:after="60"/>
      </w:pPr>
      <w:r>
        <w:rPr>
          <w:b/>
          <w:color w:val="243447"/>
          <w:sz w:val="24"/>
        </w:rPr>
        <w:t>Reconsideration triggers</w:t>
      </w:r>
    </w:p>
    <w:p>
      <w:pPr>
        <w:pStyle w:val="ListBullet"/>
      </w:pPr>
      <w:r>
        <w:t>Clinically relevant class toxicity emerges.</w:t>
      </w:r>
    </w:p>
    <w:p>
      <w:pPr>
        <w:pStyle w:val="ListBullet"/>
      </w:pPr>
      <w:r>
        <w:t>Biomarker strategy cannot define a responsive patient segment.</w:t>
      </w:r>
    </w:p>
    <w:p>
      <w:pPr>
        <w:pStyle w:val="ListBullet"/>
      </w:pPr>
      <w:r>
        <w:t>Developability requires material construct change.</w:t>
      </w:r>
    </w:p>
    <w:p>
      <w:pPr>
        <w:spacing w:before="120" w:after="60"/>
      </w:pPr>
      <w:r>
        <w:rPr>
          <w:b/>
          <w:color w:val="243447"/>
          <w:sz w:val="24"/>
        </w:rPr>
        <w:t>Audit</w:t>
      </w:r>
    </w:p>
    <w:p>
      <w:r>
        <w:t>Decision record owner: Programme Governance. Any subsequent update must create a new version and preserve the evidence snapshot used for this decision.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Pages>1</Pages>
</Properties>
</file>

<file path=docProps/core.xml><?xml version="1.0" encoding="utf-8"?>
<cp:coreProperties xmlns:cp="http://schemas.openxmlformats.org/package/2006/metadata/core-properties" xmlns:dc="http://purl.org/dc/elements/1.1/">
  <dc:title>Lead Selection Governance Record</dc:title>
  <dc:description>All programme details, scientific findings, and organisations are illustrative. No real company or programme data is included.</dc:description>
</cp:coreProperties>
</file>