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pPr>
      <w:r>
        <w:rPr>
          <w:rFonts w:ascii="Calibri" w:cs="Calibri" w:eastAsia="Calibri" w:hAnsi="Calibri"/>
          <w:b/>
          <w:bCs/>
          <w:color w:val="454544"/>
          <w:sz w:val="48"/>
          <w:szCs w:val="48"/>
        </w:rPr>
        <w:t xml:space="preserve">Mandanten-Dossier: Scholl Real Estate Solutions</w:t>
      </w:r>
    </w:p>
    <w:p>
      <w:pPr>
        <w:spacing w:after="40" w:before="0"/>
      </w:pPr>
      <w:r>
        <w:rPr>
          <w:rFonts w:ascii="Calibri" w:cs="Calibri" w:eastAsia="Calibri" w:hAnsi="Calibri"/>
          <w:color w:val="33AB97"/>
          <w:sz w:val="28"/>
          <w:szCs w:val="28"/>
        </w:rPr>
        <w:t xml:space="preserve">Intern · Lage, Befunde, Daten und Gesprächsdrehbuch</w:t>
      </w:r>
    </w:p>
    <w:p>
      <w:pPr>
        <w:spacing w:after="0" w:before="0"/>
      </w:pPr>
      <w:r>
        <w:rPr>
          <w:rFonts w:ascii="Calibri" w:cs="Calibri" w:eastAsia="Calibri" w:hAnsi="Calibri"/>
          <w:color w:val="777777"/>
          <w:sz w:val="18"/>
          <w:szCs w:val="18"/>
        </w:rPr>
        <w:t xml:space="preserve">Clemens Gutmann · be nice Managementberatung · 12. Juni 2026</w:t>
      </w:r>
    </w:p>
    <w:p>
      <w:pPr>
        <w:spacing w:after="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A1B6" w:sz="1"/>
              <w:left w:val="single" w:color="13A1B6" w:sz="12"/>
              <w:bottom w:val="single" w:color="13A1B6" w:sz="1"/>
              <w:right w:val="single" w:color="13A1B6" w:sz="1"/>
            </w:tcBorders>
            <w:shd w:fill="EEF9F7" w:val="clear"/>
            <w:tcMar>
              <w:top w:type="dxa" w:w="120"/>
              <w:left w:type="dxa" w:w="200"/>
              <w:bottom w:type="dxa" w:w="120"/>
              <w:right w:type="dxa" w:w="160"/>
            </w:tcMar>
          </w:tcPr>
          <w:p>
            <w:pPr>
              <w:spacing w:after="0" w:before="0"/>
            </w:pPr>
            <w:r>
              <w:rPr>
                <w:rFonts w:ascii="Calibri" w:cs="Calibri" w:eastAsia="Calibri" w:hAnsi="Calibri"/>
                <w:i/>
                <w:iCs/>
                <w:color w:val="111111"/>
                <w:sz w:val="20"/>
                <w:szCs w:val="20"/>
              </w:rPr>
              <w:t xml:space="preserve">Der Vorteil ist real. Nur findet ihn niemand. Aljoscha Scholl hat Referenzen, um die ihn Häuser mit dem zehnfachen Apparat beneiden würden, und eine Website, die davon schweigt. Alles, was hier mit (H) markiert ist, ist Hypothese und wird im Erstgespräch geprüft.</w:t>
            </w:r>
          </w:p>
        </w:tc>
      </w:tr>
    </w:tbl>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1 · Cockpit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Unternehmen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Scholl Real Estate Solutions GmbH, Mannheim. Boutique-Makler für Gewerbeimmobilien, Metropolregion Rhein-Neckar. Tenant und Landlord Representation, Property Sales, Move-or-Stay-Analyse. 2 bis 6 Mitarbeiter (H), rund 15 Jahre am Markt.</w:t>
            </w:r>
          </w:p>
        </w:tc>
      </w:tr>
    </w:tbl>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Ansprechpartner</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Aljoscha Scholl, Inhaber und Geschäftsführer. Entscheider sitzt direkt am Tisch, kein Buying-Center.</w:t>
            </w:r>
          </w:p>
        </w:tc>
      </w:tr>
    </w:tbl>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Lage in einem Satz</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Starke Substanz (Referenzen, Mandats-Kodex, Marktzugang), digital praktisch nicht existent. Wachstum hängt komplett am persönlichen Netzwerk.</w:t>
            </w:r>
          </w:p>
        </w:tc>
      </w:tr>
    </w:tbl>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Score</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Gesamteindruck 4/10 · Sichtbarkeit 2 · Differenzierung 4 · Kommunikation 4 · Positionierung 5 · Zielgruppen 5 · Angebot 6</w:t>
            </w:r>
          </w:p>
        </w:tc>
      </w:tr>
    </w:tbl>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Attraktivität</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Bedingt, mit klarer Upside. Kein Großmandat, aber realer Bedarf, direkter Entscheiderzugang, starker Förderhebel (BAFA + INQA) und ein potenzieller eigener Referenz-Case. Abschlusswahrscheinlichkeit: mittel. Der BAFA-Einstieg kann die Entscheidung kippen.</w:t>
            </w:r>
          </w:p>
        </w:tc>
      </w:tr>
    </w:tbl>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Nächster Schritt</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Erstgespräch führen. Innerhalb von 48 Stunden: einseitige Zusammenfassung plus BAFA-Antragsunterlagen als Anhang.</w:t>
            </w:r>
          </w:p>
        </w:tc>
      </w:tr>
    </w:tbl>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2 · Befunde</w:t>
      </w:r>
    </w:p>
    <w:p>
      <w:pPr>
        <w:spacing w:after="60" w:before="60"/>
      </w:pPr>
      <w:r>
        <w:rPr>
          <w:rFonts w:ascii="Calibri" w:cs="Calibri" w:eastAsia="Calibri" w:hAnsi="Calibri"/>
          <w:color w:val="111111"/>
          <w:sz w:val="20"/>
          <w:szCs w:val="20"/>
        </w:rPr>
        <w:t xml:space="preserve">Jeder Befund steht genau einmal. Grau bleibt bei mir, Grün darf ins Gespräch.</w:t>
      </w:r>
    </w:p>
    <w:p>
      <w:pPr>
        <w:spacing w:after="0" w:before="80"/>
      </w:pPr>
      <w:r>
        <w:t xml:space="preserve"/>
      </w:r>
    </w:p>
    <w:p>
      <w:pPr>
        <w:spacing w:after="80" w:before="240"/>
      </w:pPr>
      <w:r>
        <w:rPr>
          <w:rFonts w:ascii="Calibri" w:cs="Calibri" w:eastAsia="Calibri" w:hAnsi="Calibri"/>
          <w:b/>
          <w:bCs/>
          <w:color w:val="33AB97"/>
          <w:sz w:val="24"/>
          <w:szCs w:val="24"/>
        </w:rPr>
        <w:t xml:space="preserve">B1 · Digital unsichtbar</w:t>
      </w:r>
    </w:p>
    <w:p>
      <w:pPr>
        <w:spacing w:after="60" w:before="60"/>
      </w:pPr>
      <w:r>
        <w:rPr>
          <w:rFonts w:ascii="Calibri" w:cs="Calibri" w:eastAsia="Calibri" w:hAnsi="Calibri"/>
          <w:color w:val="111111"/>
          <w:sz w:val="20"/>
          <w:szCs w:val="20"/>
        </w:rPr>
        <w:t xml:space="preserve">Sichtbarkeitsindex 0,01, Colliers liegt bei 0,70. 319 rankende Keywords, rund 1.650 organische Klicks im Monat, davon 99 Prozent auf nur zwei Seiten (Startseite, Objektliste). Die Kontaktseite erreicht über Google niemanden. Die Website legitimiert Bekannte, sie akquiriert keine Fremden.</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454544"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INTERN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Kein akuter Leidensdruck, solange das Netzwerk trägt; der Schmerz muss im Gespräch aktiviert werden, nicht erfunden. Die eigentliche Chance: Auch der regionale Peer Aengevelt liegt bei 0,01. Kein Boutique-Büro hat die lokalen Suchbegriffe besetzt, die Großen sind dort nicht konkret. Wer zuerst handelt, holt sich die Region. Das ist zugleich das INQA-Feld Digitalisierung (Förderung bis 80 %, max. 17.500 €).</w:t>
            </w:r>
          </w:p>
        </w:tc>
      </w:tr>
    </w:tbl>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GESPRÄCH</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Einstiegsfrage: „Wenn ein Mittelständler aus dem Rhein-Neckar-Raum morgen Bürofläche sucht und Ihnen noch nie begegnet ist, wie findet der Sie?“ Erwartung: kurze Pause, dann „über Empfehlungen“ oder ein ehrliches Eingeständnis. Danach der 90-Sekunden-Live-Check als gemeinsame Diagnose, nie als Kritik.</w:t>
            </w:r>
          </w:p>
        </w:tc>
      </w:tr>
    </w:tbl>
    <w:p>
      <w:pPr>
        <w:spacing w:after="0" w:before="120"/>
      </w:pPr>
      <w:r>
        <w:t xml:space="preserve"/>
      </w:r>
    </w:p>
    <w:p>
      <w:pPr>
        <w:spacing w:after="80" w:before="240"/>
      </w:pPr>
      <w:r>
        <w:rPr>
          <w:rFonts w:ascii="Calibri" w:cs="Calibri" w:eastAsia="Calibri" w:hAnsi="Calibri"/>
          <w:b/>
          <w:bCs/>
          <w:color w:val="33AB97"/>
          <w:sz w:val="24"/>
          <w:szCs w:val="24"/>
        </w:rPr>
        <w:t xml:space="preserve">B2 · Differenzierung wird verschenkt</w:t>
      </w:r>
    </w:p>
    <w:p>
      <w:pPr>
        <w:spacing w:after="60" w:before="60"/>
      </w:pPr>
      <w:r>
        <w:rPr>
          <w:rFonts w:ascii="Calibri" w:cs="Calibri" w:eastAsia="Calibri" w:hAnsi="Calibri"/>
          <w:color w:val="111111"/>
          <w:sz w:val="20"/>
          <w:szCs w:val="20"/>
        </w:rPr>
        <w:t xml:space="preserve">Der Mandats-Kodex (keine gleichzeitige Vertretung von Mieter- und Eigentümerseite) ist ein echter Vorteil gegenüber den Full-Service-Häusern und steht in genau einem Satz auf der Website. Über 13 Referenzlogos, darunter Deka, alstria, Sparkassenversicherung, ActivumSG, Snocks, Purelei, ohne eine einzige erzählte Transaktion. Keine Zahl, kein Zitat, kein Fall.</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454544"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INTERN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Vermutlich Makler-Bescheidenheit plus fehlendes Storytelling-Handwerk, möglicherweise Zögern bei Mandantenfreigaben (H). Schnellster Hebel im ganzen Mandat: Positionierungs-Sprint, ein halber Tag, Ergebnis ein umsetzbares Seiten-Briefing für Texter und Webdesigner. Ideal als BAFA-geförderter Einstiegsauftrag.</w:t>
            </w:r>
          </w:p>
        </w:tc>
      </w:tr>
    </w:tbl>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GESPRÄCH</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Lob zuerst: „Deka, alstria, Sparkassenversicherung als Referenzen, das ist für ein Boutique-Büro beachtlich. Wie nutzen Sie das aktiv in der Akquise?“ Erwartung: „Wir nennen die Namen im Gespräch.“ Genau dort öffnet sich das Storytelling-Thema, ohne dass ich belehre.</w:t>
            </w:r>
          </w:p>
        </w:tc>
      </w:tr>
    </w:tbl>
    <w:p>
      <w:pPr>
        <w:spacing w:after="0" w:before="120"/>
      </w:pPr>
      <w:r>
        <w:t xml:space="preserve"/>
      </w:r>
    </w:p>
    <w:p>
      <w:pPr>
        <w:spacing w:after="80" w:before="240"/>
      </w:pPr>
      <w:r>
        <w:rPr>
          <w:rFonts w:ascii="Calibri" w:cs="Calibri" w:eastAsia="Calibri" w:hAnsi="Calibri"/>
          <w:b/>
          <w:bCs/>
          <w:color w:val="33AB97"/>
          <w:sz w:val="24"/>
          <w:szCs w:val="24"/>
        </w:rPr>
        <w:t xml:space="preserve">B3 · Das Unternehmen ist eine Person</w:t>
      </w:r>
    </w:p>
    <w:p>
      <w:pPr>
        <w:spacing w:after="60" w:before="60"/>
      </w:pPr>
      <w:r>
        <w:rPr>
          <w:rFonts w:ascii="Calibri" w:cs="Calibri" w:eastAsia="Calibri" w:hAnsi="Calibri"/>
          <w:color w:val="111111"/>
          <w:sz w:val="20"/>
          <w:szCs w:val="20"/>
        </w:rPr>
        <w:t xml:space="preserve">Kein sichtbares Team, keine Mitarbeiterprofile. Netzwerk, Off-Market-Zugang und Verhandlungsführung hängen an Aljoscha Scholl persönlich (H). Ohne Antwort darauf bleibt jede Umsatzdecke strukturell, und der Unternehmenswert ist nicht übergabefähig.</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454544"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INTERN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Führungsthema, kein Ressourcenthema. INQA-Felder Führung und Personal. Im Erstgespräch nicht direkt ansprechen: Nach 15 Jahren Alleinaufbau wirkt das wie Kritik am Unternehmer-Urteil. Die Antwort auf die Drei-Jahres-Frage entscheidet meine gesamte Angebotslogik: Wachstumsambition oder bewusstes Lifestyle-Business.</w:t>
            </w:r>
          </w:p>
        </w:tc>
      </w:tr>
    </w:tbl>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GESPRÄCH</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Nur indirekt öffnen: „Wo soll Scholl Real Estate Solutions in drei Jahren stehen, bei Mandaten, Team, Marktstellung?“ Die Antwort zeigt Ambition oder Komfort und signalisiert ihm zugleich, dass ich strategisch denke, nicht taktisch verkaufe.</w:t>
            </w:r>
          </w:p>
        </w:tc>
      </w:tr>
    </w:tbl>
    <w:p>
      <w:pPr>
        <w:spacing w:after="0" w:before="120"/>
      </w:pPr>
      <w:r>
        <w:t xml:space="preserve"/>
      </w:r>
    </w:p>
    <w:p>
      <w:pPr>
        <w:spacing w:after="80" w:before="240"/>
      </w:pPr>
      <w:r>
        <w:rPr>
          <w:rFonts w:ascii="Calibri" w:cs="Calibri" w:eastAsia="Calibri" w:hAnsi="Calibri"/>
          <w:b/>
          <w:bCs/>
          <w:color w:val="33AB97"/>
          <w:sz w:val="24"/>
          <w:szCs w:val="24"/>
        </w:rPr>
        <w:t xml:space="preserve">B4 · Zwei Namen, eine Marke</w:t>
      </w:r>
    </w:p>
    <w:p>
      <w:pPr>
        <w:spacing w:after="60" w:before="60"/>
      </w:pPr>
      <w:r>
        <w:rPr>
          <w:rFonts w:ascii="Calibri" w:cs="Calibri" w:eastAsia="Calibri" w:hAnsi="Calibri"/>
          <w:color w:val="111111"/>
          <w:sz w:val="20"/>
          <w:szCs w:val="20"/>
        </w:rPr>
        <w:t xml:space="preserve">Domain und Footer sagen „Scholl Solutions“, Logo und Selbstbeschreibung „Scholl Real Estate Solutions GmbH“. Wer nach dem Erstgespräch googelt und die Namen nicht übereinander bekommt, zögert kurz. In einem Vertrauensgeschäft reicht das.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454544"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INTERN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Echtes Thema, dem Mandanten vermutlich nicht bewusst (H). Im Erstgespräch wirkt es kleinkrämerisch. Gehört in Phase 1 eines Projekts als Teil des Brand-Audits.</w:t>
            </w:r>
          </w:p>
        </w:tc>
      </w:tr>
    </w:tbl>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GESPRÄCH</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Im Erstgespräch nicht ansprechen.</w:t>
            </w:r>
          </w:p>
        </w:tc>
      </w:tr>
    </w:tbl>
    <w:p>
      <w:pPr>
        <w:spacing w:after="0" w:before="120"/>
      </w:pPr>
      <w:r>
        <w:t xml:space="preserve"/>
      </w:r>
    </w:p>
    <w:p>
      <w:pPr>
        <w:spacing w:after="80" w:before="240"/>
      </w:pPr>
      <w:r>
        <w:rPr>
          <w:rFonts w:ascii="Calibri" w:cs="Calibri" w:eastAsia="Calibri" w:hAnsi="Calibri"/>
          <w:b/>
          <w:bCs/>
          <w:color w:val="33AB97"/>
          <w:sz w:val="24"/>
          <w:szCs w:val="24"/>
        </w:rPr>
        <w:t xml:space="preserve">B5 · Alle Zielgruppen, keine Ansprache</w:t>
      </w:r>
    </w:p>
    <w:p>
      <w:pPr>
        <w:spacing w:after="60" w:before="60"/>
      </w:pPr>
      <w:r>
        <w:rPr>
          <w:rFonts w:ascii="Calibri" w:cs="Calibri" w:eastAsia="Calibri" w:hAnsi="Calibri"/>
          <w:color w:val="111111"/>
          <w:sz w:val="20"/>
          <w:szCs w:val="20"/>
        </w:rPr>
        <w:t xml:space="preserve">Der Objekt-Filter listet Logistik, Gesundheit, Gastronomie, Produktion. Es gibt aber keine einzige Seite, die einen Logistikmieter oder Praxisinhaber direkt anspricht, obwohl das BASF-, Pharma- und Life-Science-Umfeld der Region klare Wachstumssegmente liefert (H). Auch das eigene Unikat Move-or-Stay ist digital kein Sucheinstieg.</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454544"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INTERN</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Keine Persona-Arbeit, Angebote reaktiv gewachsen (H). Projektstoff für Phase 1 und 2: zwei bis drei Personas, 5 bis 8 regionale Themenseiten, quartalsweiser Marktbericht Rhein-Neckar als Lead-Magnet. Diese Nachfrage ist derzeit von niemandem besetzt.</w:t>
            </w:r>
          </w:p>
        </w:tc>
      </w:tr>
    </w:tbl>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9E9E9" w:sz="1"/>
              <w:left w:val="single" w:color="E9E9E9" w:sz="1"/>
              <w:bottom w:val="single" w:color="E9E9E9" w:sz="1"/>
              <w:right w:val="single" w:color="E9E9E9" w:sz="1"/>
            </w:tcBorders>
            <w:shd w:fill="8CC63E" w:val="clear"/>
            <w:tcMar>
              <w:top w:type="dxa" w:w="120"/>
              <w:left w:type="dxa" w:w="160"/>
              <w:bottom w:type="dxa" w:w="120"/>
              <w:right w:type="dxa" w:w="160"/>
            </w:tcMar>
            <w:vAlign w:val="top"/>
          </w:tcPr>
          <w:p>
            <w:pPr>
              <w:spacing w:after="0" w:before="0"/>
            </w:pPr>
            <w:r>
              <w:rPr>
                <w:rFonts w:ascii="Calibri" w:cs="Calibri" w:eastAsia="Calibri" w:hAnsi="Calibri"/>
                <w:b/>
                <w:bCs/>
                <w:color w:val="FFFFFF"/>
                <w:sz w:val="18"/>
                <w:szCs w:val="18"/>
              </w:rPr>
              <w:t xml:space="preserve">GESPRÄCH</w:t>
            </w:r>
          </w:p>
        </w:tc>
        <w:tc>
          <w:tcPr>
            <w:tcW w:type="dxa" w:w="7438"/>
            <w:tcBorders>
              <w:top w:val="single" w:color="E9E9E9" w:sz="1"/>
              <w:left w:val="single" w:color="E9E9E9" w:sz="1"/>
              <w:bottom w:val="single" w:color="E9E9E9" w:sz="1"/>
              <w:right w:val="single" w:color="E9E9E9" w:sz="1"/>
            </w:tcBorders>
            <w:shd w:fill="E9E9E9" w:val="clear"/>
            <w:tcMar>
              <w:top w:type="dxa" w:w="120"/>
              <w:left w:type="dxa" w:w="160"/>
              <w:bottom w:type="dxa" w:w="120"/>
              <w:right w:type="dxa" w:w="160"/>
            </w:tcMar>
            <w:vAlign w:val="top"/>
          </w:tcPr>
          <w:p>
            <w:pPr>
              <w:spacing w:after="0" w:before="0"/>
            </w:pPr>
            <w:r>
              <w:rPr>
                <w:rFonts w:ascii="Calibri" w:cs="Calibri" w:eastAsia="Calibri" w:hAnsi="Calibri"/>
                <w:color w:val="111111"/>
                <w:sz w:val="20"/>
                <w:szCs w:val="20"/>
              </w:rPr>
              <w:t xml:space="preserve">Vorsichtig und nur wenn das Gespräch schon offen ist: „Wenn ein Pharmaunternehmen aus Heidelberg Laborfläche sucht, was müsste passieren, damit es bei Ihnen anruft?“</w:t>
            </w:r>
          </w:p>
        </w:tc>
      </w:tr>
    </w:tbl>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3 · Datenblatt</w:t>
      </w:r>
    </w:p>
    <w:p>
      <w:pPr>
        <w:spacing w:after="80" w:before="240"/>
      </w:pPr>
      <w:r>
        <w:rPr>
          <w:rFonts w:ascii="Calibri" w:cs="Calibri" w:eastAsia="Calibri" w:hAnsi="Calibri"/>
          <w:b/>
          <w:bCs/>
          <w:color w:val="33AB97"/>
          <w:sz w:val="24"/>
          <w:szCs w:val="24"/>
        </w:rPr>
        <w:t xml:space="preserve">Digitaler Wettbewerb (SISTRIX)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c>
          <w:tcPr>
            <w:tcW w:type="dxa" w:w="3638"/>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8"/>
                <w:szCs w:val="18"/>
              </w:rPr>
              <w:t xml:space="preserve">Domain</w:t>
            </w:r>
          </w:p>
        </w:tc>
        <w:tc>
          <w:tcPr>
            <w:tcW w:type="dxa" w:w="20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Sichtbarkeit</w:t>
            </w:r>
          </w:p>
        </w:tc>
        <w:tc>
          <w:tcPr>
            <w:tcW w:type="dxa" w:w="20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Klicks/Monat</w:t>
            </w:r>
          </w:p>
        </w:tc>
        <w:tc>
          <w:tcPr>
            <w:tcW w:type="dxa" w:w="20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Keywords</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colliers.de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0,70</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41.631</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15.618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jll.de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0,36</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21.584</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9.988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patrizia.ag</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0,19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11.479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2.754</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bnppre.de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0,19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5.534</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4.615</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cbre.de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0,14</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15.217</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3.613</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savills.de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0,09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7.179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4.207</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beos.net</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0,07</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14.380</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2.265</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bulwiengesa.de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0,02</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1.618</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887</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aengevelt.com</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0,01</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1.886</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708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bCs/>
                <w:color w:val="111111"/>
                <w:sz w:val="18"/>
                <w:szCs w:val="18"/>
              </w:rPr>
              <w:t xml:space="preserve">scholl-solutions.de</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bCs/>
                <w:color w:val="111111"/>
                <w:sz w:val="18"/>
                <w:szCs w:val="18"/>
              </w:rPr>
              <w:t xml:space="preserve">0,01</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bCs/>
                <w:color w:val="111111"/>
                <w:sz w:val="18"/>
                <w:szCs w:val="18"/>
              </w:rPr>
              <w:t xml:space="preserve">1.649</w:t>
            </w:r>
          </w:p>
        </w:tc>
        <w:tc>
          <w:tcPr>
            <w:tcW w:type="dxa" w:w="2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bCs/>
                <w:color w:val="111111"/>
                <w:sz w:val="18"/>
                <w:szCs w:val="18"/>
              </w:rPr>
              <w:t xml:space="preserve">319</w:t>
            </w:r>
          </w:p>
        </w:tc>
      </w:tr>
    </w:tbl>
    <w:p>
      <w:pPr>
        <w:spacing w:after="0" w:before="60"/>
      </w:pPr>
      <w:r>
        <w:t xml:space="preserve"/>
      </w:r>
    </w:p>
    <w:p>
      <w:pPr>
        <w:spacing w:after="60" w:before="60"/>
      </w:pPr>
      <w:r>
        <w:rPr>
          <w:rFonts w:ascii="Calibri" w:cs="Calibri" w:eastAsia="Calibri" w:hAnsi="Calibri"/>
          <w:i/>
          <w:iCs/>
          <w:color w:val="111111"/>
          <w:sz w:val="20"/>
          <w:szCs w:val="20"/>
        </w:rPr>
        <w:t xml:space="preserve">Geschätzter SEO-Wert scholl-solutions.de: 559 €/Monat. Regionale Boutique-Konkurrenz außerhalb der SISTRIX-Daten (H): Dils Mannheim, NAI Apollo, Engel &amp; Völkers Commercial Mannheim.</w:t>
      </w:r>
    </w:p>
    <w:p>
      <w:pPr>
        <w:spacing w:after="0" w:before="120"/>
      </w:pPr>
      <w:r>
        <w:t xml:space="preserve"/>
      </w:r>
    </w:p>
    <w:p>
      <w:pPr>
        <w:spacing w:after="80" w:before="240"/>
      </w:pPr>
      <w:r>
        <w:rPr>
          <w:rFonts w:ascii="Calibri" w:cs="Calibri" w:eastAsia="Calibri" w:hAnsi="Calibri"/>
          <w:b/>
          <w:bCs/>
          <w:color w:val="33AB97"/>
          <w:sz w:val="24"/>
          <w:szCs w:val="24"/>
        </w:rPr>
        <w:t xml:space="preserve">Markt und Trends in Kürze (alles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8"/>
                <w:szCs w:val="18"/>
              </w:rPr>
              <w:t xml:space="preserve">Thema</w:t>
            </w:r>
          </w:p>
        </w:tc>
        <w:tc>
          <w:tcPr>
            <w:tcW w:type="dxa" w:w="6838"/>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Kernaussage</w:t>
            </w:r>
          </w:p>
        </w:tc>
      </w:tr>
      <w:tr>
        <w:tc>
          <w:tcPr>
            <w:tcW w:type="dxa" w:w="28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Regionales Potenzial</w:t>
            </w:r>
          </w:p>
        </w:tc>
        <w:tc>
          <w:tcPr>
            <w:tcW w:type="dxa" w:w="68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Adressierbarer Provisionsmarkt Rhein-Neckar ca. 25–90 Mio. € p.a.</w:t>
            </w:r>
          </w:p>
        </w:tc>
      </w:tr>
      <w:tr>
        <w:tc>
          <w:tcPr>
            <w:tcW w:type="dxa" w:w="28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Marktphase</w:t>
            </w:r>
          </w:p>
        </w:tc>
        <w:tc>
          <w:tcPr>
            <w:tcW w:type="dxa" w:w="68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Erholung +5–10 % p.a. nach dem Einbruch 2022–2024</w:t>
            </w:r>
          </w:p>
        </w:tc>
      </w:tr>
      <w:tr>
        <w:tc>
          <w:tcPr>
            <w:tcW w:type="dxa" w:w="28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Treiber</w:t>
            </w:r>
          </w:p>
        </w:tc>
        <w:tc>
          <w:tcPr>
            <w:tcW w:type="dxa" w:w="68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Nearshoring, Zinssenkungszyklus, ESG-Refurbishment-Welle</w:t>
            </w:r>
          </w:p>
        </w:tc>
      </w:tr>
      <w:tr>
        <w:tc>
          <w:tcPr>
            <w:tcW w:type="dxa" w:w="28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Dämpfer</w:t>
            </w:r>
          </w:p>
        </w:tc>
        <w:tc>
          <w:tcPr>
            <w:tcW w:type="dxa" w:w="68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Struktureller Büroleerstand, Investitionszurückhaltung im Mittelstand</w:t>
            </w:r>
          </w:p>
        </w:tc>
      </w:tr>
      <w:tr>
        <w:tc>
          <w:tcPr>
            <w:tcW w:type="dxa" w:w="28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Strukturrisiko</w:t>
            </w:r>
          </w:p>
        </w:tc>
        <w:tc>
          <w:tcPr>
            <w:tcW w:type="dxa" w:w="68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PropTech-Plattformen verdrängen mittelfristig reine Vermittler; Spezialisierung auf Assetklassen gewinnt</w:t>
            </w:r>
          </w:p>
        </w:tc>
      </w:tr>
    </w:tbl>
    <w:p>
      <w:pPr>
        <w:spacing w:after="0" w:before="120"/>
      </w:pPr>
      <w:r>
        <w:t xml:space="preserve"/>
      </w:r>
    </w:p>
    <w:p>
      <w:pPr>
        <w:spacing w:after="80" w:before="240"/>
      </w:pPr>
      <w:r>
        <w:rPr>
          <w:rFonts w:ascii="Calibri" w:cs="Calibri" w:eastAsia="Calibri" w:hAnsi="Calibri"/>
          <w:b/>
          <w:bCs/>
          <w:color w:val="33AB97"/>
          <w:sz w:val="24"/>
          <w:szCs w:val="24"/>
        </w:rPr>
        <w:t xml:space="preserve">Förderhebel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c>
          <w:tcPr>
            <w:tcW w:type="dxa" w:w="24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8"/>
                <w:szCs w:val="18"/>
              </w:rPr>
              <w:t xml:space="preserve">Programm</w:t>
            </w:r>
          </w:p>
        </w:tc>
        <w:tc>
          <w:tcPr>
            <w:tcW w:type="dxa" w:w="26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Hebel</w:t>
            </w:r>
          </w:p>
        </w:tc>
        <w:tc>
          <w:tcPr>
            <w:tcW w:type="dxa" w:w="4638"/>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Einsatz im Mandat</w:t>
            </w:r>
          </w:p>
        </w:tc>
      </w:tr>
      <w:tr>
        <w:tc>
          <w:tcPr>
            <w:tcW w:type="dxa" w:w="24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INQA-Coaching</w:t>
            </w:r>
          </w:p>
        </w:tc>
        <w:tc>
          <w:tcPr>
            <w:tcW w:type="dxa" w:w="26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bis 80 %, max. 17.500 €</w:t>
            </w:r>
          </w:p>
        </w:tc>
        <w:tc>
          <w:tcPr>
            <w:tcW w:type="dxa" w:w="4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Digitalisierungsfahrplan, Führung und Personal; Eignung: gut</w:t>
            </w:r>
          </w:p>
        </w:tc>
      </w:tr>
      <w:tr>
        <w:tc>
          <w:tcPr>
            <w:tcW w:type="dxa" w:w="24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BAFA-Beratung</w:t>
            </w:r>
          </w:p>
        </w:tc>
        <w:tc>
          <w:tcPr>
            <w:tcW w:type="dxa" w:w="26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bis 3.500 € Zuschuss</w:t>
            </w:r>
          </w:p>
        </w:tc>
        <w:tc>
          <w:tcPr>
            <w:tcW w:type="dxa" w:w="4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Einstiegsberatung; senkt die erste Rechnung, Eignung: ja</w:t>
            </w:r>
          </w:p>
        </w:tc>
      </w:tr>
      <w:tr>
        <w:tc>
          <w:tcPr>
            <w:tcW w:type="dxa" w:w="24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KfW / Digitalbonus BW</w:t>
            </w:r>
          </w:p>
        </w:tc>
        <w:tc>
          <w:tcPr>
            <w:tcW w:type="dxa" w:w="26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Kredit bzw. Landeszuschuss</w:t>
            </w:r>
          </w:p>
        </w:tc>
        <w:tc>
          <w:tcPr>
            <w:tcW w:type="dxa" w:w="4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Erst prüfen, wenn CRM- oder Website-Invest konkret wird</w:t>
            </w:r>
          </w:p>
        </w:tc>
      </w:tr>
    </w:tbl>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4 · Gesprächsdrehbuch</w:t>
      </w:r>
    </w:p>
    <w:p>
      <w:pPr>
        <w:spacing w:after="80" w:before="240"/>
      </w:pPr>
      <w:r>
        <w:rPr>
          <w:rFonts w:ascii="Calibri" w:cs="Calibri" w:eastAsia="Calibri" w:hAnsi="Calibri"/>
          <w:b/>
          <w:bCs/>
          <w:color w:val="33AB97"/>
          <w:sz w:val="24"/>
          <w:szCs w:val="24"/>
        </w:rPr>
        <w:t xml:space="preserve">Hauptthema</w:t>
      </w:r>
    </w:p>
    <w:p>
      <w:pPr>
        <w:spacing w:after="60" w:before="60"/>
      </w:pPr>
      <w:r>
        <w:rPr>
          <w:rFonts w:ascii="Calibri" w:cs="Calibri" w:eastAsia="Calibri" w:hAnsi="Calibri"/>
          <w:color w:val="111111"/>
          <w:sz w:val="20"/>
          <w:szCs w:val="20"/>
        </w:rPr>
        <w:t xml:space="preserve">„Ihr Vorteil ist real, nur findet ihn niemand.“ Das bestätigt seine Stärke und diagnostiziert zugleich, warum Wachstum stockt. Es trifft den Unternehmer-Nerv, nicht den Makler-Nerv.</w:t>
      </w:r>
    </w:p>
    <w:p>
      <w:pPr>
        <w:spacing w:after="0" w:before="80"/>
      </w:pPr>
      <w:r>
        <w:t xml:space="preserve"/>
      </w:r>
    </w:p>
    <w:p>
      <w:pPr>
        <w:spacing w:after="80" w:before="240"/>
      </w:pPr>
      <w:r>
        <w:rPr>
          <w:rFonts w:ascii="Calibri" w:cs="Calibri" w:eastAsia="Calibri" w:hAnsi="Calibri"/>
          <w:b/>
          <w:bCs/>
          <w:color w:val="33AB97"/>
          <w:sz w:val="24"/>
          <w:szCs w:val="24"/>
        </w:rPr>
        <w:t xml:space="preserve">Dramaturgie</w:t>
      </w:r>
    </w:p>
    <w:p>
      <w:pPr>
        <w:spacing w:after="60" w:before="60"/>
      </w:pPr>
      <w:r>
        <w:rPr>
          <w:rFonts w:ascii="Calibri" w:cs="Calibri" w:eastAsia="Calibri" w:hAnsi="Calibri"/>
          <w:color w:val="111111"/>
          <w:sz w:val="20"/>
          <w:szCs w:val="20"/>
        </w:rPr>
        <w:t xml:space="preserve">Einstieg über die Auffindbarkeits-Frage (B1), dann das Referenzen-Lob (B2), strategische Öffnung über das Drei-Jahres-Bild (B3). Die Fragen stehen wörtlich bei den Befunden. Den Live-Sichtbarkeits-Check (90 Sekunden) erst nach der ersten Frage zeigen, dann ist der Boden bereitet.</w:t>
      </w:r>
    </w:p>
    <w:p>
      <w:pPr>
        <w:spacing w:after="0" w:before="80"/>
      </w:pPr>
      <w:r>
        <w:t xml:space="preserve"/>
      </w:r>
    </w:p>
    <w:p>
      <w:pPr>
        <w:spacing w:after="80" w:before="240"/>
      </w:pPr>
      <w:r>
        <w:rPr>
          <w:rFonts w:ascii="Calibri" w:cs="Calibri" w:eastAsia="Calibri" w:hAnsi="Calibri"/>
          <w:b/>
          <w:bCs/>
          <w:color w:val="33AB97"/>
          <w:sz w:val="24"/>
          <w:szCs w:val="24"/>
        </w:rPr>
        <w:t xml:space="preserve">Einwände</w:t>
      </w:r>
    </w:p>
    <w:p>
      <w:pPr>
        <w:spacing w:after="60" w:before="60"/>
      </w:pPr>
      <w:r>
        <w:rPr>
          <w:rFonts w:ascii="Calibri" w:cs="Calibri" w:eastAsia="Calibri" w:hAnsi="Calibri"/>
          <w:b/>
          <w:bCs/>
          <w:color w:val="111111"/>
          <w:sz w:val="20"/>
          <w:szCs w:val="20"/>
        </w:rPr>
        <w:t xml:space="preserve">„Wir kommen gut über Empfehlungen rein.“ </w:t>
      </w:r>
      <w:r>
        <w:rPr>
          <w:rFonts w:ascii="Calibri" w:cs="Calibri" w:eastAsia="Calibri" w:hAnsi="Calibri"/>
          <w:color w:val="111111"/>
          <w:sz w:val="20"/>
          <w:szCs w:val="20"/>
        </w:rPr>
        <w:t xml:space="preserve">Antwort: Stärke bestätigen, Zeithorizont verschieben. Empfehlungen sind der Beweis, dass der Ansatz funktioniert. Die Frage ist, wie die nächste Generation von Entscheidern in Mannheim und Heidelberg ihn findet, wenn sie nicht mehr über Introductions kommt, sondern über Google und LinkedIn. Im Moment: gar nicht.</w:t>
      </w:r>
    </w:p>
    <w:p>
      <w:pPr>
        <w:spacing w:after="60" w:before="60"/>
      </w:pPr>
      <w:r>
        <w:rPr>
          <w:rFonts w:ascii="Calibri" w:cs="Calibri" w:eastAsia="Calibri" w:hAnsi="Calibri"/>
          <w:b/>
          <w:bCs/>
          <w:color w:val="111111"/>
          <w:sz w:val="20"/>
          <w:szCs w:val="20"/>
        </w:rPr>
        <w:t xml:space="preserve">„Wir sind zu klein für so ein Projekt.“ </w:t>
      </w:r>
      <w:r>
        <w:rPr>
          <w:rFonts w:ascii="Calibri" w:cs="Calibri" w:eastAsia="Calibri" w:hAnsi="Calibri"/>
          <w:color w:val="111111"/>
          <w:sz w:val="20"/>
          <w:szCs w:val="20"/>
        </w:rPr>
        <w:t xml:space="preserve">Antwort: Der Einstieg ist klein und gefördert. BAFA übernimmt bis 3.500 €, INQA bis 80 % der Coaching-Kosten. Die erste Stufe ist ein halber Tag, kein Programm.</w:t>
      </w:r>
    </w:p>
    <w:p>
      <w:pPr>
        <w:spacing w:after="0" w:before="80"/>
      </w:pPr>
      <w:r>
        <w:t xml:space="preserve"/>
      </w:r>
    </w:p>
    <w:p>
      <w:pPr>
        <w:spacing w:after="80" w:before="240"/>
      </w:pPr>
      <w:r>
        <w:rPr>
          <w:rFonts w:ascii="Calibri" w:cs="Calibri" w:eastAsia="Calibri" w:hAnsi="Calibri"/>
          <w:b/>
          <w:bCs/>
          <w:color w:val="33AB97"/>
          <w:sz w:val="24"/>
          <w:szCs w:val="24"/>
        </w:rPr>
        <w:t xml:space="preserve">Tabu im Erstgespräch</w:t>
      </w:r>
    </w:p>
    <w:p>
      <w:pPr>
        <w:spacing w:after="60" w:before="60"/>
      </w:pPr>
      <w:r>
        <w:rPr>
          <w:rFonts w:ascii="Calibri" w:cs="Calibri" w:eastAsia="Calibri" w:hAnsi="Calibri"/>
          <w:color w:val="111111"/>
          <w:sz w:val="20"/>
          <w:szCs w:val="20"/>
        </w:rPr>
        <w:t xml:space="preserve">Die Teamfrage und mögliche Personalentscheidungen (wirkt wie Kritik), die Markennamen-Inkonsistenz (wirkt kleinkrämerisch), der Größenvergleich mit JLL und Colliers als Druckmittel (er weiß, dass er kleiner ist).</w:t>
      </w:r>
    </w:p>
    <w:p>
      <w:pPr>
        <w:spacing w:after="0" w:before="80"/>
      </w:pPr>
      <w:r>
        <w:t xml:space="preserve"/>
      </w:r>
    </w:p>
    <w:p>
      <w:pPr>
        <w:spacing w:after="80" w:before="240"/>
      </w:pPr>
      <w:r>
        <w:rPr>
          <w:rFonts w:ascii="Calibri" w:cs="Calibri" w:eastAsia="Calibri" w:hAnsi="Calibri"/>
          <w:b/>
          <w:bCs/>
          <w:color w:val="33AB97"/>
          <w:sz w:val="24"/>
          <w:szCs w:val="24"/>
        </w:rPr>
        <w:t xml:space="preserve">Nach dem Gespräch</w:t>
      </w:r>
    </w:p>
    <w:p>
      <w:pPr>
        <w:spacing w:after="60" w:before="60"/>
      </w:pPr>
      <w:r>
        <w:rPr>
          <w:rFonts w:ascii="Calibri" w:cs="Calibri" w:eastAsia="Calibri" w:hAnsi="Calibri"/>
          <w:color w:val="111111"/>
          <w:sz w:val="20"/>
          <w:szCs w:val="20"/>
        </w:rPr>
        <w:t xml:space="preserve">Binnen 48 Stunden eine einseitige Zusammenfassung: die zwei, drei Punkte, auf die wir uns geeinigt haben, ein Terminvorschlag mit klarer Agenda, BAFA-Unterlagen im Anhang. Kein zehnseitiges Angebot. Ein Blatt, das zeigt, dass ich zugehört habe.</w:t>
      </w:r>
    </w:p>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Teil B · Kundenteil (abtrennbar)</w:t>
      </w:r>
    </w:p>
    <w:p>
      <w:pPr>
        <w:spacing w:after="60" w:before="60"/>
      </w:pPr>
      <w:r>
        <w:rPr>
          <w:rFonts w:ascii="Calibri" w:cs="Calibri" w:eastAsia="Calibri" w:hAnsi="Calibri"/>
          <w:color w:val="111111"/>
          <w:sz w:val="20"/>
          <w:szCs w:val="20"/>
        </w:rPr>
        <w:t xml:space="preserve">Die folgenden Seiten sind so geschrieben, dass sie direkt an Aljoscha Scholl gehen können, im Erstgespräch auf den Tisch oder als Anlage zur 48-Stunden-Mail. Sie enthalten keine internen Einschätzungen, keine Gesprächstaktik und keinen Beratungsfahrplan. Nur Diagnose, Anerkennung und drei Hinweise darauf, dass das Problem lösbar ist.</w:t>
      </w:r>
    </w:p>
    <w:p>
      <w:r>
        <w:br w:type="page"/>
      </w:r>
    </w:p>
    <w:p>
      <w:pPr>
        <w:spacing w:after="80" w:before="160"/>
      </w:pPr>
      <w:r>
        <w:rPr>
          <w:rFonts w:ascii="Calibri" w:cs="Calibri" w:eastAsia="Calibri" w:hAnsi="Calibri"/>
          <w:b/>
          <w:bCs/>
          <w:color w:val="454544"/>
          <w:sz w:val="48"/>
          <w:szCs w:val="48"/>
        </w:rPr>
        <w:t xml:space="preserve">Digitaler Sichtbarkeits-Check</w:t>
      </w:r>
    </w:p>
    <w:p>
      <w:pPr>
        <w:spacing w:after="40" w:before="0"/>
      </w:pPr>
      <w:r>
        <w:rPr>
          <w:rFonts w:ascii="Calibri" w:cs="Calibri" w:eastAsia="Calibri" w:hAnsi="Calibri"/>
          <w:color w:val="33AB97"/>
          <w:sz w:val="28"/>
          <w:szCs w:val="28"/>
        </w:rPr>
        <w:t xml:space="preserve">Scholl Real Estate Solutions · Kurzdossier</w:t>
      </w:r>
    </w:p>
    <w:p>
      <w:pPr>
        <w:spacing w:after="0" w:before="0"/>
      </w:pPr>
      <w:r>
        <w:rPr>
          <w:rFonts w:ascii="Calibri" w:cs="Calibri" w:eastAsia="Calibri" w:hAnsi="Calibri"/>
          <w:color w:val="777777"/>
          <w:sz w:val="18"/>
          <w:szCs w:val="18"/>
        </w:rPr>
        <w:t xml:space="preserve">Für Aljoscha Scholl · Clemens Gutmann, be nice Managementberatung · Juni 2026</w:t>
      </w:r>
    </w:p>
    <w:p>
      <w:pPr>
        <w:spacing w:after="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3A1B6" w:sz="1"/>
              <w:left w:val="single" w:color="13A1B6" w:sz="12"/>
              <w:bottom w:val="single" w:color="13A1B6" w:sz="1"/>
              <w:right w:val="single" w:color="13A1B6" w:sz="1"/>
            </w:tcBorders>
            <w:shd w:fill="EEF9F7" w:val="clear"/>
            <w:tcMar>
              <w:top w:type="dxa" w:w="120"/>
              <w:left w:type="dxa" w:w="200"/>
              <w:bottom w:type="dxa" w:w="120"/>
              <w:right w:type="dxa" w:w="160"/>
            </w:tcMar>
          </w:tcPr>
          <w:p>
            <w:pPr>
              <w:spacing w:after="0" w:before="0"/>
            </w:pPr>
            <w:r>
              <w:rPr>
                <w:rFonts w:ascii="Calibri" w:cs="Calibri" w:eastAsia="Calibri" w:hAnsi="Calibri"/>
                <w:i/>
                <w:iCs/>
                <w:color w:val="111111"/>
                <w:sz w:val="20"/>
                <w:szCs w:val="20"/>
              </w:rPr>
              <w:t xml:space="preserve">Dieses Kurzdossier zeigt, was ein potenzieller Mandant sieht, wenn er Sie heute sucht. Und was er nicht sieht.</w:t>
            </w:r>
          </w:p>
        </w:tc>
      </w:tr>
    </w:tbl>
    <w:p>
      <w:pPr>
        <w:spacing w:after="0" w:before="20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Ein Geschäftsführer aus Heidelberg</w:t>
      </w:r>
    </w:p>
    <w:p>
      <w:pPr>
        <w:spacing w:after="60" w:before="60"/>
      </w:pPr>
      <w:r>
        <w:rPr>
          <w:rFonts w:ascii="Calibri" w:cs="Calibri" w:eastAsia="Calibri" w:hAnsi="Calibri"/>
          <w:color w:val="111111"/>
          <w:sz w:val="20"/>
          <w:szCs w:val="20"/>
        </w:rPr>
        <w:t xml:space="preserve">Stellen Sie sich einen Geschäftsführer aus Heidelberg vor. Sein Unternehmen wächst, der Mietvertrag läuft aus, er braucht 1.200 Quadratmeter Bürofläche. Er kennt Sie nicht. Also tut er, was heute fast jeder Entscheider zuerst tut: Er googelt. „Bürofläche Mannheim mieten.“ „Gewerbeimmobilien Rhein-Neckar.“</w:t>
      </w:r>
    </w:p>
    <w:p>
      <w:pPr>
        <w:spacing w:after="60" w:before="60"/>
      </w:pPr>
      <w:r>
        <w:rPr>
          <w:rFonts w:ascii="Calibri" w:cs="Calibri" w:eastAsia="Calibri" w:hAnsi="Calibri"/>
          <w:color w:val="111111"/>
          <w:sz w:val="20"/>
          <w:szCs w:val="20"/>
        </w:rPr>
        <w:t xml:space="preserve">Er findet Colliers. Er findet JLL. Er findet die großen Portale. Sie findet er nicht.</w:t>
      </w:r>
    </w:p>
    <w:p>
      <w:pPr>
        <w:spacing w:after="60" w:before="60"/>
      </w:pPr>
      <w:r>
        <w:rPr>
          <w:rFonts w:ascii="Calibri" w:cs="Calibri" w:eastAsia="Calibri" w:hAnsi="Calibri"/>
          <w:color w:val="111111"/>
          <w:sz w:val="20"/>
          <w:szCs w:val="20"/>
        </w:rPr>
        <w:t xml:space="preserve">Dabei hätte er bei Ihnen vermutlich die bessere Beratung bekommen. Ihre Referenzliste, Deka, alstria, Sparkassenversicherung, ActivumSG, ist für ein inhabergeführtes Büro außergewöhnlich. Ihr Mandats-Kodex, also der Verzicht auf die gleichzeitige Vertretung von Mieter- und Eigentümerseite, unterscheidet Sie spürbar von den großen Häusern. Und 15 Jahre Rhein-Neckar sind ein Marktzugang, den man nicht kaufen kann. Ihre Substanz ist nicht das Problem. Das Problem ist, dass diese Substanz im Netz nicht vorkommt.</w:t>
      </w:r>
    </w:p>
    <w:p>
      <w:pPr>
        <w:spacing w:after="0" w:before="12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Die Zahlen</w:t>
      </w:r>
    </w:p>
    <w:p>
      <w:pPr>
        <w:spacing w:after="60" w:before="60"/>
      </w:pPr>
      <w:r>
        <w:rPr>
          <w:rFonts w:ascii="Calibri" w:cs="Calibri" w:eastAsia="Calibri" w:hAnsi="Calibri"/>
          <w:color w:val="111111"/>
          <w:sz w:val="20"/>
          <w:szCs w:val="20"/>
        </w:rPr>
        <w:t xml:space="preserve">SISTRIX misst, wie sichtbar eine Website in den Google-Ergebnissen ist. Hier der Stand für Ihren Markt:</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c>
          <w:tcPr>
            <w:tcW w:type="dxa" w:w="3638"/>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8"/>
                <w:szCs w:val="18"/>
              </w:rPr>
              <w:t xml:space="preserve">Domain</w:t>
            </w:r>
          </w:p>
        </w:tc>
        <w:tc>
          <w:tcPr>
            <w:tcW w:type="dxa" w:w="30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Sichtbarkeitsindex</w:t>
            </w:r>
          </w:p>
        </w:tc>
        <w:tc>
          <w:tcPr>
            <w:tcW w:type="dxa" w:w="3000"/>
            <w:tcBorders>
              <w:top w:val="single" w:color="CCCCCC" w:sz="1"/>
              <w:left w:val="single" w:color="CCCCCC" w:sz="1"/>
              <w:bottom w:val="single" w:color="CCCCCC" w:sz="1"/>
              <w:right w:val="single" w:color="CCCCCC" w:sz="1"/>
            </w:tcBorders>
            <w:shd w:fill="8CC63E"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Rankende Keywords</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colliers.de</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0,70</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15.618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jll.de</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0,36</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9.988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11111"/>
                <w:sz w:val="18"/>
                <w:szCs w:val="18"/>
              </w:rPr>
              <w:t xml:space="preserve">aengevelt.com</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0,01</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color w:val="111111"/>
                <w:sz w:val="18"/>
                <w:szCs w:val="18"/>
              </w:rPr>
              <w:t xml:space="preserve">708</w:t>
            </w:r>
          </w:p>
        </w:tc>
      </w:tr>
      <w:tr>
        <w:tc>
          <w:tcPr>
            <w:tcW w:type="dxa" w:w="3638"/>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left"/>
            </w:pPr>
            <w:r>
              <w:rPr>
                <w:rFonts w:ascii="Calibri" w:cs="Calibri" w:eastAsia="Calibri" w:hAnsi="Calibri"/>
                <w:b/>
                <w:bCs/>
                <w:color w:val="111111"/>
                <w:sz w:val="18"/>
                <w:szCs w:val="18"/>
              </w:rPr>
              <w:t xml:space="preserve">scholl-solutions.de</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bCs/>
                <w:color w:val="111111"/>
                <w:sz w:val="18"/>
                <w:szCs w:val="18"/>
              </w:rPr>
              <w:t xml:space="preserve">0,01</w:t>
            </w:r>
          </w:p>
        </w:tc>
        <w:tc>
          <w:tcPr>
            <w:tcW w:type="dxa" w:w="3000"/>
            <w:tcBorders>
              <w:top w:val="single" w:color="CCCCCC" w:sz="1"/>
              <w:left w:val="single" w:color="CCCCCC" w:sz="1"/>
              <w:bottom w:val="single" w:color="CCCCCC" w:sz="1"/>
              <w:right w:val="single" w:color="CCCCCC" w:sz="1"/>
            </w:tcBorders>
            <w:shd w:fill="E9E9E9" w:val="clear"/>
            <w:tcMar>
              <w:top w:type="dxa" w:w="80"/>
              <w:left w:type="dxa" w:w="120"/>
              <w:bottom w:type="dxa" w:w="80"/>
              <w:right w:type="dxa" w:w="120"/>
            </w:tcMar>
            <w:vAlign w:val="center"/>
          </w:tcPr>
          <w:p>
            <w:pPr>
              <w:spacing w:after="0" w:before="0"/>
              <w:jc w:val="center"/>
            </w:pPr>
            <w:r>
              <w:rPr>
                <w:rFonts w:ascii="Calibri" w:cs="Calibri" w:eastAsia="Calibri" w:hAnsi="Calibri"/>
                <w:b/>
                <w:bCs/>
                <w:color w:val="111111"/>
                <w:sz w:val="18"/>
                <w:szCs w:val="18"/>
              </w:rPr>
              <w:t xml:space="preserve">319</w:t>
            </w:r>
          </w:p>
        </w:tc>
      </w:tr>
    </w:tbl>
    <w:p>
      <w:pPr>
        <w:spacing w:after="0" w:before="60"/>
      </w:pPr>
      <w:r>
        <w:t xml:space="preserve"/>
      </w:r>
    </w:p>
    <w:p>
      <w:pPr>
        <w:spacing w:after="60" w:before="60"/>
      </w:pPr>
      <w:r>
        <w:rPr>
          <w:rFonts w:ascii="Calibri" w:cs="Calibri" w:eastAsia="Calibri" w:hAnsi="Calibri"/>
          <w:color w:val="111111"/>
          <w:sz w:val="20"/>
          <w:szCs w:val="20"/>
        </w:rPr>
        <w:t xml:space="preserve">Hinter den 319 Keywords steckt eine zweite Zahl, die mehr erzählt: 99 Prozent Ihrer Besucher aus Google landen auf nur zwei Seiten, der Startseite und der Objektliste. Ihre Kontaktseite erreicht über die Suche praktisch niemanden. Übersetzt heißt das: Wer Sie kennt, findet Sie. Wer Sie nicht kennt, findet Colliers.</w:t>
      </w:r>
    </w:p>
    <w:p>
      <w:pPr>
        <w:spacing w:after="60" w:before="60"/>
      </w:pPr>
      <w:r>
        <w:rPr>
          <w:rFonts w:ascii="Calibri" w:cs="Calibri" w:eastAsia="Calibri" w:hAnsi="Calibri"/>
          <w:color w:val="111111"/>
          <w:sz w:val="20"/>
          <w:szCs w:val="20"/>
        </w:rPr>
        <w:t xml:space="preserve">Ihre Website arbeitet heute als Visitenkarte für Menschen, die Ihnen schon begegnet sind. Als Kanal für neue Mandate ist sie stumm.</w:t>
      </w:r>
    </w:p>
    <w:p>
      <w:pPr>
        <w:spacing w:after="0" w:before="12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Was das für Sie bedeutet</w:t>
      </w:r>
    </w:p>
    <w:p>
      <w:pPr>
        <w:spacing w:after="60" w:before="60"/>
      </w:pPr>
      <w:r>
        <w:rPr>
          <w:rFonts w:ascii="Calibri" w:cs="Calibri" w:eastAsia="Calibri" w:hAnsi="Calibri"/>
          <w:color w:val="111111"/>
          <w:sz w:val="20"/>
          <w:szCs w:val="20"/>
        </w:rPr>
        <w:t xml:space="preserve">Jedes neue Mandat hängt damit an Ihrem persönlichen Netzwerk. Das hat Sie 15 Jahre weit getragen, und es spricht für Sie. Aber die nächste Generation von Entscheidern in Mannheim und Heidelberg sucht anders: erst Google, dann LinkedIn, dann die Empfehlung. Wenn Sie dort nicht stattfinden, beginnt jedes Gespräch ohne Sie.</w:t>
      </w:r>
    </w:p>
    <w:p>
      <w:pPr>
        <w:spacing w:after="60" w:before="60"/>
      </w:pPr>
      <w:r>
        <w:rPr>
          <w:rFonts w:ascii="Calibri" w:cs="Calibri" w:eastAsia="Calibri" w:hAnsi="Calibri"/>
          <w:color w:val="111111"/>
          <w:sz w:val="20"/>
          <w:szCs w:val="20"/>
        </w:rPr>
        <w:t xml:space="preserve">Die Tabelle oben enthält allerdings auch eine gute Nachricht, und sie steht in der dritten Zeile: Selbst etablierte regionale Wettbewerber liegen beim selben Index wie Sie. Kein Boutique-Büro in der Region hat die lokalen Suchanfragen besetzt, und die großen Häuser sind dort nicht konkret genug. Der Erste, der handelt, wird die regionale Referenz. Dieses Fenster ist offen. Es bleibt nicht ewig offen.</w:t>
      </w:r>
    </w:p>
    <w:p>
      <w:pPr>
        <w:spacing w:after="0" w:before="120"/>
      </w:pPr>
      <w:r>
        <w:t xml:space="preserve"/>
      </w:r>
    </w:p>
    <w:p>
      <w:pPr>
        <w:pBdr>
          <w:bottom w:val="single" w:color="8CC63E" w:sz="12" w:space="6"/>
        </w:pBdr>
        <w:spacing w:after="160" w:before="320"/>
      </w:pPr>
      <w:r>
        <w:rPr>
          <w:rFonts w:ascii="Calibri" w:cs="Calibri" w:eastAsia="Calibri" w:hAnsi="Calibri"/>
          <w:b/>
          <w:bCs/>
          <w:color w:val="454544"/>
          <w:sz w:val="40"/>
          <w:szCs w:val="40"/>
        </w:rPr>
        <w:t xml:space="preserve">Drei Hebel, die schnell wirken</w:t>
      </w:r>
    </w:p>
    <w:p>
      <w:pPr>
        <w:spacing w:after="60" w:before="60"/>
      </w:pPr>
      <w:r>
        <w:rPr>
          <w:rFonts w:ascii="Calibri" w:cs="Calibri" w:eastAsia="Calibri" w:hAnsi="Calibri"/>
          <w:color w:val="111111"/>
          <w:sz w:val="20"/>
          <w:szCs w:val="20"/>
        </w:rPr>
        <w:t xml:space="preserve">1 · Ihr Google-Unternehmensprofil. Vollständig gepflegt, mit aktiven Bewertungen und aktuellen Objekten, wirkt es in lokalen Suchen innerhalb von Wochen. Ohne Werbebudget.</w:t>
      </w:r>
    </w:p>
    <w:p>
      <w:pPr>
        <w:spacing w:after="60" w:before="60"/>
      </w:pPr>
      <w:r>
        <w:rPr>
          <w:rFonts w:ascii="Calibri" w:cs="Calibri" w:eastAsia="Calibri" w:hAnsi="Calibri"/>
          <w:color w:val="111111"/>
          <w:sz w:val="20"/>
          <w:szCs w:val="20"/>
        </w:rPr>
        <w:t xml:space="preserve">2 · Seiten, die echte Suchanfragen beantworten. Wer „Bürofläche Mannheim mieten“ sucht, will Marktkenntnis sehen, keine Imagebroschüre. Eine Handvoll guter regionaler Themenseiten reicht, um in diese Lücke zu treten.</w:t>
      </w:r>
    </w:p>
    <w:p>
      <w:pPr>
        <w:spacing w:after="60" w:before="60"/>
      </w:pPr>
      <w:r>
        <w:rPr>
          <w:rFonts w:ascii="Calibri" w:cs="Calibri" w:eastAsia="Calibri" w:hAnsi="Calibri"/>
          <w:color w:val="111111"/>
          <w:sz w:val="20"/>
          <w:szCs w:val="20"/>
        </w:rPr>
        <w:t xml:space="preserve">3 · Ihre Referenzen als Geschichten. Deka und alstria als Logo beeindrucken kurz. Deka und alstria als erzählter Fall, mit Aufgabe, Weg und Ergebnis, überzeugen. Genau das fehlt heute.</w:t>
      </w:r>
    </w:p>
    <w:p>
      <w:pPr>
        <w:spacing w:after="0" w:before="60"/>
      </w:pPr>
      <w:r>
        <w:t xml:space="preserve"/>
      </w:r>
    </w:p>
    <w:p>
      <w:pPr>
        <w:spacing w:after="60" w:before="60"/>
      </w:pPr>
      <w:r>
        <w:rPr>
          <w:rFonts w:ascii="Calibri" w:cs="Calibri" w:eastAsia="Calibri" w:hAnsi="Calibri"/>
          <w:color w:val="111111"/>
          <w:sz w:val="20"/>
          <w:szCs w:val="20"/>
        </w:rPr>
        <w:t xml:space="preserve">Ein Hinweis zur Wirtschaftlichkeit: Für ein Unternehmen Ihrer Größe ist ein erheblicher Teil der Beratung förderfähig. Das BAFA-Programm bezuschusst Unternehmensberatung mit bis zu 3.500 €, das Bundesprogramm INQA trägt beim Coaching bis zu 80 Prozent der Kosten. Der Einstieg ist also deutlich kleiner, als diese Diagnose vielleicht klingt.</w:t>
      </w:r>
    </w:p>
    <w:p>
      <w:pPr>
        <w:spacing w:after="0" w:before="200"/>
      </w:pPr>
      <w:r>
        <w:t xml:space="preserve"/>
      </w:r>
    </w:p>
    <w:p>
      <w:pPr>
        <w:spacing w:after="120" w:before="0"/>
      </w:pPr>
      <w:r>
        <w:rPr>
          <w:rFonts w:ascii="Calibri" w:cs="Calibri" w:eastAsia="Calibri" w:hAnsi="Calibri"/>
          <w:b/>
          <w:bCs/>
          <w:color w:val="8CC63E"/>
          <w:sz w:val="24"/>
          <w:szCs w:val="24"/>
        </w:rPr>
        <w:t xml:space="preserve">Nächster Schritt</w:t>
      </w:r>
    </w:p>
    <w:p>
      <w:pPr>
        <w:spacing w:after="60" w:before="60"/>
      </w:pPr>
      <w:r>
        <w:rPr>
          <w:rFonts w:ascii="Calibri" w:cs="Calibri" w:eastAsia="Calibri" w:hAnsi="Calibri"/>
          <w:color w:val="111111"/>
          <w:sz w:val="20"/>
          <w:szCs w:val="20"/>
        </w:rPr>
        <w:t xml:space="preserve">Wenn Sie wissen wollen, wie sich diese Zahlen in zwölf Monaten anders lesen können: Lassen Sie uns eine Stunde sprechen. Die Diagnose haben Sie hiermit bereits in der Hand.</w:t>
      </w:r>
    </w:p>
    <w:p>
      <w:pPr>
        <w:spacing w:after="0" w:before="80"/>
      </w:pPr>
      <w:r>
        <w:t xml:space="preserve"/>
      </w:r>
    </w:p>
    <w:p>
      <w:pPr>
        <w:spacing w:after="0" w:before="40"/>
      </w:pPr>
      <w:r>
        <w:rPr>
          <w:rFonts w:ascii="Calibri" w:cs="Calibri" w:eastAsia="Calibri" w:hAnsi="Calibri"/>
          <w:color w:val="454544"/>
          <w:sz w:val="18"/>
          <w:szCs w:val="18"/>
        </w:rPr>
        <w:t xml:space="preserve">Clemens Gutmann  ·  </w:t>
      </w:r>
      <w:hyperlink w:history="1" r:id="rIdy1mxj9lfobiuekru4avo7">
        <w:r>
          <w:rPr>
            <w:rFonts w:ascii="Calibri" w:cs="Calibri" w:eastAsia="Calibri" w:hAnsi="Calibri"/>
            <w:color w:val="13A1B6"/>
            <w:sz w:val="18"/>
            <w:szCs w:val="18"/>
          </w:rPr>
          <w:t xml:space="preserve">clemens@nice-network.de</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9E9" w:sz="4" w:space="4"/>
      </w:pBd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tcMar>
            <w:top w:type="dxa" w:w="60"/>
            <w:left w:type="dxa" w:w="60"/>
            <w:bottom w:type="dxa" w:w="60"/>
            <w:right w:type="dxa" w:w="0"/>
          </w:tcMar>
          <w:vAlign w:val="center"/>
        </w:tcPr>
        <w:p>
          <w:pPr>
            <w:spacing w:after="0" w:before="0"/>
            <w:jc w:val="right"/>
          </w:pP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 </w:t>
          </w:r>
          <w:r>
            <w:rPr>
              <w:rFonts w:ascii="Calibri" w:cs="Calibri" w:eastAsia="Calibri" w:hAnsi="Calibri"/>
              <w:color w:val="777777"/>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8CC63E" w:sz="6" w:space="0"/>
        <w:right w:val="none" w:color="FFFFFF" w:sz="0"/>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shd w:fill="E9E9E9" w:val="clear"/>
          <w:tcMar>
            <w:top w:type="dxa" w:w="60"/>
            <w:left w:type="dxa" w:w="0"/>
            <w:bottom w:type="dxa" w:w="60"/>
            <w:right w:type="dxa" w:w="0"/>
          </w:tcMar>
          <w:vAlign w:val="center"/>
        </w:tcPr>
        <w:p>
          <w:pPr>
            <w:spacing w:after="0" w:before="0"/>
          </w:pPr>
          <w:r>
            <w:drawing>
              <wp:inline distT="0" distB="0" distL="0" distR="0">
                <wp:extent cx="1190625" cy="419100"/>
                <wp:effectExtent t="0" r="0" b="0" l="0"/>
                <wp:docPr id="1" name="benice" descr="be nice Logo" title="be 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90625" cy="419100"/>
                        </a:xfrm>
                        <a:prstGeom prst="rect">
                          <a:avLst/>
                        </a:prstGeom>
                      </pic:spPr>
                    </pic:pic>
                  </a:graphicData>
                </a:graphic>
              </wp:inline>
            </w:drawing>
          </w:r>
        </w:p>
      </w:tc>
      <w:tc>
        <w:tcPr>
          <w:tcW w:type="dxa" w:w="7438"/>
          <w:tcBorders>
            <w:top w:val="none" w:color="FFFFFF" w:sz="0"/>
            <w:left w:val="none" w:color="FFFFFF" w:sz="0"/>
            <w:bottom w:val="none" w:color="FFFFFF" w:sz="0"/>
            <w:right w:val="none" w:color="FFFFFF" w:sz="0"/>
          </w:tcBorders>
          <w:shd w:fill="E9E9E9" w:val="clear"/>
          <w:tcMar>
            <w:top w:type="dxa" w:w="60"/>
            <w:left w:type="dxa" w:w="0"/>
            <w:bottom w:type="dxa" w:w="60"/>
            <w:right w:type="dxa" w:w="0"/>
          </w:tcMar>
          <w:vAlign w:val="center"/>
        </w:tcPr>
        <w:p>
          <w:pPr>
            <w:spacing w:after="0" w:before="0"/>
            <w:jc w:val="right"/>
          </w:pPr>
          <w:r>
            <w:rPr>
              <w:rFonts w:ascii="Calibri" w:cs="Calibri" w:eastAsia="Calibri" w:hAnsi="Calibri"/>
              <w:color w:val="777777"/>
              <w:sz w:val="18"/>
              <w:szCs w:val="18"/>
            </w:rPr>
            <w:t xml:space="preserve">www.nice-network.de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1mxj9lfobiuekru4avo7" Type="http://schemas.openxmlformats.org/officeDocument/2006/relationships/hyperlink" Target="mailto:clemens@nice-network.d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9990461a39dd3749a4e5ec5f2c204b87fd13b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2026-06-12T11:37:00.211Z</dcterms:created>
  <dcterms:modified xsi:type="dcterms:W3CDTF">2026-06-12T11:37:00.212Z</dcterms:modified>
</cp:coreProperties>
</file>

<file path=docProps/custom.xml><?xml version="1.0" encoding="utf-8"?>
<Properties xmlns="http://schemas.openxmlformats.org/officeDocument/2006/custom-properties" xmlns:vt="http://schemas.openxmlformats.org/officeDocument/2006/docPropsVTypes"/>
</file>