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Worklive Product Requirements</w:t>
      </w:r>
    </w:p>
    <w:p>
      <w:pPr>
        <w:pStyle w:val="Subtitle"/>
      </w:pPr>
      <w:r>
        <w:t>Product strategy and implementation plan</w:t>
      </w:r>
    </w:p>
    <w:p>
      <w:r>
        <w:t>Version 1.0  •  30 September 2026  •  Proposed product direction</w:t>
      </w:r>
    </w:p>
    <w:p>
      <w:r/>
      <w:r>
        <w:rPr>
          <w:b/>
        </w:rPr>
        <w:t>Recommendation.</w:t>
      </w:r>
      <w:r>
        <w:t xml:space="preserve"> Build Worklive as a personal AI team that turns a clear brief into a finished, reviewable result. Its 3D office should help the user understand who owns the work, what is happening, and where intervention is needed. The first productive release should complete research and document tasks through the browser already present in the prototype.</w:t>
      </w:r>
    </w:p>
    <w:p>
      <w:r>
        <w:t>This PRD defines the productive core, the relationship between real work and office life, the requirements for a trustworthy browser, and a staged route from the existing prototype. It also identifies useful concepts from TerminalOS and Workspace OS and compares closely related products.</w:t>
      </w:r>
    </w:p>
    <w:p>
      <w:r/>
      <w:r>
        <w:rPr>
          <w:b/>
        </w:rPr>
        <w:t>Initial audience assumption.</w:t>
      </w:r>
      <w:r>
        <w:t xml:space="preserve"> Start with an individual founder, creator, researcher or project lead who wants help investigating a topic and preparing useful work. Validate this audience before expanding into a software development platform or a general business automation suite.</w:t>
      </w:r>
    </w:p>
    <w:p>
      <w:r/>
      <w:r>
        <w:rPr>
          <w:b/>
        </w:rPr>
        <w:t>First success.</w:t>
      </w:r>
      <w:r>
        <w:t xml:space="preserve"> A user asks for a sourced comparison, watches an agent investigate the sources, receives an editable brief and comparison table, and can request a revision without restating the project. A second agent helps only when its distinct assignment improves the result.</w:t>
      </w:r>
    </w:p>
    <w:p>
      <w:r/>
      <w:r>
        <w:rPr>
          <w:b/>
        </w:rPr>
        <w:t>Main product hypothesis.</w:t>
      </w:r>
      <w:r>
        <w:t xml:space="preserve"> Persistent characters and visible work can make delegation easier to understand and more pleasant to return to. The hypothesis succeeds only if users finish valuable work with less supervision; visual appeal alone does not establish productivity.</w:t>
      </w:r>
    </w:p>
    <w:p>
      <w:pPr>
        <w:pStyle w:val="Heading1"/>
      </w:pPr>
      <w:r>
        <w:t>1 Product decisions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13"/>
        <w:gridCol w:w="3240"/>
        <w:gridCol w:w="5141"/>
      </w:tblGrid>
      <w:tr>
        <w:trPr>
          <w:cantSplit/>
          <w:tblHeader/>
        </w:trPr>
        <w:tc>
          <w:tcPr>
            <w:tcW w:type="dxa" w:w="1613"/>
            <w:vAlign w:val="center"/>
            <w:tcMar>
              <w:top w:w="90" w:type="dxa"/>
              <w:bottom w:w="90" w:type="dxa"/>
              <w:left w:w="100" w:type="dxa"/>
              <w:right w:w="100" w:type="dxa"/>
            </w:tcMar>
            <w:shd w:fill="E6EDF2"/>
          </w:tcPr>
          <w:p>
            <w:pPr>
              <w:spacing w:after="0" w:line="250" w:lineRule="auto"/>
            </w:pPr>
            <w:r>
              <w:rPr>
                <w:b/>
                <w:sz w:val="20"/>
              </w:rPr>
              <w:t>Decision</w:t>
            </w:r>
          </w:p>
        </w:tc>
        <w:tc>
          <w:tcPr>
            <w:tcW w:type="dxa" w:w="3240"/>
            <w:vAlign w:val="center"/>
            <w:tcMar>
              <w:top w:w="90" w:type="dxa"/>
              <w:bottom w:w="90" w:type="dxa"/>
              <w:left w:w="100" w:type="dxa"/>
              <w:right w:w="100" w:type="dxa"/>
            </w:tcMar>
            <w:shd w:fill="E6EDF2"/>
          </w:tcPr>
          <w:p>
            <w:pPr>
              <w:spacing w:after="0" w:line="250" w:lineRule="auto"/>
            </w:pPr>
            <w:r>
              <w:rPr>
                <w:b/>
                <w:sz w:val="20"/>
              </w:rPr>
              <w:t>Recommendation</w:t>
            </w:r>
          </w:p>
        </w:tc>
        <w:tc>
          <w:tcPr>
            <w:tcW w:type="dxa" w:w="5141"/>
            <w:vAlign w:val="center"/>
            <w:tcMar>
              <w:top w:w="90" w:type="dxa"/>
              <w:bottom w:w="90" w:type="dxa"/>
              <w:left w:w="100" w:type="dxa"/>
              <w:right w:w="100" w:type="dxa"/>
            </w:tcMar>
            <w:shd w:fill="E6EDF2"/>
          </w:tcPr>
          <w:p>
            <w:pPr>
              <w:spacing w:after="0" w:line="250" w:lineRule="auto"/>
            </w:pPr>
            <w:r>
              <w:rPr>
                <w:b/>
                <w:sz w:val="20"/>
              </w:rPr>
              <w:t>Reason</w:t>
            </w:r>
          </w:p>
        </w:tc>
      </w:tr>
      <w:tr>
        <w:trPr>
          <w:cantSplit/>
        </w:trPr>
        <w:tc>
          <w:tcPr>
            <w:tcW w:type="dxa" w:w="1613"/>
            <w:vAlign w:val="center"/>
            <w:tcMar>
              <w:top w:w="90" w:type="dxa"/>
              <w:bottom w:w="90" w:type="dxa"/>
              <w:left w:w="100" w:type="dxa"/>
              <w:right w:w="100" w:type="dxa"/>
            </w:tcMar>
            <w:shd w:fill="FFFFFF"/>
          </w:tcPr>
          <w:p>
            <w:pPr>
              <w:spacing w:after="0" w:line="250" w:lineRule="auto"/>
            </w:pPr>
            <w:r>
              <w:rPr>
                <w:sz w:val="20"/>
              </w:rPr>
              <w:t>Primary workflow</w:t>
            </w:r>
          </w:p>
        </w:tc>
        <w:tc>
          <w:tcPr>
            <w:tcW w:type="dxa" w:w="3240"/>
            <w:vAlign w:val="center"/>
            <w:tcMar>
              <w:top w:w="90" w:type="dxa"/>
              <w:bottom w:w="90" w:type="dxa"/>
              <w:left w:w="100" w:type="dxa"/>
              <w:right w:w="100" w:type="dxa"/>
            </w:tcMar>
            <w:shd w:fill="FFFFFF"/>
          </w:tcPr>
          <w:p>
            <w:pPr>
              <w:spacing w:after="0" w:line="250" w:lineRule="auto"/>
            </w:pPr>
            <w:r>
              <w:rPr>
                <w:sz w:val="20"/>
              </w:rPr>
              <w:t>Research to reviewed document</w:t>
            </w:r>
          </w:p>
        </w:tc>
        <w:tc>
          <w:tcPr>
            <w:tcW w:type="dxa" w:w="5141"/>
            <w:vAlign w:val="center"/>
            <w:tcMar>
              <w:top w:w="90" w:type="dxa"/>
              <w:bottom w:w="90" w:type="dxa"/>
              <w:left w:w="100" w:type="dxa"/>
              <w:right w:w="100" w:type="dxa"/>
            </w:tcMar>
            <w:shd w:fill="FFFFFF"/>
          </w:tcPr>
          <w:p>
            <w:pPr>
              <w:spacing w:after="0" w:line="250" w:lineRule="auto"/>
            </w:pPr>
            <w:r>
              <w:rPr>
                <w:sz w:val="20"/>
              </w:rPr>
              <w:t>Fits the browser prototype and produces an outcome users can inspect.</w:t>
            </w:r>
          </w:p>
        </w:tc>
      </w:tr>
      <w:tr>
        <w:trPr>
          <w:cantSplit/>
        </w:trPr>
        <w:tc>
          <w:tcPr>
            <w:tcW w:type="dxa" w:w="1613"/>
            <w:vAlign w:val="center"/>
            <w:tcMar>
              <w:top w:w="90" w:type="dxa"/>
              <w:bottom w:w="90" w:type="dxa"/>
              <w:left w:w="100" w:type="dxa"/>
              <w:right w:w="100" w:type="dxa"/>
            </w:tcMar>
            <w:shd w:fill="F5F7F9"/>
          </w:tcPr>
          <w:p>
            <w:pPr>
              <w:spacing w:after="0" w:line="250" w:lineRule="auto"/>
            </w:pPr>
            <w:r>
              <w:rPr>
                <w:sz w:val="20"/>
              </w:rPr>
              <w:t>Desktop foundation</w:t>
            </w:r>
          </w:p>
        </w:tc>
        <w:tc>
          <w:tcPr>
            <w:tcW w:type="dxa" w:w="3240"/>
            <w:vAlign w:val="center"/>
            <w:tcMar>
              <w:top w:w="90" w:type="dxa"/>
              <w:bottom w:w="90" w:type="dxa"/>
              <w:left w:w="100" w:type="dxa"/>
              <w:right w:w="100" w:type="dxa"/>
            </w:tcMar>
            <w:shd w:fill="F5F7F9"/>
          </w:tcPr>
          <w:p>
            <w:pPr>
              <w:spacing w:after="0" w:line="250" w:lineRule="auto"/>
            </w:pPr>
            <w:r>
              <w:rPr>
                <w:sz w:val="20"/>
              </w:rPr>
              <w:t>Continue Tauri with a browser worker</w:t>
            </w:r>
          </w:p>
        </w:tc>
        <w:tc>
          <w:tcPr>
            <w:tcW w:type="dxa" w:w="5141"/>
            <w:vAlign w:val="center"/>
            <w:tcMar>
              <w:top w:w="90" w:type="dxa"/>
              <w:bottom w:w="90" w:type="dxa"/>
              <w:left w:w="100" w:type="dxa"/>
              <w:right w:w="100" w:type="dxa"/>
            </w:tcMar>
            <w:shd w:fill="F5F7F9"/>
          </w:tcPr>
          <w:p>
            <w:pPr>
              <w:spacing w:after="0" w:line="250" w:lineRule="auto"/>
            </w:pPr>
            <w:r>
              <w:rPr>
                <w:sz w:val="20"/>
              </w:rPr>
              <w:t>Preserves working progress and Rust ownership of local state.</w:t>
            </w:r>
          </w:p>
        </w:tc>
      </w:tr>
      <w:tr>
        <w:trPr>
          <w:cantSplit/>
        </w:trPr>
        <w:tc>
          <w:tcPr>
            <w:tcW w:type="dxa" w:w="1613"/>
            <w:vAlign w:val="center"/>
            <w:tcMar>
              <w:top w:w="90" w:type="dxa"/>
              <w:bottom w:w="90" w:type="dxa"/>
              <w:left w:w="100" w:type="dxa"/>
              <w:right w:w="100" w:type="dxa"/>
            </w:tcMar>
            <w:shd w:fill="FFFFFF"/>
          </w:tcPr>
          <w:p>
            <w:pPr>
              <w:spacing w:after="0" w:line="250" w:lineRule="auto"/>
            </w:pPr>
            <w:r>
              <w:rPr>
                <w:sz w:val="20"/>
              </w:rPr>
              <w:t>Execution</w:t>
            </w:r>
          </w:p>
        </w:tc>
        <w:tc>
          <w:tcPr>
            <w:tcW w:type="dxa" w:w="3240"/>
            <w:vAlign w:val="center"/>
            <w:tcMar>
              <w:top w:w="90" w:type="dxa"/>
              <w:bottom w:w="90" w:type="dxa"/>
              <w:left w:w="100" w:type="dxa"/>
              <w:right w:w="100" w:type="dxa"/>
            </w:tcMar>
            <w:shd w:fill="FFFFFF"/>
          </w:tcPr>
          <w:p>
            <w:pPr>
              <w:spacing w:after="0" w:line="250" w:lineRule="auto"/>
            </w:pPr>
            <w:r>
              <w:rPr>
                <w:sz w:val="20"/>
              </w:rPr>
              <w:t>One accountable task owner; bounded helpers</w:t>
            </w:r>
          </w:p>
        </w:tc>
        <w:tc>
          <w:tcPr>
            <w:tcW w:type="dxa" w:w="5141"/>
            <w:vAlign w:val="center"/>
            <w:tcMar>
              <w:top w:w="90" w:type="dxa"/>
              <w:bottom w:w="90" w:type="dxa"/>
              <w:left w:w="100" w:type="dxa"/>
              <w:right w:w="100" w:type="dxa"/>
            </w:tcMar>
            <w:shd w:fill="FFFFFF"/>
          </w:tcPr>
          <w:p>
            <w:pPr>
              <w:spacing w:after="0" w:line="250" w:lineRule="auto"/>
            </w:pPr>
            <w:r>
              <w:rPr>
                <w:sz w:val="20"/>
              </w:rPr>
              <w:t>Makes responsibility, cost and completion understandable.</w:t>
            </w:r>
          </w:p>
        </w:tc>
      </w:tr>
      <w:tr>
        <w:trPr>
          <w:cantSplit/>
        </w:trPr>
        <w:tc>
          <w:tcPr>
            <w:tcW w:type="dxa" w:w="1613"/>
            <w:vAlign w:val="center"/>
            <w:tcMar>
              <w:top w:w="90" w:type="dxa"/>
              <w:bottom w:w="90" w:type="dxa"/>
              <w:left w:w="100" w:type="dxa"/>
              <w:right w:w="100" w:type="dxa"/>
            </w:tcMar>
            <w:shd w:fill="F5F7F9"/>
          </w:tcPr>
          <w:p>
            <w:pPr>
              <w:spacing w:after="0" w:line="250" w:lineRule="auto"/>
            </w:pPr>
            <w:r>
              <w:rPr>
                <w:sz w:val="20"/>
              </w:rPr>
              <w:t>Launch audience</w:t>
            </w:r>
          </w:p>
        </w:tc>
        <w:tc>
          <w:tcPr>
            <w:tcW w:type="dxa" w:w="3240"/>
            <w:vAlign w:val="center"/>
            <w:tcMar>
              <w:top w:w="90" w:type="dxa"/>
              <w:bottom w:w="90" w:type="dxa"/>
              <w:left w:w="100" w:type="dxa"/>
              <w:right w:w="100" w:type="dxa"/>
            </w:tcMar>
            <w:shd w:fill="F5F7F9"/>
          </w:tcPr>
          <w:p>
            <w:pPr>
              <w:spacing w:after="0" w:line="250" w:lineRule="auto"/>
            </w:pPr>
            <w:r>
              <w:rPr>
                <w:sz w:val="20"/>
              </w:rPr>
              <w:t>One user on Apple Silicon macOS</w:t>
            </w:r>
          </w:p>
        </w:tc>
        <w:tc>
          <w:tcPr>
            <w:tcW w:type="dxa" w:w="5141"/>
            <w:vAlign w:val="center"/>
            <w:tcMar>
              <w:top w:w="90" w:type="dxa"/>
              <w:bottom w:w="90" w:type="dxa"/>
              <w:left w:w="100" w:type="dxa"/>
              <w:right w:w="100" w:type="dxa"/>
            </w:tcMar>
            <w:shd w:fill="F5F7F9"/>
          </w:tcPr>
          <w:p>
            <w:pPr>
              <w:spacing w:after="0" w:line="250" w:lineRule="auto"/>
            </w:pPr>
            <w:r>
              <w:rPr>
                <w:sz w:val="20"/>
              </w:rPr>
              <w:t>Matches the present prototype and limits integration scope.</w:t>
            </w:r>
          </w:p>
        </w:tc>
      </w:tr>
      <w:tr>
        <w:trPr>
          <w:cantSplit/>
        </w:trPr>
        <w:tc>
          <w:tcPr>
            <w:tcW w:type="dxa" w:w="1613"/>
            <w:vAlign w:val="center"/>
            <w:tcMar>
              <w:top w:w="90" w:type="dxa"/>
              <w:bottom w:w="90" w:type="dxa"/>
              <w:left w:w="100" w:type="dxa"/>
              <w:right w:w="100" w:type="dxa"/>
            </w:tcMar>
            <w:shd w:fill="FFFFFF"/>
          </w:tcPr>
          <w:p>
            <w:pPr>
              <w:spacing w:after="0" w:line="250" w:lineRule="auto"/>
            </w:pPr>
            <w:r>
              <w:rPr>
                <w:sz w:val="20"/>
              </w:rPr>
              <w:t>Office life</w:t>
            </w:r>
          </w:p>
        </w:tc>
        <w:tc>
          <w:tcPr>
            <w:tcW w:type="dxa" w:w="3240"/>
            <w:vAlign w:val="center"/>
            <w:tcMar>
              <w:top w:w="90" w:type="dxa"/>
              <w:bottom w:w="90" w:type="dxa"/>
              <w:left w:w="100" w:type="dxa"/>
              <w:right w:w="100" w:type="dxa"/>
            </w:tcMar>
            <w:shd w:fill="FFFFFF"/>
          </w:tcPr>
          <w:p>
            <w:pPr>
              <w:spacing w:after="0" w:line="250" w:lineRule="auto"/>
            </w:pPr>
            <w:r>
              <w:rPr>
                <w:sz w:val="20"/>
              </w:rPr>
              <w:t>Optional, local ambient simulation</w:t>
            </w:r>
          </w:p>
        </w:tc>
        <w:tc>
          <w:tcPr>
            <w:tcW w:type="dxa" w:w="5141"/>
            <w:vAlign w:val="center"/>
            <w:tcMar>
              <w:top w:w="90" w:type="dxa"/>
              <w:bottom w:w="90" w:type="dxa"/>
              <w:left w:w="100" w:type="dxa"/>
              <w:right w:w="100" w:type="dxa"/>
            </w:tcMar>
            <w:shd w:fill="FFFFFF"/>
          </w:tcPr>
          <w:p>
            <w:pPr>
              <w:spacing w:after="0" w:line="250" w:lineRule="auto"/>
            </w:pPr>
            <w:r>
              <w:rPr>
                <w:sz w:val="20"/>
              </w:rPr>
              <w:t>Retains the playful identity without hidden model activity.</w:t>
            </w:r>
          </w:p>
        </w:tc>
      </w:tr>
      <w:tr>
        <w:trPr>
          <w:cantSplit/>
        </w:trPr>
        <w:tc>
          <w:tcPr>
            <w:tcW w:type="dxa" w:w="1613"/>
            <w:vAlign w:val="center"/>
            <w:tcMar>
              <w:top w:w="90" w:type="dxa"/>
              <w:bottom w:w="90" w:type="dxa"/>
              <w:left w:w="100" w:type="dxa"/>
              <w:right w:w="100" w:type="dxa"/>
            </w:tcMar>
            <w:shd w:fill="F5F7F9"/>
          </w:tcPr>
          <w:p>
            <w:pPr>
              <w:spacing w:after="0" w:line="250" w:lineRule="auto"/>
            </w:pPr>
            <w:r>
              <w:rPr>
                <w:sz w:val="20"/>
              </w:rPr>
              <w:t>Commercial direction</w:t>
            </w:r>
          </w:p>
        </w:tc>
        <w:tc>
          <w:tcPr>
            <w:tcW w:type="dxa" w:w="3240"/>
            <w:vAlign w:val="center"/>
            <w:tcMar>
              <w:top w:w="90" w:type="dxa"/>
              <w:bottom w:w="90" w:type="dxa"/>
              <w:left w:w="100" w:type="dxa"/>
              <w:right w:w="100" w:type="dxa"/>
            </w:tcMar>
            <w:shd w:fill="F5F7F9"/>
          </w:tcPr>
          <w:p>
            <w:pPr>
              <w:spacing w:after="0" w:line="250" w:lineRule="auto"/>
            </w:pPr>
            <w:r>
              <w:rPr>
                <w:sz w:val="20"/>
              </w:rPr>
              <w:t>Validate repeat use before pricing</w:t>
            </w:r>
          </w:p>
        </w:tc>
        <w:tc>
          <w:tcPr>
            <w:tcW w:type="dxa" w:w="5141"/>
            <w:vAlign w:val="center"/>
            <w:tcMar>
              <w:top w:w="90" w:type="dxa"/>
              <w:bottom w:w="90" w:type="dxa"/>
              <w:left w:w="100" w:type="dxa"/>
              <w:right w:w="100" w:type="dxa"/>
            </w:tcMar>
            <w:shd w:fill="F5F7F9"/>
          </w:tcPr>
          <w:p>
            <w:pPr>
              <w:spacing w:after="0" w:line="250" w:lineRule="auto"/>
            </w:pPr>
            <w:r>
              <w:rPr>
                <w:sz w:val="20"/>
              </w:rPr>
              <w:t>Demand and willingness to pay remain hypotheses.</w:t>
            </w:r>
          </w:p>
        </w:tc>
      </w:tr>
    </w:tbl>
    <w:p>
      <w:pPr>
        <w:spacing w:after="40"/>
      </w:pPr>
      <w:r/>
    </w:p>
    <w:p>
      <w:r>
        <w:t>These recommendations are proposed decisions. The established user requirements are the 3D office, named agents with roles and personalities, desks created with a plus button, visible browser work, enlarged screens, and a lively shared space. Worklive is the working name; Life remains a naming alternative rather than a separate product.</w:t>
      </w:r>
    </w:p>
    <w:p>
      <w:pPr>
        <w:pStyle w:val="Heading1"/>
      </w:pPr>
      <w:r>
        <w:t>2 The work Worklive should do</w:t>
      </w:r>
    </w:p>
    <w:p>
      <w:pPr>
        <w:pStyle w:val="Heading2"/>
      </w:pPr>
      <w:r>
        <w:t>The recurring problem</w:t>
      </w:r>
    </w:p>
    <w:p>
      <w:r>
        <w:t>Delegating work today often creates another conversation to manage. The user has to supply context repeatedly, discover what the agent actually did, recover intermediate files and decide whether a confident answer is usable. Worklive should keep the project, evidence, decisions and deliverables together across multiple runs.</w:t>
      </w:r>
    </w:p>
    <w:p>
      <w:r>
        <w:t>The office provides a spatial overview of a small team. A project provides the durable context. Tasks describe bounded work. Artifacts are the reusable results. Conversation supports those objects and does not replace them.</w:t>
      </w:r>
    </w:p>
    <w:p>
      <w:pPr>
        <w:pStyle w:val="Heading2"/>
      </w:pPr>
      <w:r>
        <w:t>First jobs to support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13"/>
        <w:gridCol w:w="3197"/>
        <w:gridCol w:w="4219"/>
        <w:gridCol w:w="965"/>
      </w:tblGrid>
      <w:tr>
        <w:trPr>
          <w:cantSplit/>
          <w:tblHeader/>
        </w:trPr>
        <w:tc>
          <w:tcPr>
            <w:tcW w:type="dxa" w:w="1613"/>
            <w:vAlign w:val="center"/>
            <w:tcMar>
              <w:top w:w="90" w:type="dxa"/>
              <w:bottom w:w="90" w:type="dxa"/>
              <w:left w:w="100" w:type="dxa"/>
              <w:right w:w="100" w:type="dxa"/>
            </w:tcMar>
            <w:shd w:fill="E6EDF2"/>
          </w:tcPr>
          <w:p>
            <w:pPr>
              <w:spacing w:after="0" w:line="250" w:lineRule="auto"/>
            </w:pPr>
            <w:r>
              <w:rPr>
                <w:b/>
                <w:sz w:val="20"/>
              </w:rPr>
              <w:t>Job</w:t>
            </w:r>
          </w:p>
        </w:tc>
        <w:tc>
          <w:tcPr>
            <w:tcW w:type="dxa" w:w="3197"/>
            <w:vAlign w:val="center"/>
            <w:tcMar>
              <w:top w:w="90" w:type="dxa"/>
              <w:bottom w:w="90" w:type="dxa"/>
              <w:left w:w="100" w:type="dxa"/>
              <w:right w:w="100" w:type="dxa"/>
            </w:tcMar>
            <w:shd w:fill="E6EDF2"/>
          </w:tcPr>
          <w:p>
            <w:pPr>
              <w:spacing w:after="0" w:line="250" w:lineRule="auto"/>
            </w:pPr>
            <w:r>
              <w:rPr>
                <w:b/>
                <w:sz w:val="20"/>
              </w:rPr>
              <w:t>Example request</w:t>
            </w:r>
          </w:p>
        </w:tc>
        <w:tc>
          <w:tcPr>
            <w:tcW w:type="dxa" w:w="4219"/>
            <w:vAlign w:val="center"/>
            <w:tcMar>
              <w:top w:w="90" w:type="dxa"/>
              <w:bottom w:w="90" w:type="dxa"/>
              <w:left w:w="100" w:type="dxa"/>
              <w:right w:w="100" w:type="dxa"/>
            </w:tcMar>
            <w:shd w:fill="E6EDF2"/>
          </w:tcPr>
          <w:p>
            <w:pPr>
              <w:spacing w:after="0" w:line="250" w:lineRule="auto"/>
            </w:pPr>
            <w:r>
              <w:rPr>
                <w:b/>
                <w:sz w:val="20"/>
              </w:rPr>
              <w:t>Useful result</w:t>
            </w:r>
          </w:p>
        </w:tc>
        <w:tc>
          <w:tcPr>
            <w:tcW w:type="dxa" w:w="965"/>
            <w:vAlign w:val="center"/>
            <w:tcMar>
              <w:top w:w="90" w:type="dxa"/>
              <w:bottom w:w="90" w:type="dxa"/>
              <w:left w:w="100" w:type="dxa"/>
              <w:right w:w="100" w:type="dxa"/>
            </w:tcMar>
            <w:shd w:fill="E6EDF2"/>
          </w:tcPr>
          <w:p>
            <w:pPr>
              <w:spacing w:after="0" w:line="250" w:lineRule="auto"/>
              <w:jc w:val="center"/>
            </w:pPr>
            <w:r>
              <w:rPr>
                <w:b/>
                <w:sz w:val="20"/>
              </w:rPr>
              <w:t>Release</w:t>
            </w:r>
          </w:p>
        </w:tc>
      </w:tr>
      <w:tr>
        <w:trPr>
          <w:cantSplit/>
        </w:trPr>
        <w:tc>
          <w:tcPr>
            <w:tcW w:type="dxa" w:w="1613"/>
            <w:vAlign w:val="center"/>
            <w:tcMar>
              <w:top w:w="90" w:type="dxa"/>
              <w:bottom w:w="90" w:type="dxa"/>
              <w:left w:w="100" w:type="dxa"/>
              <w:right w:w="100" w:type="dxa"/>
            </w:tcMar>
            <w:shd w:fill="FFFFFF"/>
          </w:tcPr>
          <w:p>
            <w:pPr>
              <w:spacing w:after="0" w:line="250" w:lineRule="auto"/>
            </w:pPr>
            <w:r>
              <w:rPr>
                <w:sz w:val="20"/>
              </w:rPr>
              <w:t>Research and compare</w:t>
            </w:r>
          </w:p>
        </w:tc>
        <w:tc>
          <w:tcPr>
            <w:tcW w:type="dxa" w:w="3197"/>
            <w:vAlign w:val="center"/>
            <w:tcMar>
              <w:top w:w="90" w:type="dxa"/>
              <w:bottom w:w="90" w:type="dxa"/>
              <w:left w:w="100" w:type="dxa"/>
              <w:right w:w="100" w:type="dxa"/>
            </w:tcMar>
            <w:shd w:fill="FFFFFF"/>
          </w:tcPr>
          <w:p>
            <w:pPr>
              <w:spacing w:after="0" w:line="250" w:lineRule="auto"/>
            </w:pPr>
            <w:r>
              <w:rPr>
                <w:sz w:val="20"/>
              </w:rPr>
              <w:t>Compare three tools against these five requirements.</w:t>
            </w:r>
          </w:p>
        </w:tc>
        <w:tc>
          <w:tcPr>
            <w:tcW w:type="dxa" w:w="4219"/>
            <w:vAlign w:val="center"/>
            <w:tcMar>
              <w:top w:w="90" w:type="dxa"/>
              <w:bottom w:w="90" w:type="dxa"/>
              <w:left w:w="100" w:type="dxa"/>
              <w:right w:w="100" w:type="dxa"/>
            </w:tcMar>
            <w:shd w:fill="FFFFFF"/>
          </w:tcPr>
          <w:p>
            <w:pPr>
              <w:spacing w:after="0" w:line="250" w:lineRule="auto"/>
            </w:pPr>
            <w:r>
              <w:rPr>
                <w:sz w:val="20"/>
              </w:rPr>
              <w:t>Sourced matrix, recommendation and limitations.</w:t>
            </w:r>
          </w:p>
        </w:tc>
        <w:tc>
          <w:tcPr>
            <w:tcW w:type="dxa" w:w="965"/>
            <w:vAlign w:val="center"/>
            <w:tcMar>
              <w:top w:w="90" w:type="dxa"/>
              <w:bottom w:w="90" w:type="dxa"/>
              <w:left w:w="100" w:type="dxa"/>
              <w:right w:w="100" w:type="dxa"/>
            </w:tcMar>
            <w:shd w:fill="FFFFFF"/>
          </w:tcPr>
          <w:p>
            <w:pPr>
              <w:spacing w:after="0" w:line="250" w:lineRule="auto"/>
              <w:jc w:val="center"/>
            </w:pPr>
            <w:r>
              <w:rPr>
                <w:sz w:val="20"/>
              </w:rPr>
              <w:t>MVP</w:t>
            </w:r>
          </w:p>
        </w:tc>
      </w:tr>
      <w:tr>
        <w:trPr>
          <w:cantSplit/>
        </w:trPr>
        <w:tc>
          <w:tcPr>
            <w:tcW w:type="dxa" w:w="1613"/>
            <w:vAlign w:val="center"/>
            <w:tcMar>
              <w:top w:w="90" w:type="dxa"/>
              <w:bottom w:w="90" w:type="dxa"/>
              <w:left w:w="100" w:type="dxa"/>
              <w:right w:w="100" w:type="dxa"/>
            </w:tcMar>
            <w:shd w:fill="F5F7F9"/>
          </w:tcPr>
          <w:p>
            <w:pPr>
              <w:spacing w:after="0" w:line="250" w:lineRule="auto"/>
            </w:pPr>
            <w:r>
              <w:rPr>
                <w:sz w:val="20"/>
              </w:rPr>
              <w:t>Prepare a brief</w:t>
            </w:r>
          </w:p>
        </w:tc>
        <w:tc>
          <w:tcPr>
            <w:tcW w:type="dxa" w:w="3197"/>
            <w:vAlign w:val="center"/>
            <w:tcMar>
              <w:top w:w="90" w:type="dxa"/>
              <w:bottom w:w="90" w:type="dxa"/>
              <w:left w:w="100" w:type="dxa"/>
              <w:right w:w="100" w:type="dxa"/>
            </w:tcMar>
            <w:shd w:fill="F5F7F9"/>
          </w:tcPr>
          <w:p>
            <w:pPr>
              <w:spacing w:after="0" w:line="250" w:lineRule="auto"/>
            </w:pPr>
            <w:r>
              <w:rPr>
                <w:sz w:val="20"/>
              </w:rPr>
              <w:t>Turn these notes and sources into a project brief.</w:t>
            </w:r>
          </w:p>
        </w:tc>
        <w:tc>
          <w:tcPr>
            <w:tcW w:type="dxa" w:w="4219"/>
            <w:vAlign w:val="center"/>
            <w:tcMar>
              <w:top w:w="90" w:type="dxa"/>
              <w:bottom w:w="90" w:type="dxa"/>
              <w:left w:w="100" w:type="dxa"/>
              <w:right w:w="100" w:type="dxa"/>
            </w:tcMar>
            <w:shd w:fill="F5F7F9"/>
          </w:tcPr>
          <w:p>
            <w:pPr>
              <w:spacing w:after="0" w:line="250" w:lineRule="auto"/>
            </w:pPr>
            <w:r>
              <w:rPr>
                <w:sz w:val="20"/>
              </w:rPr>
              <w:t>Editable document with unresolved questions.</w:t>
            </w:r>
          </w:p>
        </w:tc>
        <w:tc>
          <w:tcPr>
            <w:tcW w:type="dxa" w:w="965"/>
            <w:vAlign w:val="center"/>
            <w:tcMar>
              <w:top w:w="90" w:type="dxa"/>
              <w:bottom w:w="90" w:type="dxa"/>
              <w:left w:w="100" w:type="dxa"/>
              <w:right w:w="100" w:type="dxa"/>
            </w:tcMar>
            <w:shd w:fill="F5F7F9"/>
          </w:tcPr>
          <w:p>
            <w:pPr>
              <w:spacing w:after="0" w:line="250" w:lineRule="auto"/>
              <w:jc w:val="center"/>
            </w:pPr>
            <w:r>
              <w:rPr>
                <w:sz w:val="20"/>
              </w:rPr>
              <w:t>MVP</w:t>
            </w:r>
          </w:p>
        </w:tc>
      </w:tr>
      <w:tr>
        <w:trPr>
          <w:cantSplit/>
        </w:trPr>
        <w:tc>
          <w:tcPr>
            <w:tcW w:type="dxa" w:w="1613"/>
            <w:vAlign w:val="center"/>
            <w:tcMar>
              <w:top w:w="90" w:type="dxa"/>
              <w:bottom w:w="90" w:type="dxa"/>
              <w:left w:w="100" w:type="dxa"/>
              <w:right w:w="100" w:type="dxa"/>
            </w:tcMar>
            <w:shd w:fill="FFFFFF"/>
          </w:tcPr>
          <w:p>
            <w:pPr>
              <w:spacing w:after="0" w:line="250" w:lineRule="auto"/>
            </w:pPr>
            <w:r>
              <w:rPr>
                <w:sz w:val="20"/>
              </w:rPr>
              <w:t>Review a draft</w:t>
            </w:r>
          </w:p>
        </w:tc>
        <w:tc>
          <w:tcPr>
            <w:tcW w:type="dxa" w:w="3197"/>
            <w:vAlign w:val="center"/>
            <w:tcMar>
              <w:top w:w="90" w:type="dxa"/>
              <w:bottom w:w="90" w:type="dxa"/>
              <w:left w:w="100" w:type="dxa"/>
              <w:right w:w="100" w:type="dxa"/>
            </w:tcMar>
            <w:shd w:fill="FFFFFF"/>
          </w:tcPr>
          <w:p>
            <w:pPr>
              <w:spacing w:after="0" w:line="250" w:lineRule="auto"/>
            </w:pPr>
            <w:r>
              <w:rPr>
                <w:sz w:val="20"/>
              </w:rPr>
              <w:t>Check this brief for unsupported claims and gaps.</w:t>
            </w:r>
          </w:p>
        </w:tc>
        <w:tc>
          <w:tcPr>
            <w:tcW w:type="dxa" w:w="4219"/>
            <w:vAlign w:val="center"/>
            <w:tcMar>
              <w:top w:w="90" w:type="dxa"/>
              <w:bottom w:w="90" w:type="dxa"/>
              <w:left w:w="100" w:type="dxa"/>
              <w:right w:w="100" w:type="dxa"/>
            </w:tcMar>
            <w:shd w:fill="FFFFFF"/>
          </w:tcPr>
          <w:p>
            <w:pPr>
              <w:spacing w:after="0" w:line="250" w:lineRule="auto"/>
            </w:pPr>
            <w:r>
              <w:rPr>
                <w:sz w:val="20"/>
              </w:rPr>
              <w:t>Comments or a proposed revision with evidence.</w:t>
            </w:r>
          </w:p>
        </w:tc>
        <w:tc>
          <w:tcPr>
            <w:tcW w:type="dxa" w:w="965"/>
            <w:vAlign w:val="center"/>
            <w:tcMar>
              <w:top w:w="90" w:type="dxa"/>
              <w:bottom w:w="90" w:type="dxa"/>
              <w:left w:w="100" w:type="dxa"/>
              <w:right w:w="100" w:type="dxa"/>
            </w:tcMar>
            <w:shd w:fill="FFFFFF"/>
          </w:tcPr>
          <w:p>
            <w:pPr>
              <w:spacing w:after="0" w:line="250" w:lineRule="auto"/>
              <w:jc w:val="center"/>
            </w:pPr>
            <w:r>
              <w:rPr>
                <w:sz w:val="20"/>
              </w:rPr>
              <w:t>MVP</w:t>
            </w:r>
          </w:p>
        </w:tc>
      </w:tr>
      <w:tr>
        <w:trPr>
          <w:cantSplit/>
        </w:trPr>
        <w:tc>
          <w:tcPr>
            <w:tcW w:type="dxa" w:w="1613"/>
            <w:vAlign w:val="center"/>
            <w:tcMar>
              <w:top w:w="90" w:type="dxa"/>
              <w:bottom w:w="90" w:type="dxa"/>
              <w:left w:w="100" w:type="dxa"/>
              <w:right w:w="100" w:type="dxa"/>
            </w:tcMar>
            <w:shd w:fill="F5F7F9"/>
          </w:tcPr>
          <w:p>
            <w:pPr>
              <w:spacing w:after="0" w:line="250" w:lineRule="auto"/>
            </w:pPr>
            <w:r>
              <w:rPr>
                <w:sz w:val="20"/>
              </w:rPr>
              <w:t>Track a project</w:t>
            </w:r>
          </w:p>
        </w:tc>
        <w:tc>
          <w:tcPr>
            <w:tcW w:type="dxa" w:w="3197"/>
            <w:vAlign w:val="center"/>
            <w:tcMar>
              <w:top w:w="90" w:type="dxa"/>
              <w:bottom w:w="90" w:type="dxa"/>
              <w:left w:w="100" w:type="dxa"/>
              <w:right w:w="100" w:type="dxa"/>
            </w:tcMar>
            <w:shd w:fill="F5F7F9"/>
          </w:tcPr>
          <w:p>
            <w:pPr>
              <w:spacing w:after="0" w:line="250" w:lineRule="auto"/>
            </w:pPr>
            <w:r>
              <w:rPr>
                <w:sz w:val="20"/>
              </w:rPr>
              <w:t>Tell me what changed and what needs a decision.</w:t>
            </w:r>
          </w:p>
        </w:tc>
        <w:tc>
          <w:tcPr>
            <w:tcW w:type="dxa" w:w="4219"/>
            <w:vAlign w:val="center"/>
            <w:tcMar>
              <w:top w:w="90" w:type="dxa"/>
              <w:bottom w:w="90" w:type="dxa"/>
              <w:left w:w="100" w:type="dxa"/>
              <w:right w:w="100" w:type="dxa"/>
            </w:tcMar>
            <w:shd w:fill="F5F7F9"/>
          </w:tcPr>
          <w:p>
            <w:pPr>
              <w:spacing w:after="0" w:line="250" w:lineRule="auto"/>
            </w:pPr>
            <w:r>
              <w:rPr>
                <w:sz w:val="20"/>
              </w:rPr>
              <w:t>Status brief grounded in project tasks and files.</w:t>
            </w:r>
          </w:p>
        </w:tc>
        <w:tc>
          <w:tcPr>
            <w:tcW w:type="dxa" w:w="965"/>
            <w:vAlign w:val="center"/>
            <w:tcMar>
              <w:top w:w="90" w:type="dxa"/>
              <w:bottom w:w="90" w:type="dxa"/>
              <w:left w:w="100" w:type="dxa"/>
              <w:right w:w="100" w:type="dxa"/>
            </w:tcMar>
            <w:shd w:fill="F5F7F9"/>
          </w:tcPr>
          <w:p>
            <w:pPr>
              <w:spacing w:after="0" w:line="250" w:lineRule="auto"/>
              <w:jc w:val="center"/>
            </w:pPr>
            <w:r>
              <w:rPr>
                <w:sz w:val="20"/>
              </w:rPr>
              <w:t>Next</w:t>
            </w:r>
          </w:p>
        </w:tc>
      </w:tr>
      <w:tr>
        <w:trPr>
          <w:cantSplit/>
        </w:trPr>
        <w:tc>
          <w:tcPr>
            <w:tcW w:type="dxa" w:w="1613"/>
            <w:vAlign w:val="center"/>
            <w:tcMar>
              <w:top w:w="90" w:type="dxa"/>
              <w:bottom w:w="90" w:type="dxa"/>
              <w:left w:w="100" w:type="dxa"/>
              <w:right w:w="100" w:type="dxa"/>
            </w:tcMar>
            <w:shd w:fill="FFFFFF"/>
          </w:tcPr>
          <w:p>
            <w:pPr>
              <w:spacing w:after="0" w:line="250" w:lineRule="auto"/>
            </w:pPr>
            <w:r>
              <w:rPr>
                <w:sz w:val="20"/>
              </w:rPr>
              <w:t>Monitor a topic</w:t>
            </w:r>
          </w:p>
        </w:tc>
        <w:tc>
          <w:tcPr>
            <w:tcW w:type="dxa" w:w="3197"/>
            <w:vAlign w:val="center"/>
            <w:tcMar>
              <w:top w:w="90" w:type="dxa"/>
              <w:bottom w:w="90" w:type="dxa"/>
              <w:left w:w="100" w:type="dxa"/>
              <w:right w:w="100" w:type="dxa"/>
            </w:tcMar>
            <w:shd w:fill="FFFFFF"/>
          </w:tcPr>
          <w:p>
            <w:pPr>
              <w:spacing w:after="0" w:line="250" w:lineRule="auto"/>
            </w:pPr>
            <w:r>
              <w:rPr>
                <w:sz w:val="20"/>
              </w:rPr>
              <w:t>Check these sources each week for relevant changes.</w:t>
            </w:r>
          </w:p>
        </w:tc>
        <w:tc>
          <w:tcPr>
            <w:tcW w:type="dxa" w:w="4219"/>
            <w:vAlign w:val="center"/>
            <w:tcMar>
              <w:top w:w="90" w:type="dxa"/>
              <w:bottom w:w="90" w:type="dxa"/>
              <w:left w:w="100" w:type="dxa"/>
              <w:right w:w="100" w:type="dxa"/>
            </w:tcMar>
            <w:shd w:fill="FFFFFF"/>
          </w:tcPr>
          <w:p>
            <w:pPr>
              <w:spacing w:after="0" w:line="250" w:lineRule="auto"/>
            </w:pPr>
            <w:r>
              <w:rPr>
                <w:sz w:val="20"/>
              </w:rPr>
              <w:t>Change report with a quiet no-change outcome.</w:t>
            </w:r>
          </w:p>
        </w:tc>
        <w:tc>
          <w:tcPr>
            <w:tcW w:type="dxa" w:w="965"/>
            <w:vAlign w:val="center"/>
            <w:tcMar>
              <w:top w:w="90" w:type="dxa"/>
              <w:bottom w:w="90" w:type="dxa"/>
              <w:left w:w="100" w:type="dxa"/>
              <w:right w:w="100" w:type="dxa"/>
            </w:tcMar>
            <w:shd w:fill="FFFFFF"/>
          </w:tcPr>
          <w:p>
            <w:pPr>
              <w:spacing w:after="0" w:line="250" w:lineRule="auto"/>
              <w:jc w:val="center"/>
            </w:pPr>
            <w:r>
              <w:rPr>
                <w:sz w:val="20"/>
              </w:rPr>
              <w:t>Next</w:t>
            </w:r>
          </w:p>
        </w:tc>
      </w:tr>
      <w:tr>
        <w:trPr>
          <w:cantSplit/>
        </w:trPr>
        <w:tc>
          <w:tcPr>
            <w:tcW w:type="dxa" w:w="1613"/>
            <w:vAlign w:val="center"/>
            <w:tcMar>
              <w:top w:w="90" w:type="dxa"/>
              <w:bottom w:w="90" w:type="dxa"/>
              <w:left w:w="100" w:type="dxa"/>
              <w:right w:w="100" w:type="dxa"/>
            </w:tcMar>
            <w:shd w:fill="F5F7F9"/>
          </w:tcPr>
          <w:p>
            <w:pPr>
              <w:spacing w:after="0" w:line="250" w:lineRule="auto"/>
            </w:pPr>
            <w:r>
              <w:rPr>
                <w:sz w:val="20"/>
              </w:rPr>
              <w:t>Operate connected tools</w:t>
            </w:r>
          </w:p>
        </w:tc>
        <w:tc>
          <w:tcPr>
            <w:tcW w:type="dxa" w:w="3197"/>
            <w:vAlign w:val="center"/>
            <w:tcMar>
              <w:top w:w="90" w:type="dxa"/>
              <w:bottom w:w="90" w:type="dxa"/>
              <w:left w:w="100" w:type="dxa"/>
              <w:right w:w="100" w:type="dxa"/>
            </w:tcMar>
            <w:shd w:fill="F5F7F9"/>
          </w:tcPr>
          <w:p>
            <w:pPr>
              <w:spacing w:after="0" w:line="250" w:lineRule="auto"/>
            </w:pPr>
            <w:r>
              <w:rPr>
                <w:sz w:val="20"/>
              </w:rPr>
              <w:t>Prepare a CRM update or an email response.</w:t>
            </w:r>
          </w:p>
        </w:tc>
        <w:tc>
          <w:tcPr>
            <w:tcW w:type="dxa" w:w="4219"/>
            <w:vAlign w:val="center"/>
            <w:tcMar>
              <w:top w:w="90" w:type="dxa"/>
              <w:bottom w:w="90" w:type="dxa"/>
              <w:left w:w="100" w:type="dxa"/>
              <w:right w:w="100" w:type="dxa"/>
            </w:tcMar>
            <w:shd w:fill="F5F7F9"/>
          </w:tcPr>
          <w:p>
            <w:pPr>
              <w:spacing w:after="0" w:line="250" w:lineRule="auto"/>
            </w:pPr>
            <w:r>
              <w:rPr>
                <w:sz w:val="20"/>
              </w:rPr>
              <w:t>Previewed changes with explicit authority to apply.</w:t>
            </w:r>
          </w:p>
        </w:tc>
        <w:tc>
          <w:tcPr>
            <w:tcW w:type="dxa" w:w="965"/>
            <w:vAlign w:val="center"/>
            <w:tcMar>
              <w:top w:w="90" w:type="dxa"/>
              <w:bottom w:w="90" w:type="dxa"/>
              <w:left w:w="100" w:type="dxa"/>
              <w:right w:w="100" w:type="dxa"/>
            </w:tcMar>
            <w:shd w:fill="F5F7F9"/>
          </w:tcPr>
          <w:p>
            <w:pPr>
              <w:spacing w:after="0" w:line="250" w:lineRule="auto"/>
              <w:jc w:val="center"/>
            </w:pPr>
            <w:r>
              <w:rPr>
                <w:sz w:val="20"/>
              </w:rPr>
              <w:t>Later</w:t>
            </w:r>
          </w:p>
        </w:tc>
      </w:tr>
      <w:tr>
        <w:trPr>
          <w:cantSplit/>
        </w:trPr>
        <w:tc>
          <w:tcPr>
            <w:tcW w:type="dxa" w:w="1613"/>
            <w:vAlign w:val="center"/>
            <w:tcMar>
              <w:top w:w="90" w:type="dxa"/>
              <w:bottom w:w="90" w:type="dxa"/>
              <w:left w:w="100" w:type="dxa"/>
              <w:right w:w="100" w:type="dxa"/>
            </w:tcMar>
            <w:shd w:fill="FFFFFF"/>
          </w:tcPr>
          <w:p>
            <w:pPr>
              <w:spacing w:after="0" w:line="250" w:lineRule="auto"/>
            </w:pPr>
            <w:r>
              <w:rPr>
                <w:sz w:val="20"/>
              </w:rPr>
              <w:t>Build software</w:t>
            </w:r>
          </w:p>
        </w:tc>
        <w:tc>
          <w:tcPr>
            <w:tcW w:type="dxa" w:w="3197"/>
            <w:vAlign w:val="center"/>
            <w:tcMar>
              <w:top w:w="90" w:type="dxa"/>
              <w:bottom w:w="90" w:type="dxa"/>
              <w:left w:w="100" w:type="dxa"/>
              <w:right w:w="100" w:type="dxa"/>
            </w:tcMar>
            <w:shd w:fill="FFFFFF"/>
          </w:tcPr>
          <w:p>
            <w:pPr>
              <w:spacing w:after="0" w:line="250" w:lineRule="auto"/>
            </w:pPr>
            <w:r>
              <w:rPr>
                <w:sz w:val="20"/>
              </w:rPr>
              <w:t>Implement and test this small feature.</w:t>
            </w:r>
          </w:p>
        </w:tc>
        <w:tc>
          <w:tcPr>
            <w:tcW w:type="dxa" w:w="4219"/>
            <w:vAlign w:val="center"/>
            <w:tcMar>
              <w:top w:w="90" w:type="dxa"/>
              <w:bottom w:w="90" w:type="dxa"/>
              <w:left w:w="100" w:type="dxa"/>
              <w:right w:w="100" w:type="dxa"/>
            </w:tcMar>
            <w:shd w:fill="FFFFFF"/>
          </w:tcPr>
          <w:p>
            <w:pPr>
              <w:spacing w:after="0" w:line="250" w:lineRule="auto"/>
            </w:pPr>
            <w:r>
              <w:rPr>
                <w:sz w:val="20"/>
              </w:rPr>
              <w:t>Isolated changes, test evidence and review.</w:t>
            </w:r>
          </w:p>
        </w:tc>
        <w:tc>
          <w:tcPr>
            <w:tcW w:type="dxa" w:w="965"/>
            <w:vAlign w:val="center"/>
            <w:tcMar>
              <w:top w:w="90" w:type="dxa"/>
              <w:bottom w:w="90" w:type="dxa"/>
              <w:left w:w="100" w:type="dxa"/>
              <w:right w:w="100" w:type="dxa"/>
            </w:tcMar>
            <w:shd w:fill="FFFFFF"/>
          </w:tcPr>
          <w:p>
            <w:pPr>
              <w:spacing w:after="0" w:line="250" w:lineRule="auto"/>
              <w:jc w:val="center"/>
            </w:pPr>
            <w:r>
              <w:rPr>
                <w:sz w:val="20"/>
              </w:rPr>
              <w:t>Later</w:t>
            </w:r>
          </w:p>
        </w:tc>
      </w:tr>
    </w:tbl>
    <w:p>
      <w:pPr>
        <w:spacing w:after="40"/>
      </w:pPr>
      <w:r/>
    </w:p>
    <w:p>
      <w:r>
        <w:t>Research is a practical starting point because evidence can be collected in the browser and assessed independently of the agent’s narrative. Document preparation builds directly on that evidence. Repetitive authenticated transactions have more dependencies and should follow after interruption, review and recovery work reliably.</w:t>
      </w:r>
    </w:p>
    <w:p>
      <w:pPr>
        <w:pStyle w:val="Heading2"/>
      </w:pPr>
      <w:r>
        <w:t>Scope boundaries</w:t>
      </w:r>
    </w:p>
    <w:p>
      <w:r>
        <w:t>The MVP includes one workspace at a time, projects, up to six visible agents, a maximum of two simultaneous model runs, and one live browser tab per running agent. It supports supplied public URLs and browser-based search, selected local text or Markdown inputs, plain-text and Markdown drafts, CSV comparisons, and a basic DOCX export. Model access starts with one supported provider behind an adapter.</w:t>
      </w:r>
    </w:p>
    <w:p>
      <w:r>
        <w:t>The first release excludes arbitrary terminal execution, automatic external sending or publishing, purchases, broad account access, autonomous hiring, full Office editing, a room editor, multiplayer, mobile control and always-on cloud execution. Persistent authenticated browsing and scheduled productive routines are the next stage. Existing cosmetic routines stay available.</w:t>
      </w:r>
    </w:p>
    <w:p>
      <w:r>
        <w:t>The product should remain useful with a single agent. Adding desks must never be a prerequisite for completing a simple task.</w:t>
      </w:r>
    </w:p>
    <w:p>
      <w:pPr>
        <w:pStyle w:val="Heading1"/>
      </w:pPr>
      <w:r>
        <w:t>3 Comparable products and implications</w:t>
      </w:r>
    </w:p>
    <w:p>
      <w:r/>
      <w:r>
        <w:rPr>
          <w:b/>
        </w:rPr>
        <w:t>Research basis.</w:t>
      </w:r>
      <w:r>
        <w:t xml:space="preserve"> The following comparisons use primary product documentation and repositories accessed on 30 September 2026. Capability descriptions reflect those sources, not a hands-on reliability benchmark. The implications are recommendations for Worklive. Availability and integration support can change.</w:t>
      </w:r>
    </w:p>
    <w:p>
      <w:pPr>
        <w:pStyle w:val="Heading2"/>
      </w:pPr>
      <w:r>
        <w:t>Visual agent workspaces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3974"/>
        <w:gridCol w:w="4291"/>
      </w:tblGrid>
      <w:tr>
        <w:trPr>
          <w:cantSplit/>
          <w:tblHeader/>
        </w:trPr>
        <w:tc>
          <w:tcPr>
            <w:tcW w:type="dxa" w:w="1728"/>
            <w:vAlign w:val="center"/>
            <w:tcMar>
              <w:top w:w="90" w:type="dxa"/>
              <w:bottom w:w="90" w:type="dxa"/>
              <w:left w:w="100" w:type="dxa"/>
              <w:right w:w="100" w:type="dxa"/>
            </w:tcMar>
            <w:shd w:fill="E6EDF2"/>
          </w:tcPr>
          <w:p>
            <w:pPr>
              <w:spacing w:after="0" w:line="250" w:lineRule="auto"/>
            </w:pPr>
            <w:r>
              <w:rPr>
                <w:b/>
                <w:sz w:val="20"/>
              </w:rPr>
              <w:t>Project</w:t>
            </w:r>
          </w:p>
        </w:tc>
        <w:tc>
          <w:tcPr>
            <w:tcW w:type="dxa" w:w="3974"/>
            <w:vAlign w:val="center"/>
            <w:tcMar>
              <w:top w:w="90" w:type="dxa"/>
              <w:bottom w:w="90" w:type="dxa"/>
              <w:left w:w="100" w:type="dxa"/>
              <w:right w:w="100" w:type="dxa"/>
            </w:tcMar>
            <w:shd w:fill="E6EDF2"/>
          </w:tcPr>
          <w:p>
            <w:pPr>
              <w:spacing w:after="0" w:line="250" w:lineRule="auto"/>
            </w:pPr>
            <w:r>
              <w:rPr>
                <w:b/>
                <w:sz w:val="20"/>
              </w:rPr>
              <w:t>Documented approach</w:t>
            </w:r>
          </w:p>
        </w:tc>
        <w:tc>
          <w:tcPr>
            <w:tcW w:type="dxa" w:w="4291"/>
            <w:vAlign w:val="center"/>
            <w:tcMar>
              <w:top w:w="90" w:type="dxa"/>
              <w:bottom w:w="90" w:type="dxa"/>
              <w:left w:w="100" w:type="dxa"/>
              <w:right w:w="100" w:type="dxa"/>
            </w:tcMar>
            <w:shd w:fill="E6EDF2"/>
          </w:tcPr>
          <w:p>
            <w:pPr>
              <w:spacing w:after="0" w:line="250" w:lineRule="auto"/>
            </w:pPr>
            <w:r>
              <w:rPr>
                <w:b/>
                <w:sz w:val="20"/>
              </w:rPr>
              <w:t>Implication for Worklive</w:t>
            </w:r>
          </w:p>
        </w:tc>
      </w:tr>
      <w:tr>
        <w:trPr>
          <w:cantSplit/>
        </w:trPr>
        <w:tc>
          <w:tcPr>
            <w:tcW w:type="dxa" w:w="1728"/>
            <w:vAlign w:val="center"/>
            <w:tcMar>
              <w:top w:w="90" w:type="dxa"/>
              <w:bottom w:w="90" w:type="dxa"/>
              <w:left w:w="100" w:type="dxa"/>
              <w:right w:w="100" w:type="dxa"/>
            </w:tcMar>
            <w:shd w:fill="FFFFFF"/>
          </w:tcPr>
          <w:p>
            <w:pPr>
              <w:spacing w:after="0" w:line="250" w:lineRule="auto"/>
            </w:pPr>
            <w:r>
              <w:rPr>
                <w:sz w:val="20"/>
              </w:rPr>
              <w:t xml:space="preserve">Claw3D </w:t>
            </w:r>
            <w:hyperlink r:id="rId10">
              <w:r>
                <w:rPr>
                  <w:color w:val="235A80"/>
                </w:rPr>
                <w:t>[S1]</w:t>
              </w:r>
            </w:hyperlink>
            <w:r>
              <w:rPr>
                <w:sz w:val="20"/>
              </w:rPr>
            </w:r>
          </w:p>
        </w:tc>
        <w:tc>
          <w:tcPr>
            <w:tcW w:type="dxa" w:w="3974"/>
            <w:vAlign w:val="center"/>
            <w:tcMar>
              <w:top w:w="90" w:type="dxa"/>
              <w:bottom w:w="90" w:type="dxa"/>
              <w:left w:w="100" w:type="dxa"/>
              <w:right w:w="100" w:type="dxa"/>
            </w:tcMar>
            <w:shd w:fill="FFFFFF"/>
          </w:tcPr>
          <w:p>
            <w:pPr>
              <w:spacing w:after="0" w:line="250" w:lineRule="auto"/>
            </w:pPr>
            <w:r>
              <w:rPr>
                <w:sz w:val="20"/>
              </w:rPr>
              <w:t>A 3D office and interaction layer connected to external runtimes, with agent management, activity and operational surfaces.</w:t>
            </w:r>
          </w:p>
        </w:tc>
        <w:tc>
          <w:tcPr>
            <w:tcW w:type="dxa" w:w="4291"/>
            <w:vAlign w:val="center"/>
            <w:tcMar>
              <w:top w:w="90" w:type="dxa"/>
              <w:bottom w:w="90" w:type="dxa"/>
              <w:left w:w="100" w:type="dxa"/>
              <w:right w:w="100" w:type="dxa"/>
            </w:tcMar>
            <w:shd w:fill="FFFFFF"/>
          </w:tcPr>
          <w:p>
            <w:pPr>
              <w:spacing w:after="0" w:line="250" w:lineRule="auto"/>
            </w:pPr>
            <w:r>
              <w:rPr>
                <w:sz w:val="20"/>
              </w:rPr>
              <w:t>Closest conceptual overlap. A 3D office alone is not a distinct position; focus on accessible knowledge work and trustworthy results.</w:t>
            </w:r>
          </w:p>
        </w:tc>
      </w:tr>
      <w:tr>
        <w:trPr>
          <w:cantSplit/>
        </w:trPr>
        <w:tc>
          <w:tcPr>
            <w:tcW w:type="dxa" w:w="1728"/>
            <w:vAlign w:val="center"/>
            <w:tcMar>
              <w:top w:w="90" w:type="dxa"/>
              <w:bottom w:w="90" w:type="dxa"/>
              <w:left w:w="100" w:type="dxa"/>
              <w:right w:w="100" w:type="dxa"/>
            </w:tcMar>
            <w:shd w:fill="F5F7F9"/>
          </w:tcPr>
          <w:p>
            <w:pPr>
              <w:spacing w:after="0" w:line="250" w:lineRule="auto"/>
            </w:pPr>
            <w:r>
              <w:rPr>
                <w:sz w:val="20"/>
              </w:rPr>
              <w:t xml:space="preserve">Pixel Agents </w:t>
            </w:r>
            <w:hyperlink r:id="rId11">
              <w:r>
                <w:rPr>
                  <w:color w:val="235A80"/>
                </w:rPr>
                <w:t>[S2]</w:t>
              </w:r>
            </w:hyperlink>
            <w:r>
              <w:rPr>
                <w:sz w:val="20"/>
              </w:rPr>
            </w:r>
          </w:p>
        </w:tc>
        <w:tc>
          <w:tcPr>
            <w:tcW w:type="dxa" w:w="3974"/>
            <w:vAlign w:val="center"/>
            <w:tcMar>
              <w:top w:w="90" w:type="dxa"/>
              <w:bottom w:w="90" w:type="dxa"/>
              <w:left w:w="100" w:type="dxa"/>
              <w:right w:w="100" w:type="dxa"/>
            </w:tcMar>
            <w:shd w:fill="F5F7F9"/>
          </w:tcPr>
          <w:p>
            <w:pPr>
              <w:spacing w:after="0" w:line="250" w:lineRule="auto"/>
            </w:pPr>
            <w:r>
              <w:rPr>
                <w:sz w:val="20"/>
              </w:rPr>
              <w:t>Maps coding agent activity into animated characters. Ships as a VS Code extension and standalone browser surface. Claude Code is the reference integration.</w:t>
            </w:r>
          </w:p>
        </w:tc>
        <w:tc>
          <w:tcPr>
            <w:tcW w:type="dxa" w:w="4291"/>
            <w:vAlign w:val="center"/>
            <w:tcMar>
              <w:top w:w="90" w:type="dxa"/>
              <w:bottom w:w="90" w:type="dxa"/>
              <w:left w:w="100" w:type="dxa"/>
              <w:right w:w="100" w:type="dxa"/>
            </w:tcMar>
            <w:shd w:fill="F5F7F9"/>
          </w:tcPr>
          <w:p>
            <w:pPr>
              <w:spacing w:after="0" w:line="250" w:lineRule="auto"/>
            </w:pPr>
            <w:r>
              <w:rPr>
                <w:sz w:val="20"/>
              </w:rPr>
              <w:t>Ground animation in real events. Keep present integrations separate from the roadmap.</w:t>
            </w:r>
          </w:p>
        </w:tc>
      </w:tr>
      <w:tr>
        <w:trPr>
          <w:cantSplit/>
        </w:trPr>
        <w:tc>
          <w:tcPr>
            <w:tcW w:type="dxa" w:w="1728"/>
            <w:vAlign w:val="center"/>
            <w:tcMar>
              <w:top w:w="90" w:type="dxa"/>
              <w:bottom w:w="90" w:type="dxa"/>
              <w:left w:w="100" w:type="dxa"/>
              <w:right w:w="100" w:type="dxa"/>
            </w:tcMar>
            <w:shd w:fill="FFFFFF"/>
          </w:tcPr>
          <w:p>
            <w:pPr>
              <w:spacing w:after="0" w:line="250" w:lineRule="auto"/>
            </w:pPr>
            <w:r>
              <w:rPr>
                <w:sz w:val="20"/>
              </w:rPr>
              <w:t xml:space="preserve">AgentRoom </w:t>
            </w:r>
            <w:hyperlink r:id="rId12">
              <w:r>
                <w:rPr>
                  <w:color w:val="235A80"/>
                </w:rPr>
                <w:t>[S3]</w:t>
              </w:r>
            </w:hyperlink>
            <w:r>
              <w:rPr>
                <w:sz w:val="20"/>
              </w:rPr>
            </w:r>
          </w:p>
        </w:tc>
        <w:tc>
          <w:tcPr>
            <w:tcW w:type="dxa" w:w="3974"/>
            <w:vAlign w:val="center"/>
            <w:tcMar>
              <w:top w:w="90" w:type="dxa"/>
              <w:bottom w:w="90" w:type="dxa"/>
              <w:left w:w="100" w:type="dxa"/>
              <w:right w:w="100" w:type="dxa"/>
            </w:tcMar>
            <w:shd w:fill="FFFFFF"/>
          </w:tcPr>
          <w:p>
            <w:pPr>
              <w:spacing w:after="0" w:line="250" w:lineRule="auto"/>
            </w:pPr>
            <w:r>
              <w:rPr>
                <w:sz w:val="20"/>
              </w:rPr>
              <w:t>Tauri app that watches agent transcripts, shows project offices and supports session search.</w:t>
            </w:r>
          </w:p>
        </w:tc>
        <w:tc>
          <w:tcPr>
            <w:tcW w:type="dxa" w:w="4291"/>
            <w:vAlign w:val="center"/>
            <w:tcMar>
              <w:top w:w="90" w:type="dxa"/>
              <w:bottom w:w="90" w:type="dxa"/>
              <w:left w:w="100" w:type="dxa"/>
              <w:right w:w="100" w:type="dxa"/>
            </w:tcMar>
            <w:shd w:fill="FFFFFF"/>
          </w:tcPr>
          <w:p>
            <w:pPr>
              <w:spacing w:after="0" w:line="250" w:lineRule="auto"/>
            </w:pPr>
            <w:r>
              <w:rPr>
                <w:sz w:val="20"/>
              </w:rPr>
              <w:t>A visual observer is useful, but owning execution is a separate responsibility. Worklive needs a durable task model, not just transcript watching.</w:t>
            </w:r>
          </w:p>
        </w:tc>
      </w:tr>
      <w:tr>
        <w:trPr>
          <w:cantSplit/>
        </w:trPr>
        <w:tc>
          <w:tcPr>
            <w:tcW w:type="dxa" w:w="1728"/>
            <w:vAlign w:val="center"/>
            <w:tcMar>
              <w:top w:w="90" w:type="dxa"/>
              <w:bottom w:w="90" w:type="dxa"/>
              <w:left w:w="100" w:type="dxa"/>
              <w:right w:w="100" w:type="dxa"/>
            </w:tcMar>
            <w:shd w:fill="F5F7F9"/>
          </w:tcPr>
          <w:p>
            <w:pPr>
              <w:spacing w:after="0" w:line="250" w:lineRule="auto"/>
            </w:pPr>
            <w:r>
              <w:rPr>
                <w:sz w:val="20"/>
              </w:rPr>
              <w:t xml:space="preserve">OpenHands Agent Canvas </w:t>
            </w:r>
            <w:hyperlink r:id="rId13">
              <w:r>
                <w:rPr>
                  <w:color w:val="235A80"/>
                </w:rPr>
                <w:t>[S9]</w:t>
              </w:r>
            </w:hyperlink>
            <w:r>
              <w:rPr>
                <w:sz w:val="20"/>
              </w:rPr>
            </w:r>
          </w:p>
        </w:tc>
        <w:tc>
          <w:tcPr>
            <w:tcW w:type="dxa" w:w="3974"/>
            <w:vAlign w:val="center"/>
            <w:tcMar>
              <w:top w:w="90" w:type="dxa"/>
              <w:bottom w:w="90" w:type="dxa"/>
              <w:left w:w="100" w:type="dxa"/>
              <w:right w:w="100" w:type="dxa"/>
            </w:tcMar>
            <w:shd w:fill="F5F7F9"/>
          </w:tcPr>
          <w:p>
            <w:pPr>
              <w:spacing w:after="0" w:line="250" w:lineRule="auto"/>
            </w:pPr>
            <w:r>
              <w:rPr>
                <w:sz w:val="20"/>
              </w:rPr>
              <w:t>Visual coding workspace with harness connections, parallel worktrees and local or remote backends.</w:t>
            </w:r>
          </w:p>
        </w:tc>
        <w:tc>
          <w:tcPr>
            <w:tcW w:type="dxa" w:w="4291"/>
            <w:vAlign w:val="center"/>
            <w:tcMar>
              <w:top w:w="90" w:type="dxa"/>
              <w:bottom w:w="90" w:type="dxa"/>
              <w:left w:w="100" w:type="dxa"/>
              <w:right w:w="100" w:type="dxa"/>
            </w:tcMar>
            <w:shd w:fill="F5F7F9"/>
          </w:tcPr>
          <w:p>
            <w:pPr>
              <w:spacing w:after="0" w:line="250" w:lineRule="auto"/>
            </w:pPr>
            <w:r>
              <w:rPr>
                <w:sz w:val="20"/>
              </w:rPr>
              <w:t>A development edition would need serious isolation and review. Defer competing on the entire coding workflow.</w:t>
            </w:r>
          </w:p>
        </w:tc>
      </w:tr>
    </w:tbl>
    <w:p>
      <w:pPr>
        <w:spacing w:after="40"/>
      </w:pPr>
      <w:r/>
    </w:p>
    <w:p>
      <w:pPr>
        <w:pStyle w:val="Heading2"/>
      </w:pPr>
      <w:r>
        <w:t>Productive agent systems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3974"/>
        <w:gridCol w:w="4291"/>
      </w:tblGrid>
      <w:tr>
        <w:trPr>
          <w:cantSplit/>
          <w:tblHeader/>
        </w:trPr>
        <w:tc>
          <w:tcPr>
            <w:tcW w:type="dxa" w:w="1728"/>
            <w:vAlign w:val="center"/>
            <w:tcMar>
              <w:top w:w="90" w:type="dxa"/>
              <w:bottom w:w="90" w:type="dxa"/>
              <w:left w:w="100" w:type="dxa"/>
              <w:right w:w="100" w:type="dxa"/>
            </w:tcMar>
            <w:shd w:fill="E6EDF2"/>
          </w:tcPr>
          <w:p>
            <w:pPr>
              <w:spacing w:after="0" w:line="250" w:lineRule="auto"/>
            </w:pPr>
            <w:r>
              <w:rPr>
                <w:b/>
                <w:sz w:val="20"/>
              </w:rPr>
              <w:t>Product</w:t>
            </w:r>
          </w:p>
        </w:tc>
        <w:tc>
          <w:tcPr>
            <w:tcW w:type="dxa" w:w="3974"/>
            <w:vAlign w:val="center"/>
            <w:tcMar>
              <w:top w:w="90" w:type="dxa"/>
              <w:bottom w:w="90" w:type="dxa"/>
              <w:left w:w="100" w:type="dxa"/>
              <w:right w:w="100" w:type="dxa"/>
            </w:tcMar>
            <w:shd w:fill="E6EDF2"/>
          </w:tcPr>
          <w:p>
            <w:pPr>
              <w:spacing w:after="0" w:line="250" w:lineRule="auto"/>
            </w:pPr>
            <w:r>
              <w:rPr>
                <w:b/>
                <w:sz w:val="20"/>
              </w:rPr>
              <w:t>Documented approach</w:t>
            </w:r>
          </w:p>
        </w:tc>
        <w:tc>
          <w:tcPr>
            <w:tcW w:type="dxa" w:w="4291"/>
            <w:vAlign w:val="center"/>
            <w:tcMar>
              <w:top w:w="90" w:type="dxa"/>
              <w:bottom w:w="90" w:type="dxa"/>
              <w:left w:w="100" w:type="dxa"/>
              <w:right w:w="100" w:type="dxa"/>
            </w:tcMar>
            <w:shd w:fill="E6EDF2"/>
          </w:tcPr>
          <w:p>
            <w:pPr>
              <w:spacing w:after="0" w:line="250" w:lineRule="auto"/>
            </w:pPr>
            <w:r>
              <w:rPr>
                <w:b/>
                <w:sz w:val="20"/>
              </w:rPr>
              <w:t>Implication for Worklive</w:t>
            </w:r>
          </w:p>
        </w:tc>
      </w:tr>
      <w:tr>
        <w:trPr>
          <w:cantSplit/>
        </w:trPr>
        <w:tc>
          <w:tcPr>
            <w:tcW w:type="dxa" w:w="1728"/>
            <w:vAlign w:val="center"/>
            <w:tcMar>
              <w:top w:w="90" w:type="dxa"/>
              <w:bottom w:w="90" w:type="dxa"/>
              <w:left w:w="100" w:type="dxa"/>
              <w:right w:w="100" w:type="dxa"/>
            </w:tcMar>
            <w:shd w:fill="FFFFFF"/>
          </w:tcPr>
          <w:p>
            <w:pPr>
              <w:spacing w:after="0" w:line="250" w:lineRule="auto"/>
            </w:pPr>
            <w:r>
              <w:rPr>
                <w:sz w:val="20"/>
              </w:rPr>
              <w:t xml:space="preserve">Paperclip </w:t>
            </w:r>
            <w:hyperlink r:id="rId14">
              <w:r>
                <w:rPr>
                  <w:color w:val="235A80"/>
                </w:rPr>
                <w:t>[S4]</w:t>
              </w:r>
            </w:hyperlink>
            <w:r>
              <w:rPr>
                <w:sz w:val="20"/>
              </w:rPr>
              <w:t xml:space="preserve"> </w:t>
            </w:r>
            <w:hyperlink r:id="rId15">
              <w:r>
                <w:rPr>
                  <w:color w:val="235A80"/>
                </w:rPr>
                <w:t>[S5]</w:t>
              </w:r>
            </w:hyperlink>
            <w:r>
              <w:rPr>
                <w:sz w:val="20"/>
              </w:rPr>
            </w:r>
          </w:p>
        </w:tc>
        <w:tc>
          <w:tcPr>
            <w:tcW w:type="dxa" w:w="3974"/>
            <w:vAlign w:val="center"/>
            <w:tcMar>
              <w:top w:w="90" w:type="dxa"/>
              <w:bottom w:w="90" w:type="dxa"/>
              <w:left w:w="100" w:type="dxa"/>
              <w:right w:w="100" w:type="dxa"/>
            </w:tcMar>
            <w:shd w:fill="FFFFFF"/>
          </w:tcPr>
          <w:p>
            <w:pPr>
              <w:spacing w:after="0" w:line="250" w:lineRule="auto"/>
            </w:pPr>
            <w:r>
              <w:rPr>
                <w:sz w:val="20"/>
              </w:rPr>
              <w:t>Organizes agents, tasks, budgets and approvals. Agents execute through discrete heartbeats and retain session continuity.</w:t>
            </w:r>
          </w:p>
        </w:tc>
        <w:tc>
          <w:tcPr>
            <w:tcW w:type="dxa" w:w="4291"/>
            <w:vAlign w:val="center"/>
            <w:tcMar>
              <w:top w:w="90" w:type="dxa"/>
              <w:bottom w:w="90" w:type="dxa"/>
              <w:left w:w="100" w:type="dxa"/>
              <w:right w:w="100" w:type="dxa"/>
            </w:tcMar>
            <w:shd w:fill="FFFFFF"/>
          </w:tcPr>
          <w:p>
            <w:pPr>
              <w:spacing w:after="0" w:line="250" w:lineRule="auto"/>
            </w:pPr>
            <w:r>
              <w:rPr>
                <w:sz w:val="20"/>
              </w:rPr>
              <w:t>Borrow explicit ownership and event-driven execution. A small personal team does not need a corporate hierarchy to start.</w:t>
            </w:r>
          </w:p>
        </w:tc>
      </w:tr>
      <w:tr>
        <w:trPr>
          <w:cantSplit/>
        </w:trPr>
        <w:tc>
          <w:tcPr>
            <w:tcW w:type="dxa" w:w="1728"/>
            <w:vAlign w:val="center"/>
            <w:tcMar>
              <w:top w:w="90" w:type="dxa"/>
              <w:bottom w:w="90" w:type="dxa"/>
              <w:left w:w="100" w:type="dxa"/>
              <w:right w:w="100" w:type="dxa"/>
            </w:tcMar>
            <w:shd w:fill="F5F7F9"/>
          </w:tcPr>
          <w:p>
            <w:pPr>
              <w:spacing w:after="0" w:line="250" w:lineRule="auto"/>
            </w:pPr>
            <w:r>
              <w:rPr>
                <w:sz w:val="20"/>
              </w:rPr>
              <w:t xml:space="preserve">Claude Cowork </w:t>
            </w:r>
            <w:hyperlink r:id="rId16">
              <w:r>
                <w:rPr>
                  <w:color w:val="235A80"/>
                </w:rPr>
                <w:t>[S6]</w:t>
              </w:r>
            </w:hyperlink>
            <w:r>
              <w:rPr>
                <w:sz w:val="20"/>
              </w:rPr>
            </w:r>
          </w:p>
        </w:tc>
        <w:tc>
          <w:tcPr>
            <w:tcW w:type="dxa" w:w="3974"/>
            <w:vAlign w:val="center"/>
            <w:tcMar>
              <w:top w:w="90" w:type="dxa"/>
              <w:bottom w:w="90" w:type="dxa"/>
              <w:left w:w="100" w:type="dxa"/>
              <w:right w:w="100" w:type="dxa"/>
            </w:tcMar>
            <w:shd w:fill="F5F7F9"/>
          </w:tcPr>
          <w:p>
            <w:pPr>
              <w:spacing w:after="0" w:line="250" w:lineRule="auto"/>
            </w:pPr>
            <w:r>
              <w:rPr>
                <w:sz w:val="20"/>
              </w:rPr>
              <w:t>Knowledge work with parallel subtasks and a built-in browser separate from the user’s ordinary browser.</w:t>
            </w:r>
          </w:p>
        </w:tc>
        <w:tc>
          <w:tcPr>
            <w:tcW w:type="dxa" w:w="4291"/>
            <w:vAlign w:val="center"/>
            <w:tcMar>
              <w:top w:w="90" w:type="dxa"/>
              <w:bottom w:w="90" w:type="dxa"/>
              <w:left w:w="100" w:type="dxa"/>
              <w:right w:w="100" w:type="dxa"/>
            </w:tcMar>
            <w:shd w:fill="F5F7F9"/>
          </w:tcPr>
          <w:p>
            <w:pPr>
              <w:spacing w:after="0" w:line="250" w:lineRule="auto"/>
            </w:pPr>
            <w:r>
              <w:rPr>
                <w:sz w:val="20"/>
              </w:rPr>
              <w:t>Documents and integrated browsing already set a high baseline. Worklive must improve continuity and supervision, not only add a character.</w:t>
            </w:r>
          </w:p>
        </w:tc>
      </w:tr>
      <w:tr>
        <w:trPr>
          <w:cantSplit/>
        </w:trPr>
        <w:tc>
          <w:tcPr>
            <w:tcW w:type="dxa" w:w="1728"/>
            <w:vAlign w:val="center"/>
            <w:tcMar>
              <w:top w:w="90" w:type="dxa"/>
              <w:bottom w:w="90" w:type="dxa"/>
              <w:left w:w="100" w:type="dxa"/>
              <w:right w:w="100" w:type="dxa"/>
            </w:tcMar>
            <w:shd w:fill="FFFFFF"/>
          </w:tcPr>
          <w:p>
            <w:pPr>
              <w:spacing w:after="0" w:line="250" w:lineRule="auto"/>
            </w:pPr>
            <w:r>
              <w:rPr>
                <w:sz w:val="20"/>
              </w:rPr>
              <w:t xml:space="preserve">Manus </w:t>
            </w:r>
            <w:hyperlink r:id="rId17">
              <w:r>
                <w:rPr>
                  <w:color w:val="235A80"/>
                </w:rPr>
                <w:t>[S7]</w:t>
              </w:r>
            </w:hyperlink>
            <w:r>
              <w:rPr>
                <w:sz w:val="20"/>
              </w:rPr>
            </w:r>
          </w:p>
        </w:tc>
        <w:tc>
          <w:tcPr>
            <w:tcW w:type="dxa" w:w="3974"/>
            <w:vAlign w:val="center"/>
            <w:tcMar>
              <w:top w:w="90" w:type="dxa"/>
              <w:bottom w:w="90" w:type="dxa"/>
              <w:left w:w="100" w:type="dxa"/>
              <w:right w:w="100" w:type="dxa"/>
            </w:tcMar>
            <w:shd w:fill="FFFFFF"/>
          </w:tcPr>
          <w:p>
            <w:pPr>
              <w:spacing w:after="0" w:line="250" w:lineRule="auto"/>
            </w:pPr>
            <w:r>
              <w:rPr>
                <w:sz w:val="20"/>
              </w:rPr>
              <w:t>Cloud browsing plus an authorized local browser extension, with visible task tabs and user intervention.</w:t>
            </w:r>
          </w:p>
        </w:tc>
        <w:tc>
          <w:tcPr>
            <w:tcW w:type="dxa" w:w="4291"/>
            <w:vAlign w:val="center"/>
            <w:tcMar>
              <w:top w:w="90" w:type="dxa"/>
              <w:bottom w:w="90" w:type="dxa"/>
              <w:left w:w="100" w:type="dxa"/>
              <w:right w:w="100" w:type="dxa"/>
            </w:tcMar>
            <w:shd w:fill="FFFFFF"/>
          </w:tcPr>
          <w:p>
            <w:pPr>
              <w:spacing w:after="0" w:line="250" w:lineRule="auto"/>
            </w:pPr>
            <w:r>
              <w:rPr>
                <w:sz w:val="20"/>
              </w:rPr>
              <w:t>Control ownership and authenticated context are core product concerns. Do not assume an isolated browser inherits existing logins.</w:t>
            </w:r>
          </w:p>
        </w:tc>
      </w:tr>
      <w:tr>
        <w:trPr>
          <w:cantSplit/>
        </w:trPr>
        <w:tc>
          <w:tcPr>
            <w:tcW w:type="dxa" w:w="1728"/>
            <w:vAlign w:val="center"/>
            <w:tcMar>
              <w:top w:w="90" w:type="dxa"/>
              <w:bottom w:w="90" w:type="dxa"/>
              <w:left w:w="100" w:type="dxa"/>
              <w:right w:w="100" w:type="dxa"/>
            </w:tcMar>
            <w:shd w:fill="F5F7F9"/>
          </w:tcPr>
          <w:p>
            <w:pPr>
              <w:spacing w:after="0" w:line="250" w:lineRule="auto"/>
            </w:pPr>
            <w:r>
              <w:rPr>
                <w:sz w:val="20"/>
              </w:rPr>
              <w:t xml:space="preserve">OpenClaw </w:t>
            </w:r>
            <w:hyperlink r:id="rId18">
              <w:r>
                <w:rPr>
                  <w:color w:val="235A80"/>
                </w:rPr>
                <w:t>[S8]</w:t>
              </w:r>
            </w:hyperlink>
            <w:r>
              <w:rPr>
                <w:sz w:val="20"/>
              </w:rPr>
            </w:r>
          </w:p>
        </w:tc>
        <w:tc>
          <w:tcPr>
            <w:tcW w:type="dxa" w:w="3974"/>
            <w:vAlign w:val="center"/>
            <w:tcMar>
              <w:top w:w="90" w:type="dxa"/>
              <w:bottom w:w="90" w:type="dxa"/>
              <w:left w:w="100" w:type="dxa"/>
              <w:right w:w="100" w:type="dxa"/>
            </w:tcMar>
            <w:shd w:fill="F5F7F9"/>
          </w:tcPr>
          <w:p>
            <w:pPr>
              <w:spacing w:after="0" w:line="250" w:lineRule="auto"/>
            </w:pPr>
            <w:r>
              <w:rPr>
                <w:sz w:val="20"/>
              </w:rPr>
              <w:t>Distinguishes managed isolated browsing from profiles attached to existing signed-in sessions.</w:t>
            </w:r>
          </w:p>
        </w:tc>
        <w:tc>
          <w:tcPr>
            <w:tcW w:type="dxa" w:w="4291"/>
            <w:vAlign w:val="center"/>
            <w:tcMar>
              <w:top w:w="90" w:type="dxa"/>
              <w:bottom w:w="90" w:type="dxa"/>
              <w:left w:w="100" w:type="dxa"/>
              <w:right w:w="100" w:type="dxa"/>
            </w:tcMar>
            <w:shd w:fill="F5F7F9"/>
          </w:tcPr>
          <w:p>
            <w:pPr>
              <w:spacing w:after="0" w:line="250" w:lineRule="auto"/>
            </w:pPr>
            <w:r>
              <w:rPr>
                <w:sz w:val="20"/>
              </w:rPr>
              <w:t>Model browser identity and permission explicitly. A runtime integration is a future option, not a reason to adopt all of its capabilities.</w:t>
            </w:r>
          </w:p>
        </w:tc>
      </w:tr>
      <w:tr>
        <w:trPr>
          <w:cantSplit/>
        </w:trPr>
        <w:tc>
          <w:tcPr>
            <w:tcW w:type="dxa" w:w="1728"/>
            <w:vAlign w:val="center"/>
            <w:tcMar>
              <w:top w:w="90" w:type="dxa"/>
              <w:bottom w:w="90" w:type="dxa"/>
              <w:left w:w="100" w:type="dxa"/>
              <w:right w:w="100" w:type="dxa"/>
            </w:tcMar>
            <w:shd w:fill="FFFFFF"/>
          </w:tcPr>
          <w:p>
            <w:pPr>
              <w:spacing w:after="0" w:line="250" w:lineRule="auto"/>
            </w:pPr>
            <w:r>
              <w:rPr>
                <w:sz w:val="20"/>
              </w:rPr>
              <w:t xml:space="preserve">n8n </w:t>
            </w:r>
            <w:hyperlink r:id="rId19">
              <w:r>
                <w:rPr>
                  <w:color w:val="235A80"/>
                </w:rPr>
                <w:t>[S10]</w:t>
              </w:r>
            </w:hyperlink>
            <w:r>
              <w:rPr>
                <w:sz w:val="20"/>
              </w:rPr>
            </w:r>
          </w:p>
        </w:tc>
        <w:tc>
          <w:tcPr>
            <w:tcW w:type="dxa" w:w="3974"/>
            <w:vAlign w:val="center"/>
            <w:tcMar>
              <w:top w:w="90" w:type="dxa"/>
              <w:bottom w:w="90" w:type="dxa"/>
              <w:left w:w="100" w:type="dxa"/>
              <w:right w:w="100" w:type="dxa"/>
            </w:tcMar>
            <w:shd w:fill="FFFFFF"/>
          </w:tcPr>
          <w:p>
            <w:pPr>
              <w:spacing w:after="0" w:line="250" w:lineRule="auto"/>
            </w:pPr>
            <w:r>
              <w:rPr>
                <w:sz w:val="20"/>
              </w:rPr>
              <w:t>Can pause selected AI tool calls for human approval of the proposed parameters.</w:t>
            </w:r>
          </w:p>
        </w:tc>
        <w:tc>
          <w:tcPr>
            <w:tcW w:type="dxa" w:w="4291"/>
            <w:vAlign w:val="center"/>
            <w:tcMar>
              <w:top w:w="90" w:type="dxa"/>
              <w:bottom w:w="90" w:type="dxa"/>
              <w:left w:w="100" w:type="dxa"/>
              <w:right w:w="100" w:type="dxa"/>
            </w:tcMar>
            <w:shd w:fill="FFFFFF"/>
          </w:tcPr>
          <w:p>
            <w:pPr>
              <w:spacing w:after="0" w:line="250" w:lineRule="auto"/>
            </w:pPr>
            <w:r>
              <w:rPr>
                <w:sz w:val="20"/>
              </w:rPr>
              <w:t>Make approval an enforceable execution gate and a concrete preview. Mature repeatable workflows may eventually connect through an adapter.</w:t>
            </w:r>
          </w:p>
        </w:tc>
      </w:tr>
    </w:tbl>
    <w:p>
      <w:pPr>
        <w:spacing w:after="40"/>
      </w:pPr>
      <w:r/>
    </w:p>
    <w:p>
      <w:pPr>
        <w:pStyle w:val="Heading2"/>
      </w:pPr>
      <w:r>
        <w:t>What the evidence changes</w:t>
      </w:r>
    </w:p>
    <w:p>
      <w:r/>
      <w:r>
        <w:rPr>
          <w:b/>
        </w:rPr>
        <w:t>Positioning.</w:t>
      </w:r>
      <w:r>
        <w:t xml:space="preserve"> Worklive should be a calm, persistent workspace for delegating knowledge work to a recognizable team. The defensible product opportunity is the quality of its task lifecycle, evidence, continuity and user control. The visual office contributes orientation and attachment, but competitors already use similar metaphors.</w:t>
      </w:r>
    </w:p>
    <w:p>
      <w:r/>
      <w:r>
        <w:rPr>
          <w:b/>
        </w:rPr>
        <w:t>Collaboration.</w:t>
      </w:r>
      <w:r>
        <w:t xml:space="preserve"> Anthropic reports that parallel research benefits from separate contexts, while coordination and token usage can rise substantially. Its internal results are specific to its system and do not predict Worklive’s performance. Worklive should compare one agent against a bounded team on the same tasks before making collaboration the default. </w:t>
      </w:r>
      <w:hyperlink r:id="rId20">
        <w:r>
          <w:rPr>
            <w:color w:val="235A80"/>
          </w:rPr>
          <w:t>[S11]</w:t>
        </w:r>
      </w:hyperlink>
      <w:r/>
    </w:p>
    <w:p>
      <w:r/>
      <w:r>
        <w:rPr>
          <w:b/>
        </w:rPr>
        <w:t>Architecture.</w:t>
      </w:r>
      <w:r>
        <w:t xml:space="preserve"> OpenAI distinguishes a manager that calls specialists from a handoff that transfers conversational ownership. Worklive should use the first pattern for its initial shared projects: one owner remains accountable for the result. Frameworks can supply an execution loop, but Worklive must own its product state and tool authority. </w:t>
      </w:r>
      <w:hyperlink r:id="rId21">
        <w:r>
          <w:rPr>
            <w:color w:val="235A80"/>
          </w:rPr>
          <w:t>[S12]</w:t>
        </w:r>
      </w:hyperlink>
      <w:r>
        <w:t xml:space="preserve"> </w:t>
      </w:r>
      <w:hyperlink r:id="rId22">
        <w:r>
          <w:rPr>
            <w:color w:val="235A80"/>
          </w:rPr>
          <w:t>[S13]</w:t>
        </w:r>
      </w:hyperlink>
      <w:r/>
    </w:p>
    <w:p>
      <w:r/>
      <w:r>
        <w:rPr>
          <w:b/>
        </w:rPr>
        <w:t>Validation.</w:t>
      </w:r>
      <w:r>
        <w:t xml:space="preserve"> There is no evidence yet that the office reduces supervision time or that users will pay for it. Test those hypotheses directly, including a simple list view as a baseline. Do not use repository popularity or competitor marketing claims as market validation.</w:t>
      </w:r>
    </w:p>
    <w:p>
      <w:pPr>
        <w:pStyle w:val="Heading1"/>
      </w:pPr>
      <w:r>
        <w:t>4 The first complete user journey</w:t>
      </w:r>
    </w:p>
    <w:p>
      <w:pPr>
        <w:pStyle w:val="Heading2"/>
      </w:pPr>
      <w:r>
        <w:t>Example project</w:t>
      </w:r>
    </w:p>
    <w:p>
      <w:r>
        <w:t>The user creates a project called Customer research tools and asks: “Compare three feedback tools for a five-person product team. Use these vendor links. Check exports, collaboration, integrations and published pricing. Produce a two-page brief and a comparison table. Flag anything you cannot verify.”</w:t>
      </w:r>
    </w:p>
    <w:p>
      <w:pPr>
        <w:pStyle w:val="ListNumber"/>
      </w:pPr>
      <w:r>
        <w:t>Worklive proposes a compact task card containing the goal, output formats, source scope and stopping limits. The user can edit it and start immediately. Missing optional preferences become visible assumptions; missing information essential to the answer produces one focused question.</w:t>
      </w:r>
    </w:p>
    <w:p>
      <w:pPr>
        <w:pStyle w:val="ListNumber"/>
      </w:pPr>
      <w:r>
        <w:t>Ada owns the task. Her monitor shows the actual page being inspected. The task panel shows completed steps, the current action and source references. It does not invent a completion percentage for open-ended research.</w:t>
      </w:r>
    </w:p>
    <w:p>
      <w:pPr>
        <w:pStyle w:val="ListNumber"/>
      </w:pPr>
      <w:r>
        <w:t>If useful and allowed, Ada gives Milo a separate assignment to check export limitations across the same vendors. He receives only the project material and permissions required for that assignment. The user can see the assignment and its contribution.</w:t>
      </w:r>
    </w:p>
    <w:p>
      <w:pPr>
        <w:pStyle w:val="ListNumber"/>
      </w:pPr>
      <w:r>
        <w:t>A source that requires login becomes a visible blocker. The agent can continue independent research, use an alternative permitted source or ask for help. It must not invent inaccessible facts.</w:t>
      </w:r>
    </w:p>
    <w:p>
      <w:pPr>
        <w:pStyle w:val="ListNumber"/>
      </w:pPr>
      <w:r>
        <w:t>The user enlarges Ada’s monitor and takes control. Worklive acknowledges the handoff after the active action settles; queued automation is invalidated. On return, Ada inspects the changed page before continuing.</w:t>
      </w:r>
    </w:p>
    <w:p>
      <w:pPr>
        <w:pStyle w:val="ListNumber"/>
      </w:pPr>
      <w:r>
        <w:t>Ada creates the comparison and draft brief. Automated checks verify the files exist and open, required sections are present, and source references resolve to captured evidence. A review pass flags unsupported claims; it does not certify every conclusion as true.</w:t>
      </w:r>
    </w:p>
    <w:p>
      <w:pPr>
        <w:pStyle w:val="ListNumber"/>
      </w:pPr>
      <w:r>
        <w:t>The task enters Ready for review. The user sees the files, evidence, assumptions, changes and usage. “Revise the recommendation for offline exports” creates a new run against the same project and preserves the prior version.</w:t>
      </w:r>
    </w:p>
    <w:p>
      <w:pPr>
        <w:pStyle w:val="ListNumber"/>
      </w:pPr>
      <w:r>
        <w:t>The user accepts the result. The project retains the brief, task history and approved decisions. Ada becomes available, and a cosmetic coffee break may begin without another model call.</w:t>
      </w:r>
    </w:p>
    <w:p>
      <w:pPr>
        <w:pStyle w:val="Heading2"/>
      </w:pPr>
      <w:r>
        <w:t>Product promise</w:t>
      </w:r>
    </w:p>
    <w:p>
      <w:r>
        <w:t>The same task can be completed from the flat workspace view. Office movement never blocks execution, and the user never has to wait for an agent to physically reach a desk or meeting table before work can proceed.</w:t>
      </w:r>
    </w:p>
    <w:p>
      <w:pPr>
        <w:pStyle w:val="Heading1"/>
      </w:pPr>
      <w:r>
        <w:t>5 Screens and interaction design</w:t>
      </w:r>
    </w:p>
    <w:p>
      <w:r/>
      <w:r>
        <w:rPr>
          <w:b/>
        </w:rPr>
        <w:t>Office.</w:t>
      </w:r>
      <w:r>
        <w:t xml:space="preserve"> Show the agents, their actual work status and a small global strip for Needs you, Working and Ready for review. Clicking a character opens its task panel; clicking its monitor opens its current work surface. Labels, icons and text accompany color. Camera movement, sound and office life can be reduced or disabled.</w:t>
      </w:r>
    </w:p>
    <w:p>
      <w:r/>
      <w:r>
        <w:rPr>
          <w:b/>
        </w:rPr>
        <w:t>Task panel.</w:t>
      </w:r>
      <w:r>
        <w:t xml:space="preserve"> Show the goal, owner, inputs, next action, blockers, outputs, budget and controls. Offer Pause, Resume, Stop and Revise without exposing runtime terminology. A task’s evidence and past runs stay discoverable after its owner changes.</w:t>
      </w:r>
    </w:p>
    <w:p>
      <w:r/>
      <w:r>
        <w:rPr>
          <w:b/>
        </w:rPr>
        <w:t>Expanded workstation.</w:t>
      </w:r>
      <w:r>
        <w:t xml:space="preserve"> Tabs contain Browser, Conversation, Outputs and Activity. Browser work displays its real session. While an agent writes a document or uses an API, its desk can display the real artifact preview or activity summary with a clear label; no fake browser activity should be used to imply work.</w:t>
      </w:r>
    </w:p>
    <w:p>
      <w:r/>
      <w:r>
        <w:rPr>
          <w:b/>
        </w:rPr>
        <w:t>Project view.</w:t>
      </w:r>
      <w:r>
        <w:t xml:space="preserve"> Keep the brief, files, tasks, decisions and sources together. A compact task list supports keyboard access, search and sorting. Project switching updates context deliberately and does not grant cross-project access.</w:t>
      </w:r>
    </w:p>
    <w:p>
      <w:r/>
      <w:r>
        <w:rPr>
          <w:b/>
        </w:rPr>
        <w:t>Review inbox.</w:t>
      </w:r>
      <w:r>
        <w:t xml:space="preserve"> Separate decisions that are blocking execution from finished results awaiting review. Each approval explains the action, target, exact content or change, and consequence. A revision invalidates approval for the prior version.</w:t>
      </w:r>
    </w:p>
    <w:p>
      <w:r/>
      <w:r>
        <w:rPr>
          <w:b/>
        </w:rPr>
        <w:t>Add an agent.</w:t>
      </w:r>
      <w:r>
        <w:t xml:space="preserve"> The plus button creates a desk and identity with a role template, editable name and optional personality. Show capabilities and model separately. Creating a character does not silently start a paid run, add credentials or enable external actions.</w:t>
      </w:r>
    </w:p>
    <w:p>
      <w:pPr>
        <w:pStyle w:val="Heading2"/>
      </w:pPr>
      <w:r>
        <w:t>Office life and real collaboration</w:t>
      </w:r>
    </w:p>
    <w:p>
      <w:r>
        <w:t>Coffee, stretching, plant care and playful chatter remain local animation. Mark chatter as ambient and keep it out of task evidence. Personality can influence tone and cosmetic preferences; it cannot override permissions or quality requirements. Avoid simulated exhaustion, moods or friendships that change actual capability without an explicit user setting.</w:t>
      </w:r>
    </w:p>
    <w:p>
      <w:r>
        <w:t>A real handoff may briefly animate two agents meeting and show a clickable summary such as “Milo shared three export limitations with Ada.” The runtime event triggers the animation. The animation does not trigger execution or grant permission. A waiting agent keeps its blocker visible even if it takes a cosmetic break.</w:t>
      </w:r>
    </w:p>
    <w:p>
      <w:r>
        <w:t>An explicit user-requested brainstorm is real work: it has a brief, participants, a budget and a saved outcome. Casual proximity in the office must never launch a model discussion.</w:t>
      </w:r>
    </w:p>
    <w:p>
      <w:pPr>
        <w:pStyle w:val="Heading1"/>
      </w:pPr>
      <w:r>
        <w:t>6 Product objects and state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83"/>
        <w:gridCol w:w="8510"/>
      </w:tblGrid>
      <w:tr>
        <w:trPr>
          <w:cantSplit/>
          <w:tblHeader/>
        </w:trPr>
        <w:tc>
          <w:tcPr>
            <w:tcW w:type="dxa" w:w="1483"/>
            <w:vAlign w:val="center"/>
            <w:tcMar>
              <w:top w:w="90" w:type="dxa"/>
              <w:bottom w:w="90" w:type="dxa"/>
              <w:left w:w="100" w:type="dxa"/>
              <w:right w:w="100" w:type="dxa"/>
            </w:tcMar>
            <w:shd w:fill="E6EDF2"/>
          </w:tcPr>
          <w:p>
            <w:pPr>
              <w:spacing w:after="0" w:line="250" w:lineRule="auto"/>
            </w:pPr>
            <w:r>
              <w:rPr>
                <w:b/>
                <w:sz w:val="20"/>
              </w:rPr>
              <w:t>Object</w:t>
            </w:r>
          </w:p>
        </w:tc>
        <w:tc>
          <w:tcPr>
            <w:tcW w:type="dxa" w:w="8510"/>
            <w:vAlign w:val="center"/>
            <w:tcMar>
              <w:top w:w="90" w:type="dxa"/>
              <w:bottom w:w="90" w:type="dxa"/>
              <w:left w:w="100" w:type="dxa"/>
              <w:right w:w="100" w:type="dxa"/>
            </w:tcMar>
            <w:shd w:fill="E6EDF2"/>
          </w:tcPr>
          <w:p>
            <w:pPr>
              <w:spacing w:after="0" w:line="250" w:lineRule="auto"/>
            </w:pPr>
            <w:r>
              <w:rPr>
                <w:b/>
                <w:sz w:val="20"/>
              </w:rPr>
              <w:t>Essential fields and purpose</w:t>
            </w:r>
          </w:p>
        </w:tc>
      </w:tr>
      <w:tr>
        <w:trPr>
          <w:cantSplit/>
        </w:trPr>
        <w:tc>
          <w:tcPr>
            <w:tcW w:type="dxa" w:w="1483"/>
            <w:vAlign w:val="center"/>
            <w:tcMar>
              <w:top w:w="90" w:type="dxa"/>
              <w:bottom w:w="90" w:type="dxa"/>
              <w:left w:w="100" w:type="dxa"/>
              <w:right w:w="100" w:type="dxa"/>
            </w:tcMar>
            <w:shd w:fill="FFFFFF"/>
          </w:tcPr>
          <w:p>
            <w:pPr>
              <w:spacing w:after="0" w:line="250" w:lineRule="auto"/>
            </w:pPr>
            <w:r>
              <w:rPr>
                <w:sz w:val="20"/>
              </w:rPr>
              <w:t>Workspace</w:t>
            </w:r>
          </w:p>
        </w:tc>
        <w:tc>
          <w:tcPr>
            <w:tcW w:type="dxa" w:w="8510"/>
            <w:vAlign w:val="center"/>
            <w:tcMar>
              <w:top w:w="90" w:type="dxa"/>
              <w:bottom w:w="90" w:type="dxa"/>
              <w:left w:w="100" w:type="dxa"/>
              <w:right w:w="100" w:type="dxa"/>
            </w:tcMar>
            <w:shd w:fill="FFFFFF"/>
          </w:tcPr>
          <w:p>
            <w:pPr>
              <w:spacing w:after="0" w:line="250" w:lineRule="auto"/>
            </w:pPr>
            <w:r>
              <w:rPr>
                <w:sz w:val="20"/>
              </w:rPr>
              <w:t>Local root, settings and access boundaries. Contains projects and agent identities.</w:t>
            </w:r>
          </w:p>
        </w:tc>
      </w:tr>
      <w:tr>
        <w:trPr>
          <w:cantSplit/>
        </w:trPr>
        <w:tc>
          <w:tcPr>
            <w:tcW w:type="dxa" w:w="1483"/>
            <w:vAlign w:val="center"/>
            <w:tcMar>
              <w:top w:w="90" w:type="dxa"/>
              <w:bottom w:w="90" w:type="dxa"/>
              <w:left w:w="100" w:type="dxa"/>
              <w:right w:w="100" w:type="dxa"/>
            </w:tcMar>
            <w:shd w:fill="F5F7F9"/>
          </w:tcPr>
          <w:p>
            <w:pPr>
              <w:spacing w:after="0" w:line="250" w:lineRule="auto"/>
            </w:pPr>
            <w:r>
              <w:rPr>
                <w:sz w:val="20"/>
              </w:rPr>
              <w:t>Project</w:t>
            </w:r>
          </w:p>
        </w:tc>
        <w:tc>
          <w:tcPr>
            <w:tcW w:type="dxa" w:w="8510"/>
            <w:vAlign w:val="center"/>
            <w:tcMar>
              <w:top w:w="90" w:type="dxa"/>
              <w:bottom w:w="90" w:type="dxa"/>
              <w:left w:w="100" w:type="dxa"/>
              <w:right w:w="100" w:type="dxa"/>
            </w:tcMar>
            <w:shd w:fill="F5F7F9"/>
          </w:tcPr>
          <w:p>
            <w:pPr>
              <w:spacing w:after="0" w:line="250" w:lineRule="auto"/>
            </w:pPr>
            <w:r>
              <w:rPr>
                <w:sz w:val="20"/>
              </w:rPr>
              <w:t>Goal, brief, selected inputs, decisions and output collection. Persists across runs.</w:t>
            </w:r>
          </w:p>
        </w:tc>
      </w:tr>
      <w:tr>
        <w:trPr>
          <w:cantSplit/>
        </w:trPr>
        <w:tc>
          <w:tcPr>
            <w:tcW w:type="dxa" w:w="1483"/>
            <w:vAlign w:val="center"/>
            <w:tcMar>
              <w:top w:w="90" w:type="dxa"/>
              <w:bottom w:w="90" w:type="dxa"/>
              <w:left w:w="100" w:type="dxa"/>
              <w:right w:w="100" w:type="dxa"/>
            </w:tcMar>
            <w:shd w:fill="FFFFFF"/>
          </w:tcPr>
          <w:p>
            <w:pPr>
              <w:spacing w:after="0" w:line="250" w:lineRule="auto"/>
            </w:pPr>
            <w:r>
              <w:rPr>
                <w:sz w:val="20"/>
              </w:rPr>
              <w:t>Agent</w:t>
            </w:r>
          </w:p>
        </w:tc>
        <w:tc>
          <w:tcPr>
            <w:tcW w:type="dxa" w:w="8510"/>
            <w:vAlign w:val="center"/>
            <w:tcMar>
              <w:top w:w="90" w:type="dxa"/>
              <w:bottom w:w="90" w:type="dxa"/>
              <w:left w:w="100" w:type="dxa"/>
              <w:right w:w="100" w:type="dxa"/>
            </w:tcMar>
            <w:shd w:fill="FFFFFF"/>
          </w:tcPr>
          <w:p>
            <w:pPr>
              <w:spacing w:after="0" w:line="250" w:lineRule="auto"/>
            </w:pPr>
            <w:r>
              <w:rPr>
                <w:sz w:val="20"/>
              </w:rPr>
              <w:t>Stable identity, role, personality, avatar, model adapter and allowed capabilities. May own many tasks over time.</w:t>
            </w:r>
          </w:p>
        </w:tc>
      </w:tr>
      <w:tr>
        <w:trPr>
          <w:cantSplit/>
        </w:trPr>
        <w:tc>
          <w:tcPr>
            <w:tcW w:type="dxa" w:w="1483"/>
            <w:vAlign w:val="center"/>
            <w:tcMar>
              <w:top w:w="90" w:type="dxa"/>
              <w:bottom w:w="90" w:type="dxa"/>
              <w:left w:w="100" w:type="dxa"/>
              <w:right w:w="100" w:type="dxa"/>
            </w:tcMar>
            <w:shd w:fill="F5F7F9"/>
          </w:tcPr>
          <w:p>
            <w:pPr>
              <w:spacing w:after="0" w:line="250" w:lineRule="auto"/>
            </w:pPr>
            <w:r>
              <w:rPr>
                <w:sz w:val="20"/>
              </w:rPr>
              <w:t>Task</w:t>
            </w:r>
          </w:p>
        </w:tc>
        <w:tc>
          <w:tcPr>
            <w:tcW w:type="dxa" w:w="8510"/>
            <w:vAlign w:val="center"/>
            <w:tcMar>
              <w:top w:w="90" w:type="dxa"/>
              <w:bottom w:w="90" w:type="dxa"/>
              <w:left w:w="100" w:type="dxa"/>
              <w:right w:w="100" w:type="dxa"/>
            </w:tcMar>
            <w:shd w:fill="F5F7F9"/>
          </w:tcPr>
          <w:p>
            <w:pPr>
              <w:spacing w:after="0" w:line="250" w:lineRule="auto"/>
            </w:pPr>
            <w:r>
              <w:rPr>
                <w:sz w:val="20"/>
              </w:rPr>
              <w:t>Project, accountable owner, objective, acceptance criteria, inputs, dependencies, priority, limits and status.</w:t>
            </w:r>
          </w:p>
        </w:tc>
      </w:tr>
      <w:tr>
        <w:trPr>
          <w:cantSplit/>
        </w:trPr>
        <w:tc>
          <w:tcPr>
            <w:tcW w:type="dxa" w:w="1483"/>
            <w:vAlign w:val="center"/>
            <w:tcMar>
              <w:top w:w="90" w:type="dxa"/>
              <w:bottom w:w="90" w:type="dxa"/>
              <w:left w:w="100" w:type="dxa"/>
              <w:right w:w="100" w:type="dxa"/>
            </w:tcMar>
            <w:shd w:fill="FFFFFF"/>
          </w:tcPr>
          <w:p>
            <w:pPr>
              <w:spacing w:after="0" w:line="250" w:lineRule="auto"/>
            </w:pPr>
            <w:r>
              <w:rPr>
                <w:sz w:val="20"/>
              </w:rPr>
              <w:t>Run</w:t>
            </w:r>
          </w:p>
        </w:tc>
        <w:tc>
          <w:tcPr>
            <w:tcW w:type="dxa" w:w="8510"/>
            <w:vAlign w:val="center"/>
            <w:tcMar>
              <w:top w:w="90" w:type="dxa"/>
              <w:bottom w:w="90" w:type="dxa"/>
              <w:left w:w="100" w:type="dxa"/>
              <w:right w:w="100" w:type="dxa"/>
            </w:tcMar>
            <w:shd w:fill="FFFFFF"/>
          </w:tcPr>
          <w:p>
            <w:pPr>
              <w:spacing w:after="0" w:line="250" w:lineRule="auto"/>
            </w:pPr>
            <w:r>
              <w:rPr>
                <w:sz w:val="20"/>
              </w:rPr>
              <w:t>One attempt to execute a task with frozen configuration, checkpoints, tool events, usage and result.</w:t>
            </w:r>
          </w:p>
        </w:tc>
      </w:tr>
      <w:tr>
        <w:trPr>
          <w:cantSplit/>
        </w:trPr>
        <w:tc>
          <w:tcPr>
            <w:tcW w:type="dxa" w:w="1483"/>
            <w:vAlign w:val="center"/>
            <w:tcMar>
              <w:top w:w="90" w:type="dxa"/>
              <w:bottom w:w="90" w:type="dxa"/>
              <w:left w:w="100" w:type="dxa"/>
              <w:right w:w="100" w:type="dxa"/>
            </w:tcMar>
            <w:shd w:fill="F5F7F9"/>
          </w:tcPr>
          <w:p>
            <w:pPr>
              <w:spacing w:after="0" w:line="250" w:lineRule="auto"/>
            </w:pPr>
            <w:r>
              <w:rPr>
                <w:sz w:val="20"/>
              </w:rPr>
              <w:t>Artifact</w:t>
            </w:r>
          </w:p>
        </w:tc>
        <w:tc>
          <w:tcPr>
            <w:tcW w:type="dxa" w:w="8510"/>
            <w:vAlign w:val="center"/>
            <w:tcMar>
              <w:top w:w="90" w:type="dxa"/>
              <w:bottom w:w="90" w:type="dxa"/>
              <w:left w:w="100" w:type="dxa"/>
              <w:right w:w="100" w:type="dxa"/>
            </w:tcMar>
            <w:shd w:fill="F5F7F9"/>
          </w:tcPr>
          <w:p>
            <w:pPr>
              <w:spacing w:after="0" w:line="250" w:lineRule="auto"/>
            </w:pPr>
            <w:r>
              <w:rPr>
                <w:sz w:val="20"/>
              </w:rPr>
              <w:t>Versioned file or structured result with a content hash, producing run, sources and review status.</w:t>
            </w:r>
          </w:p>
        </w:tc>
      </w:tr>
      <w:tr>
        <w:trPr>
          <w:cantSplit/>
        </w:trPr>
        <w:tc>
          <w:tcPr>
            <w:tcW w:type="dxa" w:w="1483"/>
            <w:vAlign w:val="center"/>
            <w:tcMar>
              <w:top w:w="90" w:type="dxa"/>
              <w:bottom w:w="90" w:type="dxa"/>
              <w:left w:w="100" w:type="dxa"/>
              <w:right w:w="100" w:type="dxa"/>
            </w:tcMar>
            <w:shd w:fill="FFFFFF"/>
          </w:tcPr>
          <w:p>
            <w:pPr>
              <w:spacing w:after="0" w:line="250" w:lineRule="auto"/>
            </w:pPr>
            <w:r>
              <w:rPr>
                <w:sz w:val="20"/>
              </w:rPr>
              <w:t>Source</w:t>
            </w:r>
          </w:p>
        </w:tc>
        <w:tc>
          <w:tcPr>
            <w:tcW w:type="dxa" w:w="8510"/>
            <w:vAlign w:val="center"/>
            <w:tcMar>
              <w:top w:w="90" w:type="dxa"/>
              <w:bottom w:w="90" w:type="dxa"/>
              <w:left w:w="100" w:type="dxa"/>
              <w:right w:w="100" w:type="dxa"/>
            </w:tcMar>
            <w:shd w:fill="FFFFFF"/>
          </w:tcPr>
          <w:p>
            <w:pPr>
              <w:spacing w:after="0" w:line="250" w:lineRule="auto"/>
            </w:pPr>
            <w:r>
              <w:rPr>
                <w:sz w:val="20"/>
              </w:rPr>
              <w:t>URL or file reference, retrieval time, captured excerpt or selected text, hash and access scope.</w:t>
            </w:r>
          </w:p>
        </w:tc>
      </w:tr>
      <w:tr>
        <w:trPr>
          <w:cantSplit/>
        </w:trPr>
        <w:tc>
          <w:tcPr>
            <w:tcW w:type="dxa" w:w="1483"/>
            <w:vAlign w:val="center"/>
            <w:tcMar>
              <w:top w:w="90" w:type="dxa"/>
              <w:bottom w:w="90" w:type="dxa"/>
              <w:left w:w="100" w:type="dxa"/>
              <w:right w:w="100" w:type="dxa"/>
            </w:tcMar>
            <w:shd w:fill="F5F7F9"/>
          </w:tcPr>
          <w:p>
            <w:pPr>
              <w:spacing w:after="0" w:line="250" w:lineRule="auto"/>
            </w:pPr>
            <w:r>
              <w:rPr>
                <w:sz w:val="20"/>
              </w:rPr>
              <w:t>Approval</w:t>
            </w:r>
          </w:p>
        </w:tc>
        <w:tc>
          <w:tcPr>
            <w:tcW w:type="dxa" w:w="8510"/>
            <w:vAlign w:val="center"/>
            <w:tcMar>
              <w:top w:w="90" w:type="dxa"/>
              <w:bottom w:w="90" w:type="dxa"/>
              <w:left w:w="100" w:type="dxa"/>
              <w:right w:w="100" w:type="dxa"/>
            </w:tcMar>
            <w:shd w:fill="F5F7F9"/>
          </w:tcPr>
          <w:p>
            <w:pPr>
              <w:spacing w:after="0" w:line="250" w:lineRule="auto"/>
            </w:pPr>
            <w:r>
              <w:rPr>
                <w:sz w:val="20"/>
              </w:rPr>
              <w:t>Exact proposed action, parameters, resource version, requester, expiry or invalidation conditions and decision.</w:t>
            </w:r>
          </w:p>
        </w:tc>
      </w:tr>
      <w:tr>
        <w:trPr>
          <w:cantSplit/>
        </w:trPr>
        <w:tc>
          <w:tcPr>
            <w:tcW w:type="dxa" w:w="1483"/>
            <w:vAlign w:val="center"/>
            <w:tcMar>
              <w:top w:w="90" w:type="dxa"/>
              <w:bottom w:w="90" w:type="dxa"/>
              <w:left w:w="100" w:type="dxa"/>
              <w:right w:w="100" w:type="dxa"/>
            </w:tcMar>
            <w:shd w:fill="FFFFFF"/>
          </w:tcPr>
          <w:p>
            <w:pPr>
              <w:spacing w:after="0" w:line="250" w:lineRule="auto"/>
            </w:pPr>
            <w:r>
              <w:rPr>
                <w:sz w:val="20"/>
              </w:rPr>
              <w:t>Handoff</w:t>
            </w:r>
          </w:p>
        </w:tc>
        <w:tc>
          <w:tcPr>
            <w:tcW w:type="dxa" w:w="8510"/>
            <w:vAlign w:val="center"/>
            <w:tcMar>
              <w:top w:w="90" w:type="dxa"/>
              <w:bottom w:w="90" w:type="dxa"/>
              <w:left w:w="100" w:type="dxa"/>
              <w:right w:w="100" w:type="dxa"/>
            </w:tcMar>
            <w:shd w:fill="FFFFFF"/>
          </w:tcPr>
          <w:p>
            <w:pPr>
              <w:spacing w:after="0" w:line="250" w:lineRule="auto"/>
            </w:pPr>
            <w:r>
              <w:rPr>
                <w:sz w:val="20"/>
              </w:rPr>
              <w:t>Sender, recipient, parent task, bounded assignment, input versions, evidence and expected result.</w:t>
            </w:r>
          </w:p>
        </w:tc>
      </w:tr>
      <w:tr>
        <w:trPr>
          <w:cantSplit/>
        </w:trPr>
        <w:tc>
          <w:tcPr>
            <w:tcW w:type="dxa" w:w="1483"/>
            <w:vAlign w:val="center"/>
            <w:tcMar>
              <w:top w:w="90" w:type="dxa"/>
              <w:bottom w:w="90" w:type="dxa"/>
              <w:left w:w="100" w:type="dxa"/>
              <w:right w:w="100" w:type="dxa"/>
            </w:tcMar>
            <w:shd w:fill="F5F7F9"/>
          </w:tcPr>
          <w:p>
            <w:pPr>
              <w:spacing w:after="0" w:line="250" w:lineRule="auto"/>
            </w:pPr>
            <w:r>
              <w:rPr>
                <w:sz w:val="20"/>
              </w:rPr>
              <w:t>Routine</w:t>
            </w:r>
          </w:p>
        </w:tc>
        <w:tc>
          <w:tcPr>
            <w:tcW w:type="dxa" w:w="8510"/>
            <w:vAlign w:val="center"/>
            <w:tcMar>
              <w:top w:w="90" w:type="dxa"/>
              <w:bottom w:w="90" w:type="dxa"/>
              <w:left w:w="100" w:type="dxa"/>
              <w:right w:w="100" w:type="dxa"/>
            </w:tcMar>
            <w:shd w:fill="F5F7F9"/>
          </w:tcPr>
          <w:p>
            <w:pPr>
              <w:spacing w:after="0" w:line="250" w:lineRule="auto"/>
            </w:pPr>
            <w:r>
              <w:rPr>
                <w:sz w:val="20"/>
              </w:rPr>
              <w:t>Explicit schedule, timezone, project, task template, limits and missed-run policy. Next stage.</w:t>
            </w:r>
          </w:p>
        </w:tc>
      </w:tr>
    </w:tbl>
    <w:p>
      <w:pPr>
        <w:spacing w:after="40"/>
      </w:pPr>
      <w:r/>
    </w:p>
    <w:p>
      <w:pPr>
        <w:pStyle w:val="Heading2"/>
      </w:pPr>
      <w:r>
        <w:t>Task lifecycle</w:t>
      </w:r>
    </w:p>
    <w:p>
      <w:r>
        <w:t>The normal path is Draft → Queued → Running → Ready for review → Completed. Running may move to Waiting for user, Waiting for dependency, Paused or Failed. The user can cancel unfinished work. A run that produces a partial result reports the missing work and cannot claim completion. “Accepted” is an artifact review decision; it does not erase run history.</w:t>
      </w:r>
    </w:p>
    <w:p>
      <w:r>
        <w:t>Waiting for user includes a structured reason: missing input, approval, browser takeover or login. After the reason is resolved, Worklive rechecks the task’s inputs and authority before resuming. A failed dependency blocks dependent work and leaves unrelated tasks runnable. Cyclic task dependencies are rejected.</w:t>
      </w:r>
    </w:p>
    <w:p>
      <w:r>
        <w:t>Pause requests stop new model and tool dispatch. A non-cancellable action may finish before the pause is acknowledged. Stop cancels queued work and prevents new dispatch; it cannot undo an already completed external action. The UI must distinguish Requested, Acknowledged and Outcome unknown.</w:t>
      </w:r>
    </w:p>
    <w:p>
      <w:pPr>
        <w:pStyle w:val="Heading2"/>
      </w:pPr>
      <w:r>
        <w:t>Independent kinds of state</w:t>
      </w:r>
    </w:p>
    <w:p>
      <w:r>
        <w:t>Task state, agent availability, browser control ownership and avatar pose are separate. A desk can show “Needs your input” while the avatar stands nearby. An agent can own queued tasks while no model is running. Every status change must be traceable to a runtime or user event.</w:t>
      </w:r>
    </w:p>
    <w:p>
      <w:r>
        <w:t>One agent runs one task at a time in the MVP. Several identities may use the same model; several runs may reuse one identity. The avatar is not the process, and deleting or archiving an identity must not destroy completed project evidence.</w:t>
      </w:r>
    </w:p>
    <w:p>
      <w:pPr>
        <w:pStyle w:val="Heading1"/>
      </w:pPr>
      <w:r>
        <w:t>7 Execution and collaboration logic</w:t>
      </w:r>
    </w:p>
    <w:p>
      <w:pPr>
        <w:pStyle w:val="Heading2"/>
      </w:pPr>
      <w:r>
        <w:t>The execution loop</w:t>
      </w:r>
    </w:p>
    <w:p>
      <w:r>
        <w:t>Worklive validates a task, builds scoped context, reserves a run slot and persists the run before contacting the model. The model proposes a next step. A tool broker validates its arguments, permissions, ownership and remaining limits, then executes the tool and records the observed result. The next model step receives that result. The loop stops on completion criteria, a blocker, cancellation, a repeated failure or a budget limit.</w:t>
      </w:r>
    </w:p>
    <w:p>
      <w:r>
        <w:t>Progress text must come from actual actions and explicit plan updates. Show concise explanations of decisions and evidence, not private model reasoning. Tool attempts, successful actions and verified outcomes are different event types.</w:t>
      </w:r>
    </w:p>
    <w:p>
      <w:pPr>
        <w:pStyle w:val="Heading2"/>
      </w:pPr>
      <w:r>
        <w:t>Delegation contract</w:t>
      </w:r>
    </w:p>
    <w:p>
      <w:r>
        <w:t xml:space="preserve">The owner can assign an existing available agent a bounded subtask. The contract includes the question, non-overlapping scope, input versions, allowed tools, output format, acceptance criteria, remaining budget and parent task. Delegation cannot increase permissions or spend limits. The owner synthesizes the final result and stays visible as the responsible agent. </w:t>
      </w:r>
      <w:hyperlink r:id="rId21">
        <w:r>
          <w:rPr>
            <w:color w:val="235A80"/>
          </w:rPr>
          <w:t>[S12]</w:t>
        </w:r>
      </w:hyperlink>
      <w:r/>
    </w:p>
    <w:p>
      <w:r>
        <w:t>For the MVP, allow at most one helper and one delegation level. No autonomous creation of permanent agents. A helper returns an artifact reference, findings, evidence, uncertainties and a completion state. The owner may ask for one focused revision; repeated unproductive exchanges return a blocker to the user.</w:t>
      </w:r>
    </w:p>
    <w:p>
      <w:r>
        <w:t>Agents communicate through task-linked messages such as assignment, clarification, evidence shared, review requested and result delivered. Messages are stored once with unique IDs. Acknowledgments do not trigger reciprocal conversations. There is no automatic all-agent broadcast or endless group chat.</w:t>
      </w:r>
    </w:p>
    <w:p>
      <w:pPr>
        <w:pStyle w:val="Heading2"/>
      </w:pPr>
      <w:r>
        <w:t>Shared work without collisions</w:t>
      </w:r>
    </w:p>
    <w:p>
      <w:r>
        <w:t>Parallel agents write to separate draft areas. One writer owns a target artifact version at a time. Promotion into the project checks the base version; a user edit or another accepted result creates a conflict to resolve. Browser control likewise belongs to one actor at a time. For future coding work, isolated worktrees solve source collisions but do not provide an operating-system security sandbox.</w:t>
      </w:r>
    </w:p>
    <w:p>
      <w:pPr>
        <w:pStyle w:val="Heading2"/>
      </w:pPr>
      <w:r>
        <w:t>Scheduling and limits</w:t>
      </w:r>
    </w:p>
    <w:p>
      <w:r>
        <w:t>The proposed default is two model runs across the workspace and six visible identities. More agents queue fairly, with explicit user priority. Enforce a configurable step limit, elapsed execution limit and token or spend allowance per task. Waiting for user input suspends active execution time while retaining the task’s history.</w:t>
      </w:r>
    </w:p>
    <w:p>
      <w:r>
        <w:t>Warn before exhaustion and reserve enough allowance to summarize partial results. Reserve estimated cost before dispatch when provider pricing and limits support it, then reconcile actual usage. When a CLI or provider does not expose cost, display “Cost unavailable” and enforce observable turn, time and concurrency limits. Do not promise an exact currency cap that the adapter cannot enforce.</w:t>
      </w:r>
    </w:p>
    <w:p>
      <w:pPr>
        <w:pStyle w:val="Heading1"/>
      </w:pPr>
      <w:r>
        <w:t>8 Browser requirements</w:t>
      </w:r>
    </w:p>
    <w:p>
      <w:pPr>
        <w:pStyle w:val="Heading2"/>
      </w:pPr>
      <w:r>
        <w:t>One session that the user can inspect</w:t>
      </w:r>
    </w:p>
    <w:p>
      <w:r>
        <w:t>The desk preview and enlarged browser must represent the same agent, run, browser session and tab. Frames carry a timestamp and navigation identity. A stale, disconnected or hidden frame is labeled accordingly. Changing agents cannot show a previous agent’s frame as current.</w:t>
      </w:r>
    </w:p>
    <w:p>
      <w:r>
        <w:t>Use structured browser actions for navigation, observation, links, forms, scrolling, text extraction and screenshots. Prefer stable element references from the current page observation; use coordinate interaction when necessary. Bind actions to the observed navigation version so stale actions are rejected. Verify the postcondition of meaningful actions instead of equating a successful click with task success.</w:t>
      </w:r>
    </w:p>
    <w:p>
      <w:r>
        <w:t xml:space="preserve">The MVP begins with public information and one tab per running agent. A transient browser context is distinct from an agent identity. Login persistence, popup-dependent authentication, multiple tabs and downloads need explicit subsequent support and tests. OpenClaw and Manus illustrate the product distinction between isolated contexts and existing authenticated sessions. </w:t>
      </w:r>
      <w:hyperlink r:id="rId17">
        <w:r>
          <w:rPr>
            <w:color w:val="235A80"/>
          </w:rPr>
          <w:t>[S7]</w:t>
        </w:r>
      </w:hyperlink>
      <w:r>
        <w:t xml:space="preserve"> </w:t>
      </w:r>
      <w:hyperlink r:id="rId18">
        <w:r>
          <w:rPr>
            <w:color w:val="235A80"/>
          </w:rPr>
          <w:t>[S8]</w:t>
        </w:r>
      </w:hyperlink>
      <w:r/>
    </w:p>
    <w:p>
      <w:pPr>
        <w:pStyle w:val="Heading2"/>
      </w:pPr>
      <w:r>
        <w:t>Take control and return control</w:t>
      </w:r>
    </w:p>
    <w:p>
      <w:r>
        <w:t>Take control immediately prevents new automation from entering the queue. Acknowledge user control only after the current action settles or is confirmed stopped. A timeout alone is insufficient; show uncertainty and offer session recovery if automation may still act. The user then interacts with the same session. Earlier model observations become stale.</w:t>
      </w:r>
    </w:p>
    <w:p>
      <w:r>
        <w:t>Return control gives the agent a fresh observation and a short record that the user changed the browser. The agent revalidates its plan and any pending approval. Stop remains available in both modes. Neither takeover nor stop claims to reverse a submitted form.</w:t>
      </w:r>
    </w:p>
    <w:p>
      <w:pPr>
        <w:pStyle w:val="Heading2"/>
      </w:pPr>
      <w:r>
        <w:t>Authority and exposure</w:t>
      </w:r>
    </w:p>
    <w:p>
      <w:r>
        <w:t>Remote pages cannot invoke Tauri commands, read project files or access credentials through the renderer. Browser capabilities are routed through the broker, with run-scoped ownership and project policy. Block unsafe schemes, unauthorized local-network destinations and attempts to bypass scope through redirects. An explicit local development mode is separate from normal public browsing.</w:t>
      </w:r>
    </w:p>
    <w:p>
      <w:r>
        <w:t>“Research only” is a permitted workflow scope, not a guarantee that arbitrary web clicks have no side effects. Browser actions can mutate server state even without a familiar submit button. Avoid authenticated transaction workflows in the MVP, use constrained navigation and extraction where possible, and require a specific reviewed action before supported consequential mutations in later releases.</w:t>
      </w:r>
    </w:p>
    <w:p>
      <w:r>
        <w:t>In a later login mode, the user chooses a dedicated account profile and signs in directly. Profile reuse requires explicit project or workspace sharing rules. No silent personal-cookie import. Credential entry pauses screenshots and model observation; passwords and session tokens are excluded from model context, activity text and stored evidence. Isolation still requires browser and worker security maintenance.</w:t>
      </w:r>
    </w:p>
    <w:p>
      <w:pPr>
        <w:pStyle w:val="Heading1"/>
      </w:pPr>
      <w:r>
        <w:t>9 Artifacts memory and review</w:t>
      </w:r>
    </w:p>
    <w:p>
      <w:pPr>
        <w:pStyle w:val="Heading2"/>
      </w:pPr>
      <w:r>
        <w:t>Results that survive the conversation</w:t>
      </w:r>
    </w:p>
    <w:p>
      <w:r>
        <w:t>A task that promises a file must produce a real, readable file. Save drafts atomically in a run-owned area, validate the format, then register the artifact with its hash and source references. The output view offers Open, Reveal in folder, Revise and Accept. A task must not claim that it saved a file based only on model text.</w:t>
      </w:r>
    </w:p>
    <w:p>
      <w:r>
        <w:t>For a research brief, retain a source list with titles, URLs, retrieval dates and the evidence used. Each material factual claim should have supporting evidence or be marked as an inference or unknown. Capture failures and source disagreements remain visible. Citations prove where a claim came from, not that the claim is necessarily correct.</w:t>
      </w:r>
    </w:p>
    <w:p>
      <w:r>
        <w:t>DOCX export should use a constrained document schema and a maintained renderer. Validation covers both the saved file and a rendered preview. CSV output checks headers, rows and encoding. Preserve prior accepted versions. Worklive needs basic readable output before it needs the full Workspace OS editing suite.</w:t>
      </w:r>
    </w:p>
    <w:p>
      <w:pPr>
        <w:pStyle w:val="Heading2"/>
      </w:pPr>
      <w:r>
        <w:t>Review and reversible changes</w:t>
      </w:r>
    </w:p>
    <w:p>
      <w:r>
        <w:t>Results arrive with a short statement of what was done, what changed, checks performed and remaining limitations. Review can accept the result, request a focused revision or discard the new draft. Applying an edit to an existing file checks its current hash and preserves a recoverable prior version. A conflict must not silently overwrite the user’s work.</w:t>
      </w:r>
    </w:p>
    <w:p>
      <w:r>
        <w:t>Workspace OS provides useful checkpoint and diff concepts, but its whole-workspace rollback should not be copied directly into concurrent Worklive runs. Reverting one agent’s output must not roll back another agent’s accepted result or a user’s unrelated changes. Reversal also cannot undo email, purchases or other external side effects. [L2]</w:t>
      </w:r>
    </w:p>
    <w:p>
      <w:pPr>
        <w:pStyle w:val="Heading2"/>
      </w:pPr>
      <w:r>
        <w:t>Three scopes of memory</w:t>
      </w:r>
    </w:p>
    <w:p>
      <w:r>
        <w:t>Run memory holds the working conversation and intermediate observations. Project memory holds briefs, verified findings and accepted decisions. Agent preferences hold user-approved instructions such as tone or preferred format. Share information only through explicit project access and handoffs.</w:t>
      </w:r>
    </w:p>
    <w:p>
      <w:r>
        <w:t xml:space="preserve">Store a source, scope, author, revision and timestamp with durable facts. Let the user inspect, correct, delete and exclude them. Contradictory new evidence creates a proposed update rather than silently rewriting an accepted decision. Summaries are derived material and must preserve links to the underlying sources. LangGraph’s separation of checkpoints and long-term stores is a useful implementation reference. </w:t>
      </w:r>
      <w:hyperlink r:id="rId23">
        <w:r>
          <w:rPr>
            <w:color w:val="235A80"/>
          </w:rPr>
          <w:t>[S15]</w:t>
        </w:r>
      </w:hyperlink>
      <w:r/>
    </w:p>
    <w:p>
      <w:r>
        <w:t>Start with explicit project notes and local full-text retrieval. Defer a vector database until retrieval evaluation demonstrates a need. Do not turn casual office chatter into durable factual memory.</w:t>
      </w:r>
    </w:p>
    <w:p>
      <w:pPr>
        <w:pStyle w:val="Heading1"/>
      </w:pPr>
      <w:r>
        <w:t>10 Permissions privacy and failure recovery</w:t>
      </w:r>
    </w:p>
    <w:p>
      <w:pPr>
        <w:pStyle w:val="Heading2"/>
      </w:pPr>
      <w:r>
        <w:t>Enforced capabilities</w:t>
      </w:r>
    </w:p>
    <w:p>
      <w:r>
        <w:t>Role and personality describe behavior; capabilities grant authority. Enforce permissions in the tool broker outside the prompt. Grant selected input files, run output directories, browser scope and approved connectors independently. No arbitrary shell is exposed in the initial release. Deny-by-prefix shell rules are not an adequate sandbox for a later coding edition.</w:t>
      </w:r>
    </w:p>
    <w:p>
      <w:r>
        <w:t xml:space="preserve">Automatic validation and human approval solve different problems. Worklive should validate every supported action and request approval when its consequence requires a decision. Reading permitted sources and creating drafts within the assigned output area should not prompt repeatedly. External sending, publishing, destructive changes and expanded access require an explicit supported approval flow. </w:t>
      </w:r>
      <w:hyperlink r:id="rId24">
        <w:r>
          <w:rPr>
            <w:color w:val="235A80"/>
          </w:rPr>
          <w:t>[S14]</w:t>
        </w:r>
      </w:hyperlink>
      <w:r/>
    </w:p>
    <w:p>
      <w:r>
        <w:t xml:space="preserve">Approval is bound to exact parameters and resource versions. Changed recipients, content, target state or scope invalidate it. Denial is recorded and cannot be bypassed through delegation or another tool. The request remains understandable after a restart. n8n’s tool review model is a useful reference for presenting the concrete action. </w:t>
      </w:r>
      <w:hyperlink r:id="rId19">
        <w:r>
          <w:rPr>
            <w:color w:val="235A80"/>
          </w:rPr>
          <w:t>[S10]</w:t>
        </w:r>
      </w:hyperlink>
      <w:r/>
    </w:p>
    <w:p>
      <w:pPr>
        <w:pStyle w:val="Heading2"/>
      </w:pPr>
      <w:r>
        <w:t>Untrusted material and secrets</w:t>
      </w:r>
    </w:p>
    <w:p>
      <w:r>
        <w:t>Pages, files, connector results and agent messages are untrusted inputs. They cannot change system policy, grant themselves access, request secret export or install tools. Preserve their provenance and avoid converting embedded instructions into authority. Use scoped tools, explicit data boundaries and adversarial tests; no prompt alone makes browsing immune to manipulation.</w:t>
      </w:r>
    </w:p>
    <w:p>
      <w:r>
        <w:t>Store provider credentials in the operating-system keychain and pass them only to the authorized adapter. Local storage does not mean local inference: show which selected content is sent to a model provider. Allow project deletion and evidence retention settings. Default to no full browser recording, no background transcript collection from unrelated apps, and no task content in telemetry. Diagnostic sharing must be explicit and redact secrets.</w:t>
      </w:r>
    </w:p>
    <w:p>
      <w:pPr>
        <w:pStyle w:val="Heading2"/>
      </w:pPr>
      <w:r>
        <w:t>Recovery behavior</w:t>
      </w:r>
    </w:p>
    <w:p>
      <w:r>
        <w:t>Persist action intent before execution and record the result afterward. A crash between those steps can leave the outcome unknown. On restart, reconcile observable state; retry safe reads, but do not blindly repeat an external mutation. Idempotency keys help only when the receiving service supports them. Never promise universal exactly-once external execution.</w:t>
      </w:r>
    </w:p>
    <w:p>
      <w:r>
        <w:t xml:space="preserve">Checkpoint boundaries must avoid replaying side effects. LangGraph documents that interrupted nodes restart from their beginning when resumed, which makes replay-aware tool design necessary even when a framework persists state. </w:t>
      </w:r>
      <w:hyperlink r:id="rId25">
        <w:r>
          <w:rPr>
            <w:color w:val="235A80"/>
          </w:rPr>
          <w:t>[S16]</w:t>
        </w:r>
      </w:hyperlink>
      <w:r/>
    </w:p>
    <w:p>
      <w:r>
        <w:t>Worker crashes fail the affected session visibly, preserve accepted artifacts and release control only after reconciliation. Provider failures use bounded retries with backoff. Repeated failures become a blocker. Sleep or network loss suspends useful work; the UI explains what will resume. Closing or quitting behavior must be explicit, and a local-only release cannot promise work while the machine is off.</w:t>
      </w:r>
    </w:p>
    <w:p>
      <w:pPr>
        <w:pStyle w:val="Heading1"/>
      </w:pPr>
      <w:r>
        <w:t>11 Recommended architecture</w:t>
      </w:r>
    </w:p>
    <w:p>
      <w:pPr>
        <w:pStyle w:val="Heading2"/>
      </w:pPr>
      <w:r>
        <w:t>Keep the current foundation</w:t>
      </w:r>
    </w:p>
    <w:p>
      <w:r>
        <w:t>Continue with Tauri for the native application and Rust for durable state, scheduling, process supervision and permission enforcement. Keep Three.js for the office and TypeScript for the interface. Use a separately supervised browser and model worker where the browser automation and model libraries are mature. A Rust-based desktop application can legitimately include those workers.</w:t>
      </w:r>
    </w:p>
    <w:p>
      <w:r>
        <w:t>The browser service already separates remote pages from the Tauri UI. Extend that seam rather than embedding agent authority into scene objects. Persist state in SQLite with migrations and transactional task claims; keep artifacts as ordinary versioned files. The office subscribes to a projection of events and can be replaced by a flat interface without changing execution.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58"/>
        <w:gridCol w:w="4018"/>
        <w:gridCol w:w="4018"/>
      </w:tblGrid>
      <w:tr>
        <w:trPr>
          <w:cantSplit/>
          <w:tblHeader/>
        </w:trPr>
        <w:tc>
          <w:tcPr>
            <w:tcW w:type="dxa" w:w="1958"/>
            <w:vAlign w:val="center"/>
            <w:tcMar>
              <w:top w:w="90" w:type="dxa"/>
              <w:bottom w:w="90" w:type="dxa"/>
              <w:left w:w="100" w:type="dxa"/>
              <w:right w:w="100" w:type="dxa"/>
            </w:tcMar>
            <w:shd w:fill="E6EDF2"/>
          </w:tcPr>
          <w:p>
            <w:pPr>
              <w:spacing w:after="0" w:line="250" w:lineRule="auto"/>
            </w:pPr>
            <w:r>
              <w:rPr>
                <w:b/>
                <w:sz w:val="20"/>
              </w:rPr>
              <w:t>Layer</w:t>
            </w:r>
          </w:p>
        </w:tc>
        <w:tc>
          <w:tcPr>
            <w:tcW w:type="dxa" w:w="4018"/>
            <w:vAlign w:val="center"/>
            <w:tcMar>
              <w:top w:w="90" w:type="dxa"/>
              <w:bottom w:w="90" w:type="dxa"/>
              <w:left w:w="100" w:type="dxa"/>
              <w:right w:w="100" w:type="dxa"/>
            </w:tcMar>
            <w:shd w:fill="E6EDF2"/>
          </w:tcPr>
          <w:p>
            <w:pPr>
              <w:spacing w:after="0" w:line="250" w:lineRule="auto"/>
            </w:pPr>
            <w:r>
              <w:rPr>
                <w:b/>
                <w:sz w:val="20"/>
              </w:rPr>
              <w:t>Owns</w:t>
            </w:r>
          </w:p>
        </w:tc>
        <w:tc>
          <w:tcPr>
            <w:tcW w:type="dxa" w:w="4018"/>
            <w:vAlign w:val="center"/>
            <w:tcMar>
              <w:top w:w="90" w:type="dxa"/>
              <w:bottom w:w="90" w:type="dxa"/>
              <w:left w:w="100" w:type="dxa"/>
              <w:right w:w="100" w:type="dxa"/>
            </w:tcMar>
            <w:shd w:fill="E6EDF2"/>
          </w:tcPr>
          <w:p>
            <w:pPr>
              <w:spacing w:after="0" w:line="250" w:lineRule="auto"/>
            </w:pPr>
            <w:r>
              <w:rPr>
                <w:b/>
                <w:sz w:val="20"/>
              </w:rPr>
              <w:t>Must not own</w:t>
            </w:r>
          </w:p>
        </w:tc>
      </w:tr>
      <w:tr>
        <w:trPr>
          <w:cantSplit/>
        </w:trPr>
        <w:tc>
          <w:tcPr>
            <w:tcW w:type="dxa" w:w="1958"/>
            <w:vAlign w:val="center"/>
            <w:tcMar>
              <w:top w:w="90" w:type="dxa"/>
              <w:bottom w:w="90" w:type="dxa"/>
              <w:left w:w="100" w:type="dxa"/>
              <w:right w:w="100" w:type="dxa"/>
            </w:tcMar>
            <w:shd w:fill="FFFFFF"/>
          </w:tcPr>
          <w:p>
            <w:pPr>
              <w:spacing w:after="0" w:line="250" w:lineRule="auto"/>
            </w:pPr>
            <w:r>
              <w:rPr>
                <w:sz w:val="20"/>
              </w:rPr>
              <w:t>Office and workspace UI</w:t>
            </w:r>
          </w:p>
        </w:tc>
        <w:tc>
          <w:tcPr>
            <w:tcW w:type="dxa" w:w="4018"/>
            <w:vAlign w:val="center"/>
            <w:tcMar>
              <w:top w:w="90" w:type="dxa"/>
              <w:bottom w:w="90" w:type="dxa"/>
              <w:left w:w="100" w:type="dxa"/>
              <w:right w:w="100" w:type="dxa"/>
            </w:tcMar>
            <w:shd w:fill="FFFFFF"/>
          </w:tcPr>
          <w:p>
            <w:pPr>
              <w:spacing w:after="0" w:line="250" w:lineRule="auto"/>
            </w:pPr>
            <w:r>
              <w:rPr>
                <w:sz w:val="20"/>
              </w:rPr>
              <w:t>Character poses, desk previews, task views, review controls.</w:t>
            </w:r>
          </w:p>
        </w:tc>
        <w:tc>
          <w:tcPr>
            <w:tcW w:type="dxa" w:w="4018"/>
            <w:vAlign w:val="center"/>
            <w:tcMar>
              <w:top w:w="90" w:type="dxa"/>
              <w:bottom w:w="90" w:type="dxa"/>
              <w:left w:w="100" w:type="dxa"/>
              <w:right w:w="100" w:type="dxa"/>
            </w:tcMar>
            <w:shd w:fill="FFFFFF"/>
          </w:tcPr>
          <w:p>
            <w:pPr>
              <w:spacing w:after="0" w:line="250" w:lineRule="auto"/>
            </w:pPr>
            <w:r>
              <w:rPr>
                <w:sz w:val="20"/>
              </w:rPr>
              <w:t>Independent task truth or direct tool authority.</w:t>
            </w:r>
          </w:p>
        </w:tc>
      </w:tr>
      <w:tr>
        <w:trPr>
          <w:cantSplit/>
        </w:trPr>
        <w:tc>
          <w:tcPr>
            <w:tcW w:type="dxa" w:w="1958"/>
            <w:vAlign w:val="center"/>
            <w:tcMar>
              <w:top w:w="90" w:type="dxa"/>
              <w:bottom w:w="90" w:type="dxa"/>
              <w:left w:w="100" w:type="dxa"/>
              <w:right w:w="100" w:type="dxa"/>
            </w:tcMar>
            <w:shd w:fill="F5F7F9"/>
          </w:tcPr>
          <w:p>
            <w:pPr>
              <w:spacing w:after="0" w:line="250" w:lineRule="auto"/>
            </w:pPr>
            <w:r>
              <w:rPr>
                <w:sz w:val="20"/>
              </w:rPr>
              <w:t>Rust application service</w:t>
            </w:r>
          </w:p>
        </w:tc>
        <w:tc>
          <w:tcPr>
            <w:tcW w:type="dxa" w:w="4018"/>
            <w:vAlign w:val="center"/>
            <w:tcMar>
              <w:top w:w="90" w:type="dxa"/>
              <w:bottom w:w="90" w:type="dxa"/>
              <w:left w:w="100" w:type="dxa"/>
              <w:right w:w="100" w:type="dxa"/>
            </w:tcMar>
            <w:shd w:fill="F5F7F9"/>
          </w:tcPr>
          <w:p>
            <w:pPr>
              <w:spacing w:after="0" w:line="250" w:lineRule="auto"/>
            </w:pPr>
            <w:r>
              <w:rPr>
                <w:sz w:val="20"/>
              </w:rPr>
              <w:t>Task records, policy, limits, persistence, worker lifecycle and event ordering.</w:t>
            </w:r>
          </w:p>
        </w:tc>
        <w:tc>
          <w:tcPr>
            <w:tcW w:type="dxa" w:w="4018"/>
            <w:vAlign w:val="center"/>
            <w:tcMar>
              <w:top w:w="90" w:type="dxa"/>
              <w:bottom w:w="90" w:type="dxa"/>
              <w:left w:w="100" w:type="dxa"/>
              <w:right w:w="100" w:type="dxa"/>
            </w:tcMar>
            <w:shd w:fill="F5F7F9"/>
          </w:tcPr>
          <w:p>
            <w:pPr>
              <w:spacing w:after="0" w:line="250" w:lineRule="auto"/>
            </w:pPr>
            <w:r>
              <w:rPr>
                <w:sz w:val="20"/>
              </w:rPr>
              <w:t>Provider-specific prompts mixed into scene code.</w:t>
            </w:r>
          </w:p>
        </w:tc>
      </w:tr>
      <w:tr>
        <w:trPr>
          <w:cantSplit/>
        </w:trPr>
        <w:tc>
          <w:tcPr>
            <w:tcW w:type="dxa" w:w="1958"/>
            <w:vAlign w:val="center"/>
            <w:tcMar>
              <w:top w:w="90" w:type="dxa"/>
              <w:bottom w:w="90" w:type="dxa"/>
              <w:left w:w="100" w:type="dxa"/>
              <w:right w:w="100" w:type="dxa"/>
            </w:tcMar>
            <w:shd w:fill="FFFFFF"/>
          </w:tcPr>
          <w:p>
            <w:pPr>
              <w:spacing w:after="0" w:line="250" w:lineRule="auto"/>
            </w:pPr>
            <w:r>
              <w:rPr>
                <w:sz w:val="20"/>
              </w:rPr>
              <w:t>Agent adapter</w:t>
            </w:r>
          </w:p>
        </w:tc>
        <w:tc>
          <w:tcPr>
            <w:tcW w:type="dxa" w:w="4018"/>
            <w:vAlign w:val="center"/>
            <w:tcMar>
              <w:top w:w="90" w:type="dxa"/>
              <w:bottom w:w="90" w:type="dxa"/>
              <w:left w:w="100" w:type="dxa"/>
              <w:right w:w="100" w:type="dxa"/>
            </w:tcMar>
            <w:shd w:fill="FFFFFF"/>
          </w:tcPr>
          <w:p>
            <w:pPr>
              <w:spacing w:after="0" w:line="250" w:lineRule="auto"/>
            </w:pPr>
            <w:r>
              <w:rPr>
                <w:sz w:val="20"/>
              </w:rPr>
              <w:t>Model calls, streamed output and proposed tool use for a run.</w:t>
            </w:r>
          </w:p>
        </w:tc>
        <w:tc>
          <w:tcPr>
            <w:tcW w:type="dxa" w:w="4018"/>
            <w:vAlign w:val="center"/>
            <w:tcMar>
              <w:top w:w="90" w:type="dxa"/>
              <w:bottom w:w="90" w:type="dxa"/>
              <w:left w:w="100" w:type="dxa"/>
              <w:right w:w="100" w:type="dxa"/>
            </w:tcMar>
            <w:shd w:fill="FFFFFF"/>
          </w:tcPr>
          <w:p>
            <w:pPr>
              <w:spacing w:after="0" w:line="250" w:lineRule="auto"/>
            </w:pPr>
            <w:r>
              <w:rPr>
                <w:sz w:val="20"/>
              </w:rPr>
              <w:t>Authority to bypass the broker or change its own limits.</w:t>
            </w:r>
          </w:p>
        </w:tc>
      </w:tr>
      <w:tr>
        <w:trPr>
          <w:cantSplit/>
        </w:trPr>
        <w:tc>
          <w:tcPr>
            <w:tcW w:type="dxa" w:w="1958"/>
            <w:vAlign w:val="center"/>
            <w:tcMar>
              <w:top w:w="90" w:type="dxa"/>
              <w:bottom w:w="90" w:type="dxa"/>
              <w:left w:w="100" w:type="dxa"/>
              <w:right w:w="100" w:type="dxa"/>
            </w:tcMar>
            <w:shd w:fill="F5F7F9"/>
          </w:tcPr>
          <w:p>
            <w:pPr>
              <w:spacing w:after="0" w:line="250" w:lineRule="auto"/>
            </w:pPr>
            <w:r>
              <w:rPr>
                <w:sz w:val="20"/>
              </w:rPr>
              <w:t>Tool broker and workers</w:t>
            </w:r>
          </w:p>
        </w:tc>
        <w:tc>
          <w:tcPr>
            <w:tcW w:type="dxa" w:w="4018"/>
            <w:vAlign w:val="center"/>
            <w:tcMar>
              <w:top w:w="90" w:type="dxa"/>
              <w:bottom w:w="90" w:type="dxa"/>
              <w:left w:w="100" w:type="dxa"/>
              <w:right w:w="100" w:type="dxa"/>
            </w:tcMar>
            <w:shd w:fill="F5F7F9"/>
          </w:tcPr>
          <w:p>
            <w:pPr>
              <w:spacing w:after="0" w:line="250" w:lineRule="auto"/>
            </w:pPr>
            <w:r>
              <w:rPr>
                <w:sz w:val="20"/>
              </w:rPr>
              <w:t>Validated browser operations, scoped file access, exports and later connectors.</w:t>
            </w:r>
          </w:p>
        </w:tc>
        <w:tc>
          <w:tcPr>
            <w:tcW w:type="dxa" w:w="4018"/>
            <w:vAlign w:val="center"/>
            <w:tcMar>
              <w:top w:w="90" w:type="dxa"/>
              <w:bottom w:w="90" w:type="dxa"/>
              <w:left w:w="100" w:type="dxa"/>
              <w:right w:w="100" w:type="dxa"/>
            </w:tcMar>
            <w:shd w:fill="F5F7F9"/>
          </w:tcPr>
          <w:p>
            <w:pPr>
              <w:spacing w:after="0" w:line="250" w:lineRule="auto"/>
            </w:pPr>
            <w:r>
              <w:rPr>
                <w:sz w:val="20"/>
              </w:rPr>
              <w:t>Unrestricted remote-page access to desktop capabilities.</w:t>
            </w:r>
          </w:p>
        </w:tc>
      </w:tr>
      <w:tr>
        <w:trPr>
          <w:cantSplit/>
        </w:trPr>
        <w:tc>
          <w:tcPr>
            <w:tcW w:type="dxa" w:w="1958"/>
            <w:vAlign w:val="center"/>
            <w:tcMar>
              <w:top w:w="90" w:type="dxa"/>
              <w:bottom w:w="90" w:type="dxa"/>
              <w:left w:w="100" w:type="dxa"/>
              <w:right w:w="100" w:type="dxa"/>
            </w:tcMar>
            <w:shd w:fill="FFFFFF"/>
          </w:tcPr>
          <w:p>
            <w:pPr>
              <w:spacing w:after="0" w:line="250" w:lineRule="auto"/>
            </w:pPr>
            <w:r>
              <w:rPr>
                <w:sz w:val="20"/>
              </w:rPr>
              <w:t>Local storage</w:t>
            </w:r>
          </w:p>
        </w:tc>
        <w:tc>
          <w:tcPr>
            <w:tcW w:type="dxa" w:w="4018"/>
            <w:vAlign w:val="center"/>
            <w:tcMar>
              <w:top w:w="90" w:type="dxa"/>
              <w:bottom w:w="90" w:type="dxa"/>
              <w:left w:w="100" w:type="dxa"/>
              <w:right w:w="100" w:type="dxa"/>
            </w:tcMar>
            <w:shd w:fill="FFFFFF"/>
          </w:tcPr>
          <w:p>
            <w:pPr>
              <w:spacing w:after="0" w:line="250" w:lineRule="auto"/>
            </w:pPr>
            <w:r>
              <w:rPr>
                <w:sz w:val="20"/>
              </w:rPr>
              <w:t>Run events, source records, artifact versions and approved project memory.</w:t>
            </w:r>
          </w:p>
        </w:tc>
        <w:tc>
          <w:tcPr>
            <w:tcW w:type="dxa" w:w="4018"/>
            <w:vAlign w:val="center"/>
            <w:tcMar>
              <w:top w:w="90" w:type="dxa"/>
              <w:bottom w:w="90" w:type="dxa"/>
              <w:left w:w="100" w:type="dxa"/>
              <w:right w:w="100" w:type="dxa"/>
            </w:tcMar>
            <w:shd w:fill="FFFFFF"/>
          </w:tcPr>
          <w:p>
            <w:pPr>
              <w:spacing w:after="0" w:line="250" w:lineRule="auto"/>
            </w:pPr>
            <w:r>
              <w:rPr>
                <w:sz w:val="20"/>
              </w:rPr>
              <w:t>Secrets in transcripts or shared project exports.</w:t>
            </w:r>
          </w:p>
        </w:tc>
      </w:tr>
    </w:tbl>
    <w:p>
      <w:pPr>
        <w:spacing w:after="40"/>
      </w:pPr>
      <w:r/>
    </w:p>
    <w:p>
      <w:r>
        <w:t>Use a versioned event envelope with event ID, sequence number, workspace ID, project ID, agent ID, task ID, run ID and timestamp. The renderer can reconnect to a snapshot plus subsequent events. Dropping animation frames is acceptable; dropping approval or task-state events is not. Correlate every screen frame and action with its session identity.</w:t>
      </w:r>
    </w:p>
    <w:p>
      <w:r>
        <w:t xml:space="preserve">The adapter contract needs start, stream, pause or interrupt, cancel, resume and usage reporting, with unsupported capabilities declared explicitly. Start with one provider using a maintained SDK; the OpenAI Agents SDK is one candidate for a TypeScript loop with application-owned tools and approvals. Evaluate a small workflow before committing to it or LangGraph. Avoid two orchestration frameworks in the MVP. </w:t>
      </w:r>
      <w:hyperlink r:id="rId22">
        <w:r>
          <w:rPr>
            <w:color w:val="235A80"/>
          </w:rPr>
          <w:t>[S13]</w:t>
        </w:r>
      </w:hyperlink>
      <w:r/>
    </w:p>
    <w:p>
      <w:pPr>
        <w:pStyle w:val="Heading2"/>
      </w:pPr>
      <w:r>
        <w:t>Tauri and Electron decision gate</w:t>
      </w:r>
    </w:p>
    <w:p>
      <w:r>
        <w:t xml:space="preserve">Electron offers offscreen rendering, including GPU texture paths, which could help future screen transport and closer reuse of Electron browser components. Those paths still require integration and measurement. Tauri supports packaging external binaries, but shipping a browser and worker remains an application responsibility. Neither framework choice removes browser security or memory costs. </w:t>
      </w:r>
      <w:hyperlink r:id="rId26">
        <w:r>
          <w:rPr>
            <w:color w:val="235A80"/>
          </w:rPr>
          <w:t>[S17]</w:t>
        </w:r>
      </w:hyperlink>
      <w:r>
        <w:t xml:space="preserve"> </w:t>
      </w:r>
      <w:hyperlink r:id="rId27">
        <w:r>
          <w:rPr>
            <w:color w:val="235A80"/>
          </w:rPr>
          <w:t>[S18]</w:t>
        </w:r>
      </w:hyperlink>
      <w:r/>
    </w:p>
    <w:p>
      <w:r>
        <w:t>Keep Tauri unless a measured spike shows unacceptable control latency, screen performance, authentication limitations or distribution complexity that Electron materially resolves. Run the same six-desk scene and two active browser tasks in any comparison. Evaluate whole-app memory, CPU, input latency, crash isolation and clean-machine installation, not framework download size alone.</w:t>
      </w:r>
    </w:p>
    <w:p>
      <w:r>
        <w:t>For a public release, bundle or deliberately provision a compatible worker runtime and browser, define their update process, audit redistribution licenses, and sign and notarize the application. The present build relies on locally installed Node and Chrome and is not yet that release.</w:t>
      </w:r>
    </w:p>
    <w:p>
      <w:pPr>
        <w:pStyle w:val="Heading1"/>
      </w:pPr>
      <w:r>
        <w:t>12 Integration with the existing applications</w:t>
      </w:r>
    </w:p>
    <w:p>
      <w:pPr>
        <w:pStyle w:val="Heading2"/>
      </w:pPr>
      <w:r>
        <w:t>Current Worklive baseline</w:t>
      </w:r>
    </w:p>
    <w:p>
      <w:r>
        <w:t>Worklive 0.2.0 already has the Tauri shell, saved agent details, a Three.js office, collision-aware movement, coffee and plant routines, isolated browser contexts, live screens, manual control handoff and a scripted browser practice task with a saved text result. General task briefs do not execute through an AI model, and office chatter is scripted. This PRD’s productive runtime, project memory, review flow and integrations are proposed work. [L1]</w:t>
      </w:r>
    </w:p>
    <w:p>
      <w:pPr>
        <w:pStyle w:val="Heading2"/>
      </w:pPr>
      <w:r>
        <w:t>Reuse by extracting a bounded capability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18"/>
        <w:gridCol w:w="3571"/>
        <w:gridCol w:w="4205"/>
      </w:tblGrid>
      <w:tr>
        <w:trPr>
          <w:cantSplit/>
          <w:tblHeader/>
        </w:trPr>
        <w:tc>
          <w:tcPr>
            <w:tcW w:type="dxa" w:w="2218"/>
            <w:vAlign w:val="center"/>
            <w:tcMar>
              <w:top w:w="90" w:type="dxa"/>
              <w:bottom w:w="90" w:type="dxa"/>
              <w:left w:w="100" w:type="dxa"/>
              <w:right w:w="100" w:type="dxa"/>
            </w:tcMar>
            <w:shd w:fill="E6EDF2"/>
          </w:tcPr>
          <w:p>
            <w:pPr>
              <w:spacing w:after="0" w:line="250" w:lineRule="auto"/>
            </w:pPr>
            <w:r>
              <w:rPr>
                <w:b/>
                <w:sz w:val="20"/>
              </w:rPr>
              <w:t>Existing source</w:t>
            </w:r>
          </w:p>
        </w:tc>
        <w:tc>
          <w:tcPr>
            <w:tcW w:type="dxa" w:w="3571"/>
            <w:vAlign w:val="center"/>
            <w:tcMar>
              <w:top w:w="90" w:type="dxa"/>
              <w:bottom w:w="90" w:type="dxa"/>
              <w:left w:w="100" w:type="dxa"/>
              <w:right w:w="100" w:type="dxa"/>
            </w:tcMar>
            <w:shd w:fill="E6EDF2"/>
          </w:tcPr>
          <w:p>
            <w:pPr>
              <w:spacing w:after="0" w:line="250" w:lineRule="auto"/>
            </w:pPr>
            <w:r>
              <w:rPr>
                <w:b/>
                <w:sz w:val="20"/>
              </w:rPr>
              <w:t>Reuse or adapt</w:t>
            </w:r>
          </w:p>
        </w:tc>
        <w:tc>
          <w:tcPr>
            <w:tcW w:type="dxa" w:w="4205"/>
            <w:vAlign w:val="center"/>
            <w:tcMar>
              <w:top w:w="90" w:type="dxa"/>
              <w:bottom w:w="90" w:type="dxa"/>
              <w:left w:w="100" w:type="dxa"/>
              <w:right w:w="100" w:type="dxa"/>
            </w:tcMar>
            <w:shd w:fill="E6EDF2"/>
          </w:tcPr>
          <w:p>
            <w:pPr>
              <w:spacing w:after="0" w:line="250" w:lineRule="auto"/>
            </w:pPr>
            <w:r>
              <w:rPr>
                <w:b/>
                <w:sz w:val="20"/>
              </w:rPr>
              <w:t>Boundary and migration work</w:t>
            </w:r>
          </w:p>
        </w:tc>
      </w:tr>
      <w:tr>
        <w:trPr>
          <w:cantSplit/>
        </w:trPr>
        <w:tc>
          <w:tcPr>
            <w:tcW w:type="dxa" w:w="2218"/>
            <w:vAlign w:val="center"/>
            <w:tcMar>
              <w:top w:w="90" w:type="dxa"/>
              <w:bottom w:w="90" w:type="dxa"/>
              <w:left w:w="100" w:type="dxa"/>
              <w:right w:w="100" w:type="dxa"/>
            </w:tcMar>
            <w:shd w:fill="FFFFFF"/>
          </w:tcPr>
          <w:p>
            <w:pPr>
              <w:spacing w:after="0" w:line="250" w:lineRule="auto"/>
            </w:pPr>
            <w:r>
              <w:rPr>
                <w:sz w:val="20"/>
              </w:rPr>
              <w:t>TerminalOS research browser [L3]</w:t>
            </w:r>
          </w:p>
        </w:tc>
        <w:tc>
          <w:tcPr>
            <w:tcW w:type="dxa" w:w="3571"/>
            <w:vAlign w:val="center"/>
            <w:tcMar>
              <w:top w:w="90" w:type="dxa"/>
              <w:bottom w:w="90" w:type="dxa"/>
              <w:left w:w="100" w:type="dxa"/>
              <w:right w:w="100" w:type="dxa"/>
            </w:tcMar>
            <w:shd w:fill="FFFFFF"/>
          </w:tcPr>
          <w:p>
            <w:pPr>
              <w:spacing w:after="0" w:line="250" w:lineRule="auto"/>
            </w:pPr>
            <w:r>
              <w:rPr>
                <w:sz w:val="20"/>
              </w:rPr>
              <w:t>Page and selection capture with URL, timestamp, hash and truncation status.</w:t>
            </w:r>
          </w:p>
        </w:tc>
        <w:tc>
          <w:tcPr>
            <w:tcW w:type="dxa" w:w="4205"/>
            <w:vAlign w:val="center"/>
            <w:tcMar>
              <w:top w:w="90" w:type="dxa"/>
              <w:bottom w:w="90" w:type="dxa"/>
              <w:left w:w="100" w:type="dxa"/>
              <w:right w:w="100" w:type="dxa"/>
            </w:tcMar>
            <w:shd w:fill="FFFFFF"/>
          </w:tcPr>
          <w:p>
            <w:pPr>
              <w:spacing w:after="0" w:line="250" w:lineRule="auto"/>
            </w:pPr>
            <w:r>
              <w:rPr>
                <w:sz w:val="20"/>
              </w:rPr>
              <w:t>Port the data contract and validation. Electron WebContentsView does not transfer directly to Tauri.</w:t>
            </w:r>
          </w:p>
        </w:tc>
      </w:tr>
      <w:tr>
        <w:trPr>
          <w:cantSplit/>
        </w:trPr>
        <w:tc>
          <w:tcPr>
            <w:tcW w:type="dxa" w:w="2218"/>
            <w:vAlign w:val="center"/>
            <w:tcMar>
              <w:top w:w="90" w:type="dxa"/>
              <w:bottom w:w="90" w:type="dxa"/>
              <w:left w:w="100" w:type="dxa"/>
              <w:right w:w="100" w:type="dxa"/>
            </w:tcMar>
            <w:shd w:fill="F5F7F9"/>
          </w:tcPr>
          <w:p>
            <w:pPr>
              <w:spacing w:after="0" w:line="250" w:lineRule="auto"/>
            </w:pPr>
            <w:r>
              <w:rPr>
                <w:sz w:val="20"/>
              </w:rPr>
              <w:t>TerminalOS artifacts [L3]</w:t>
            </w:r>
          </w:p>
        </w:tc>
        <w:tc>
          <w:tcPr>
            <w:tcW w:type="dxa" w:w="3571"/>
            <w:vAlign w:val="center"/>
            <w:tcMar>
              <w:top w:w="90" w:type="dxa"/>
              <w:bottom w:w="90" w:type="dxa"/>
              <w:left w:w="100" w:type="dxa"/>
              <w:right w:w="100" w:type="dxa"/>
            </w:tcMar>
            <w:shd w:fill="F5F7F9"/>
          </w:tcPr>
          <w:p>
            <w:pPr>
              <w:spacing w:after="0" w:line="250" w:lineRule="auto"/>
            </w:pPr>
            <w:r>
              <w:rPr>
                <w:sz w:val="20"/>
              </w:rPr>
              <w:t>Versioned artifact references, revision-aware edits and source associations.</w:t>
            </w:r>
          </w:p>
        </w:tc>
        <w:tc>
          <w:tcPr>
            <w:tcW w:type="dxa" w:w="4205"/>
            <w:vAlign w:val="center"/>
            <w:tcMar>
              <w:top w:w="90" w:type="dxa"/>
              <w:bottom w:w="90" w:type="dxa"/>
              <w:left w:w="100" w:type="dxa"/>
              <w:right w:w="100" w:type="dxa"/>
            </w:tcMar>
            <w:shd w:fill="F5F7F9"/>
          </w:tcPr>
          <w:p>
            <w:pPr>
              <w:spacing w:after="0" w:line="250" w:lineRule="auto"/>
            </w:pPr>
            <w:r>
              <w:rPr>
                <w:sz w:val="20"/>
              </w:rPr>
              <w:t>Use real Worklive files and verified tool results. The inspected chat route itself has no live tools.</w:t>
            </w:r>
          </w:p>
        </w:tc>
      </w:tr>
      <w:tr>
        <w:trPr>
          <w:cantSplit/>
        </w:trPr>
        <w:tc>
          <w:tcPr>
            <w:tcW w:type="dxa" w:w="2218"/>
            <w:vAlign w:val="center"/>
            <w:tcMar>
              <w:top w:w="90" w:type="dxa"/>
              <w:bottom w:w="90" w:type="dxa"/>
              <w:left w:w="100" w:type="dxa"/>
              <w:right w:w="100" w:type="dxa"/>
            </w:tcMar>
            <w:shd w:fill="FFFFFF"/>
          </w:tcPr>
          <w:p>
            <w:pPr>
              <w:spacing w:after="0" w:line="250" w:lineRule="auto"/>
            </w:pPr>
            <w:r>
              <w:rPr>
                <w:sz w:val="20"/>
              </w:rPr>
              <w:t>Workspace OS activity [L2]</w:t>
            </w:r>
          </w:p>
        </w:tc>
        <w:tc>
          <w:tcPr>
            <w:tcW w:type="dxa" w:w="3571"/>
            <w:vAlign w:val="center"/>
            <w:tcMar>
              <w:top w:w="90" w:type="dxa"/>
              <w:bottom w:w="90" w:type="dxa"/>
              <w:left w:w="100" w:type="dxa"/>
              <w:right w:w="100" w:type="dxa"/>
            </w:tcMar>
            <w:shd w:fill="FFFFFF"/>
          </w:tcPr>
          <w:p>
            <w:pPr>
              <w:spacing w:after="0" w:line="250" w:lineRule="auto"/>
            </w:pPr>
            <w:r>
              <w:rPr>
                <w:sz w:val="20"/>
              </w:rPr>
              <w:t>Friendly labels derived from actual tool events.</w:t>
            </w:r>
          </w:p>
        </w:tc>
        <w:tc>
          <w:tcPr>
            <w:tcW w:type="dxa" w:w="4205"/>
            <w:vAlign w:val="center"/>
            <w:tcMar>
              <w:top w:w="90" w:type="dxa"/>
              <w:bottom w:w="90" w:type="dxa"/>
              <w:left w:w="100" w:type="dxa"/>
              <w:right w:w="100" w:type="dxa"/>
            </w:tcMar>
            <w:shd w:fill="FFFFFF"/>
          </w:tcPr>
          <w:p>
            <w:pPr>
              <w:spacing w:after="0" w:line="250" w:lineRule="auto"/>
            </w:pPr>
            <w:r>
              <w:rPr>
                <w:sz w:val="20"/>
              </w:rPr>
              <w:t>Normalize events at the adapter; preserve attempts versus observed success.</w:t>
            </w:r>
          </w:p>
        </w:tc>
      </w:tr>
      <w:tr>
        <w:trPr>
          <w:cantSplit/>
        </w:trPr>
        <w:tc>
          <w:tcPr>
            <w:tcW w:type="dxa" w:w="2218"/>
            <w:vAlign w:val="center"/>
            <w:tcMar>
              <w:top w:w="90" w:type="dxa"/>
              <w:bottom w:w="90" w:type="dxa"/>
              <w:left w:w="100" w:type="dxa"/>
              <w:right w:w="100" w:type="dxa"/>
            </w:tcMar>
            <w:shd w:fill="F5F7F9"/>
          </w:tcPr>
          <w:p>
            <w:pPr>
              <w:spacing w:after="0" w:line="250" w:lineRule="auto"/>
            </w:pPr>
            <w:r>
              <w:rPr>
                <w:sz w:val="20"/>
              </w:rPr>
              <w:t>Workspace OS browser [L2]</w:t>
            </w:r>
          </w:p>
        </w:tc>
        <w:tc>
          <w:tcPr>
            <w:tcW w:type="dxa" w:w="3571"/>
            <w:vAlign w:val="center"/>
            <w:tcMar>
              <w:top w:w="90" w:type="dxa"/>
              <w:bottom w:w="90" w:type="dxa"/>
              <w:left w:w="100" w:type="dxa"/>
              <w:right w:w="100" w:type="dxa"/>
            </w:tcMar>
            <w:shd w:fill="F5F7F9"/>
          </w:tcPr>
          <w:p>
            <w:pPr>
              <w:spacing w:after="0" w:line="250" w:lineRule="auto"/>
            </w:pPr>
            <w:r>
              <w:rPr>
                <w:sz w:val="20"/>
              </w:rPr>
              <w:t>Tab-targeted navigate, extract, screenshot and interaction vocabulary.</w:t>
            </w:r>
          </w:p>
        </w:tc>
        <w:tc>
          <w:tcPr>
            <w:tcW w:type="dxa" w:w="4205"/>
            <w:vAlign w:val="center"/>
            <w:tcMar>
              <w:top w:w="90" w:type="dxa"/>
              <w:bottom w:w="90" w:type="dxa"/>
              <w:left w:w="100" w:type="dxa"/>
              <w:right w:w="100" w:type="dxa"/>
            </w:tcMar>
            <w:shd w:fill="F5F7F9"/>
          </w:tcPr>
          <w:p>
            <w:pPr>
              <w:spacing w:after="0" w:line="250" w:lineRule="auto"/>
            </w:pPr>
            <w:r>
              <w:rPr>
                <w:sz w:val="20"/>
              </w:rPr>
              <w:t>Its browser tabs share a persistent partition. Preserve Worklive’s separate contexts unless sharing is explicitly selected.</w:t>
            </w:r>
          </w:p>
        </w:tc>
      </w:tr>
      <w:tr>
        <w:trPr>
          <w:cantSplit/>
        </w:trPr>
        <w:tc>
          <w:tcPr>
            <w:tcW w:type="dxa" w:w="2218"/>
            <w:vAlign w:val="center"/>
            <w:tcMar>
              <w:top w:w="90" w:type="dxa"/>
              <w:bottom w:w="90" w:type="dxa"/>
              <w:left w:w="100" w:type="dxa"/>
              <w:right w:w="100" w:type="dxa"/>
            </w:tcMar>
            <w:shd w:fill="FFFFFF"/>
          </w:tcPr>
          <w:p>
            <w:pPr>
              <w:spacing w:after="0" w:line="250" w:lineRule="auto"/>
            </w:pPr>
            <w:r>
              <w:rPr>
                <w:sz w:val="20"/>
              </w:rPr>
              <w:t>Workspace OS checkpoints [L2]</w:t>
            </w:r>
          </w:p>
        </w:tc>
        <w:tc>
          <w:tcPr>
            <w:tcW w:type="dxa" w:w="3571"/>
            <w:vAlign w:val="center"/>
            <w:tcMar>
              <w:top w:w="90" w:type="dxa"/>
              <w:bottom w:w="90" w:type="dxa"/>
              <w:left w:w="100" w:type="dxa"/>
              <w:right w:w="100" w:type="dxa"/>
            </w:tcMar>
            <w:shd w:fill="FFFFFF"/>
          </w:tcPr>
          <w:p>
            <w:pPr>
              <w:spacing w:after="0" w:line="250" w:lineRule="auto"/>
            </w:pPr>
            <w:r>
              <w:rPr>
                <w:sz w:val="20"/>
              </w:rPr>
              <w:t>Before-and-after review and recoverability.</w:t>
            </w:r>
          </w:p>
        </w:tc>
        <w:tc>
          <w:tcPr>
            <w:tcW w:type="dxa" w:w="4205"/>
            <w:vAlign w:val="center"/>
            <w:tcMar>
              <w:top w:w="90" w:type="dxa"/>
              <w:bottom w:w="90" w:type="dxa"/>
              <w:left w:w="100" w:type="dxa"/>
              <w:right w:w="100" w:type="dxa"/>
            </w:tcMar>
            <w:shd w:fill="FFFFFF"/>
          </w:tcPr>
          <w:p>
            <w:pPr>
              <w:spacing w:after="0" w:line="250" w:lineRule="auto"/>
            </w:pPr>
            <w:r>
              <w:rPr>
                <w:sz w:val="20"/>
              </w:rPr>
              <w:t>Replace whole-workspace rollback with scoped drafts and conflict-aware artifact promotion.</w:t>
            </w:r>
          </w:p>
        </w:tc>
      </w:tr>
      <w:tr>
        <w:trPr>
          <w:cantSplit/>
        </w:trPr>
        <w:tc>
          <w:tcPr>
            <w:tcW w:type="dxa" w:w="2218"/>
            <w:vAlign w:val="center"/>
            <w:tcMar>
              <w:top w:w="90" w:type="dxa"/>
              <w:bottom w:w="90" w:type="dxa"/>
              <w:left w:w="100" w:type="dxa"/>
              <w:right w:w="100" w:type="dxa"/>
            </w:tcMar>
            <w:shd w:fill="F5F7F9"/>
          </w:tcPr>
          <w:p>
            <w:pPr>
              <w:spacing w:after="0" w:line="250" w:lineRule="auto"/>
            </w:pPr>
            <w:r>
              <w:rPr>
                <w:sz w:val="20"/>
              </w:rPr>
              <w:t>Workspace OS routines [L2]</w:t>
            </w:r>
          </w:p>
        </w:tc>
        <w:tc>
          <w:tcPr>
            <w:tcW w:type="dxa" w:w="3571"/>
            <w:vAlign w:val="center"/>
            <w:tcMar>
              <w:top w:w="90" w:type="dxa"/>
              <w:bottom w:w="90" w:type="dxa"/>
              <w:left w:w="100" w:type="dxa"/>
              <w:right w:w="100" w:type="dxa"/>
            </w:tcMar>
            <w:shd w:fill="F5F7F9"/>
          </w:tcPr>
          <w:p>
            <w:pPr>
              <w:spacing w:after="0" w:line="250" w:lineRule="auto"/>
            </w:pPr>
            <w:r>
              <w:rPr>
                <w:sz w:val="20"/>
              </w:rPr>
              <w:t>App-owned schedules, one catch-up run and no overlapping run of the same routine.</w:t>
            </w:r>
          </w:p>
        </w:tc>
        <w:tc>
          <w:tcPr>
            <w:tcW w:type="dxa" w:w="4205"/>
            <w:vAlign w:val="center"/>
            <w:tcMar>
              <w:top w:w="90" w:type="dxa"/>
              <w:bottom w:w="90" w:type="dxa"/>
              <w:left w:w="100" w:type="dxa"/>
              <w:right w:w="100" w:type="dxa"/>
            </w:tcMar>
            <w:shd w:fill="F5F7F9"/>
          </w:tcPr>
          <w:p>
            <w:pPr>
              <w:spacing w:after="0" w:line="250" w:lineRule="auto"/>
            </w:pPr>
            <w:r>
              <w:rPr>
                <w:sz w:val="20"/>
              </w:rPr>
              <w:t>Introduce after durable execution. Add timezone, sleep and restart coverage in Worklive.</w:t>
            </w:r>
          </w:p>
        </w:tc>
      </w:tr>
      <w:tr>
        <w:trPr>
          <w:cantSplit/>
        </w:trPr>
        <w:tc>
          <w:tcPr>
            <w:tcW w:type="dxa" w:w="2218"/>
            <w:vAlign w:val="center"/>
            <w:tcMar>
              <w:top w:w="90" w:type="dxa"/>
              <w:bottom w:w="90" w:type="dxa"/>
              <w:left w:w="100" w:type="dxa"/>
              <w:right w:w="100" w:type="dxa"/>
            </w:tcMar>
            <w:shd w:fill="FFFFFF"/>
          </w:tcPr>
          <w:p>
            <w:pPr>
              <w:spacing w:after="0" w:line="250" w:lineRule="auto"/>
            </w:pPr>
            <w:r>
              <w:rPr>
                <w:sz w:val="20"/>
              </w:rPr>
              <w:t>Workspace OS cases and memory [L2]</w:t>
            </w:r>
          </w:p>
        </w:tc>
        <w:tc>
          <w:tcPr>
            <w:tcW w:type="dxa" w:w="3571"/>
            <w:vAlign w:val="center"/>
            <w:tcMar>
              <w:top w:w="90" w:type="dxa"/>
              <w:bottom w:w="90" w:type="dxa"/>
              <w:left w:w="100" w:type="dxa"/>
              <w:right w:w="100" w:type="dxa"/>
            </w:tcMar>
            <w:shd w:fill="FFFFFF"/>
          </w:tcPr>
          <w:p>
            <w:pPr>
              <w:spacing w:after="0" w:line="250" w:lineRule="auto"/>
            </w:pPr>
            <w:r>
              <w:rPr>
                <w:sz w:val="20"/>
              </w:rPr>
              <w:t>A lasting project unit, decisions and selected context.</w:t>
            </w:r>
          </w:p>
        </w:tc>
        <w:tc>
          <w:tcPr>
            <w:tcW w:type="dxa" w:w="4205"/>
            <w:vAlign w:val="center"/>
            <w:tcMar>
              <w:top w:w="90" w:type="dxa"/>
              <w:bottom w:w="90" w:type="dxa"/>
              <w:left w:w="100" w:type="dxa"/>
              <w:right w:w="100" w:type="dxa"/>
            </w:tcMar>
            <w:shd w:fill="FFFFFF"/>
          </w:tcPr>
          <w:p>
            <w:pPr>
              <w:spacing w:after="0" w:line="250" w:lineRule="auto"/>
            </w:pPr>
            <w:r>
              <w:rPr>
                <w:sz w:val="20"/>
              </w:rPr>
              <w:t>Adapt the concept first. Port modules only after storage and permission contracts are aligned.</w:t>
            </w:r>
          </w:p>
        </w:tc>
      </w:tr>
    </w:tbl>
    <w:p>
      <w:pPr>
        <w:spacing w:after="40"/>
      </w:pPr>
      <w:r/>
    </w:p>
    <w:p>
      <w:r>
        <w:t>The inspected Workspace OS permission module explicitly documents limits of command-prefix deny rules. Treat it as a migration lesson, not a security boundary to inherit. Its broader Office, mail and calendar surfaces should remain later integrations rather than requirements for the first productive Worklive release.</w:t>
      </w:r>
    </w:p>
    <w:p>
      <w:r>
        <w:t>Extract pure schemas, event formatting, capture validation and scheduling logic before considering larger modules. Wrap Electron-specific APIs behind Worklive services. Verify licenses and dependencies before copying code. Keep the two source applications functioning independently and introduce no shared mutable state during this stage.</w:t>
      </w:r>
    </w:p>
    <w:p>
      <w:pPr>
        <w:pStyle w:val="Heading1"/>
      </w:pPr>
      <w:r>
        <w:t>13 Functional acceptance criteria</w:t>
      </w:r>
    </w:p>
    <w:p>
      <w:r>
        <w:t>P0 requirements block the first productive MVP. P1 requirements follow after its reliability gate. The criteria below are proposed acceptance tests, not claims about the present prototype.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93"/>
        <w:gridCol w:w="878"/>
        <w:gridCol w:w="8222"/>
      </w:tblGrid>
      <w:tr>
        <w:trPr>
          <w:cantSplit/>
          <w:tblHeader/>
        </w:trPr>
        <w:tc>
          <w:tcPr>
            <w:tcW w:type="dxa" w:w="893"/>
            <w:vAlign w:val="center"/>
            <w:tcMar>
              <w:top w:w="90" w:type="dxa"/>
              <w:bottom w:w="90" w:type="dxa"/>
              <w:left w:w="100" w:type="dxa"/>
              <w:right w:w="100" w:type="dxa"/>
            </w:tcMar>
            <w:shd w:fill="E6EDF2"/>
          </w:tcPr>
          <w:p>
            <w:pPr>
              <w:spacing w:after="0" w:line="250" w:lineRule="auto"/>
              <w:jc w:val="center"/>
            </w:pPr>
            <w:r>
              <w:rPr>
                <w:b/>
                <w:sz w:val="20"/>
              </w:rPr>
              <w:t>ID</w:t>
            </w:r>
          </w:p>
        </w:tc>
        <w:tc>
          <w:tcPr>
            <w:tcW w:type="dxa" w:w="878"/>
            <w:vAlign w:val="center"/>
            <w:tcMar>
              <w:top w:w="90" w:type="dxa"/>
              <w:bottom w:w="90" w:type="dxa"/>
              <w:left w:w="100" w:type="dxa"/>
              <w:right w:w="100" w:type="dxa"/>
            </w:tcMar>
            <w:shd w:fill="E6EDF2"/>
          </w:tcPr>
          <w:p>
            <w:pPr>
              <w:spacing w:after="0" w:line="250" w:lineRule="auto"/>
              <w:jc w:val="center"/>
            </w:pPr>
            <w:r>
              <w:rPr>
                <w:b/>
                <w:sz w:val="20"/>
              </w:rPr>
              <w:t>Level</w:t>
            </w:r>
          </w:p>
        </w:tc>
        <w:tc>
          <w:tcPr>
            <w:tcW w:type="dxa" w:w="8222"/>
            <w:vAlign w:val="center"/>
            <w:tcMar>
              <w:top w:w="90" w:type="dxa"/>
              <w:bottom w:w="90" w:type="dxa"/>
              <w:left w:w="100" w:type="dxa"/>
              <w:right w:w="100" w:type="dxa"/>
            </w:tcMar>
            <w:shd w:fill="E6EDF2"/>
          </w:tcPr>
          <w:p>
            <w:pPr>
              <w:spacing w:after="0" w:line="250" w:lineRule="auto"/>
            </w:pPr>
            <w:r>
              <w:rPr>
                <w:b/>
                <w:sz w:val="20"/>
              </w:rPr>
              <w:t>Requirement and acceptance</w:t>
            </w:r>
          </w:p>
        </w:tc>
      </w:tr>
      <w:tr>
        <w:trPr>
          <w:cantSplit/>
        </w:trPr>
        <w:tc>
          <w:tcPr>
            <w:tcW w:type="dxa" w:w="893"/>
            <w:vAlign w:val="center"/>
            <w:tcMar>
              <w:top w:w="90" w:type="dxa"/>
              <w:bottom w:w="90" w:type="dxa"/>
              <w:left w:w="100" w:type="dxa"/>
              <w:right w:w="100" w:type="dxa"/>
            </w:tcMar>
            <w:shd w:fill="FFFFFF"/>
          </w:tcPr>
          <w:p>
            <w:pPr>
              <w:spacing w:after="0" w:line="250" w:lineRule="auto"/>
              <w:jc w:val="center"/>
            </w:pPr>
            <w:r>
              <w:rPr>
                <w:sz w:val="20"/>
              </w:rPr>
              <w:t>FR01</w:t>
            </w:r>
          </w:p>
        </w:tc>
        <w:tc>
          <w:tcPr>
            <w:tcW w:type="dxa" w:w="878"/>
            <w:vAlign w:val="center"/>
            <w:tcMar>
              <w:top w:w="90" w:type="dxa"/>
              <w:bottom w:w="90" w:type="dxa"/>
              <w:left w:w="100" w:type="dxa"/>
              <w:right w:w="100" w:type="dxa"/>
            </w:tcMar>
            <w:shd w:fill="FFFFFF"/>
          </w:tcPr>
          <w:p>
            <w:pPr>
              <w:spacing w:after="0" w:line="250" w:lineRule="auto"/>
              <w:jc w:val="center"/>
            </w:pPr>
            <w:r>
              <w:rPr>
                <w:sz w:val="20"/>
              </w:rPr>
              <w:t>P0</w:t>
            </w:r>
          </w:p>
        </w:tc>
        <w:tc>
          <w:tcPr>
            <w:tcW w:type="dxa" w:w="8222"/>
            <w:vAlign w:val="center"/>
            <w:tcMar>
              <w:top w:w="90" w:type="dxa"/>
              <w:bottom w:w="90" w:type="dxa"/>
              <w:left w:w="100" w:type="dxa"/>
              <w:right w:w="100" w:type="dxa"/>
            </w:tcMar>
            <w:shd w:fill="FFFFFF"/>
          </w:tcPr>
          <w:p>
            <w:pPr>
              <w:spacing w:after="0" w:line="250" w:lineRule="auto"/>
            </w:pPr>
            <w:r>
              <w:rPr>
                <w:sz w:val="20"/>
              </w:rPr>
              <w:t>Create and edit agents. A new desk and identity persist after restart; creation triggers no model call. Role, personality, model and capabilities remain separate fields.</w:t>
            </w:r>
          </w:p>
        </w:tc>
      </w:tr>
      <w:tr>
        <w:trPr>
          <w:cantSplit/>
        </w:trPr>
        <w:tc>
          <w:tcPr>
            <w:tcW w:type="dxa" w:w="893"/>
            <w:vAlign w:val="center"/>
            <w:tcMar>
              <w:top w:w="90" w:type="dxa"/>
              <w:bottom w:w="90" w:type="dxa"/>
              <w:left w:w="100" w:type="dxa"/>
              <w:right w:w="100" w:type="dxa"/>
            </w:tcMar>
            <w:shd w:fill="F5F7F9"/>
          </w:tcPr>
          <w:p>
            <w:pPr>
              <w:spacing w:after="0" w:line="250" w:lineRule="auto"/>
              <w:jc w:val="center"/>
            </w:pPr>
            <w:r>
              <w:rPr>
                <w:sz w:val="20"/>
              </w:rPr>
              <w:t>FR02</w:t>
            </w:r>
          </w:p>
        </w:tc>
        <w:tc>
          <w:tcPr>
            <w:tcW w:type="dxa" w:w="878"/>
            <w:vAlign w:val="center"/>
            <w:tcMar>
              <w:top w:w="90" w:type="dxa"/>
              <w:bottom w:w="90" w:type="dxa"/>
              <w:left w:w="100" w:type="dxa"/>
              <w:right w:w="100" w:type="dxa"/>
            </w:tcMar>
            <w:shd w:fill="F5F7F9"/>
          </w:tcPr>
          <w:p>
            <w:pPr>
              <w:spacing w:after="0" w:line="250" w:lineRule="auto"/>
              <w:jc w:val="center"/>
            </w:pPr>
            <w:r>
              <w:rPr>
                <w:sz w:val="20"/>
              </w:rPr>
              <w:t>P0</w:t>
            </w:r>
          </w:p>
        </w:tc>
        <w:tc>
          <w:tcPr>
            <w:tcW w:type="dxa" w:w="8222"/>
            <w:vAlign w:val="center"/>
            <w:tcMar>
              <w:top w:w="90" w:type="dxa"/>
              <w:bottom w:w="90" w:type="dxa"/>
              <w:left w:w="100" w:type="dxa"/>
              <w:right w:w="100" w:type="dxa"/>
            </w:tcMar>
            <w:shd w:fill="F5F7F9"/>
          </w:tcPr>
          <w:p>
            <w:pPr>
              <w:spacing w:after="0" w:line="250" w:lineRule="auto"/>
            </w:pPr>
            <w:r>
              <w:rPr>
                <w:sz w:val="20"/>
              </w:rPr>
              <w:t>Create a project task with an owner, goal, selected inputs, expected output and limits. Restart preserves the task and project; missing required inputs prevent dispatch.</w:t>
            </w:r>
          </w:p>
        </w:tc>
      </w:tr>
      <w:tr>
        <w:trPr>
          <w:cantSplit/>
        </w:trPr>
        <w:tc>
          <w:tcPr>
            <w:tcW w:type="dxa" w:w="893"/>
            <w:vAlign w:val="center"/>
            <w:tcMar>
              <w:top w:w="90" w:type="dxa"/>
              <w:bottom w:w="90" w:type="dxa"/>
              <w:left w:w="100" w:type="dxa"/>
              <w:right w:w="100" w:type="dxa"/>
            </w:tcMar>
            <w:shd w:fill="FFFFFF"/>
          </w:tcPr>
          <w:p>
            <w:pPr>
              <w:spacing w:after="0" w:line="250" w:lineRule="auto"/>
              <w:jc w:val="center"/>
            </w:pPr>
            <w:r>
              <w:rPr>
                <w:sz w:val="20"/>
              </w:rPr>
              <w:t>FR03</w:t>
            </w:r>
          </w:p>
        </w:tc>
        <w:tc>
          <w:tcPr>
            <w:tcW w:type="dxa" w:w="878"/>
            <w:vAlign w:val="center"/>
            <w:tcMar>
              <w:top w:w="90" w:type="dxa"/>
              <w:bottom w:w="90" w:type="dxa"/>
              <w:left w:w="100" w:type="dxa"/>
              <w:right w:w="100" w:type="dxa"/>
            </w:tcMar>
            <w:shd w:fill="FFFFFF"/>
          </w:tcPr>
          <w:p>
            <w:pPr>
              <w:spacing w:after="0" w:line="250" w:lineRule="auto"/>
              <w:jc w:val="center"/>
            </w:pPr>
            <w:r>
              <w:rPr>
                <w:sz w:val="20"/>
              </w:rPr>
              <w:t>P0</w:t>
            </w:r>
          </w:p>
        </w:tc>
        <w:tc>
          <w:tcPr>
            <w:tcW w:type="dxa" w:w="8222"/>
            <w:vAlign w:val="center"/>
            <w:tcMar>
              <w:top w:w="90" w:type="dxa"/>
              <w:bottom w:w="90" w:type="dxa"/>
              <w:left w:w="100" w:type="dxa"/>
              <w:right w:w="100" w:type="dxa"/>
            </w:tcMar>
            <w:shd w:fill="FFFFFF"/>
          </w:tcPr>
          <w:p>
            <w:pPr>
              <w:spacing w:after="0" w:line="250" w:lineRule="auto"/>
            </w:pPr>
            <w:r>
              <w:rPr>
                <w:sz w:val="20"/>
              </w:rPr>
              <w:t>Execute a real model-driven workflow. From supplied public URLs, produce a sourced brief and comparison without a scripted action sequence. Record actual tool results.</w:t>
            </w:r>
          </w:p>
        </w:tc>
      </w:tr>
      <w:tr>
        <w:trPr>
          <w:cantSplit/>
        </w:trPr>
        <w:tc>
          <w:tcPr>
            <w:tcW w:type="dxa" w:w="893"/>
            <w:vAlign w:val="center"/>
            <w:tcMar>
              <w:top w:w="90" w:type="dxa"/>
              <w:bottom w:w="90" w:type="dxa"/>
              <w:left w:w="100" w:type="dxa"/>
              <w:right w:w="100" w:type="dxa"/>
            </w:tcMar>
            <w:shd w:fill="F5F7F9"/>
          </w:tcPr>
          <w:p>
            <w:pPr>
              <w:spacing w:after="0" w:line="250" w:lineRule="auto"/>
              <w:jc w:val="center"/>
            </w:pPr>
            <w:r>
              <w:rPr>
                <w:sz w:val="20"/>
              </w:rPr>
              <w:t>FR04</w:t>
            </w:r>
          </w:p>
        </w:tc>
        <w:tc>
          <w:tcPr>
            <w:tcW w:type="dxa" w:w="878"/>
            <w:vAlign w:val="center"/>
            <w:tcMar>
              <w:top w:w="90" w:type="dxa"/>
              <w:bottom w:w="90" w:type="dxa"/>
              <w:left w:w="100" w:type="dxa"/>
              <w:right w:w="100" w:type="dxa"/>
            </w:tcMar>
            <w:shd w:fill="F5F7F9"/>
          </w:tcPr>
          <w:p>
            <w:pPr>
              <w:spacing w:after="0" w:line="250" w:lineRule="auto"/>
              <w:jc w:val="center"/>
            </w:pPr>
            <w:r>
              <w:rPr>
                <w:sz w:val="20"/>
              </w:rPr>
              <w:t>P0</w:t>
            </w:r>
          </w:p>
        </w:tc>
        <w:tc>
          <w:tcPr>
            <w:tcW w:type="dxa" w:w="8222"/>
            <w:vAlign w:val="center"/>
            <w:tcMar>
              <w:top w:w="90" w:type="dxa"/>
              <w:bottom w:w="90" w:type="dxa"/>
              <w:left w:w="100" w:type="dxa"/>
              <w:right w:w="100" w:type="dxa"/>
            </w:tcMar>
            <w:shd w:fill="F5F7F9"/>
          </w:tcPr>
          <w:p>
            <w:pPr>
              <w:spacing w:after="0" w:line="250" w:lineRule="auto"/>
            </w:pPr>
            <w:r>
              <w:rPr>
                <w:sz w:val="20"/>
              </w:rPr>
              <w:t>Show truthful activity. Every work status and result links to run events; no lost browser connection continues to display an unqualified live label.</w:t>
            </w:r>
          </w:p>
        </w:tc>
      </w:tr>
      <w:tr>
        <w:trPr>
          <w:cantSplit/>
        </w:trPr>
        <w:tc>
          <w:tcPr>
            <w:tcW w:type="dxa" w:w="893"/>
            <w:vAlign w:val="center"/>
            <w:tcMar>
              <w:top w:w="90" w:type="dxa"/>
              <w:bottom w:w="90" w:type="dxa"/>
              <w:left w:w="100" w:type="dxa"/>
              <w:right w:w="100" w:type="dxa"/>
            </w:tcMar>
            <w:shd w:fill="FFFFFF"/>
          </w:tcPr>
          <w:p>
            <w:pPr>
              <w:spacing w:after="0" w:line="250" w:lineRule="auto"/>
              <w:jc w:val="center"/>
            </w:pPr>
            <w:r>
              <w:rPr>
                <w:sz w:val="20"/>
              </w:rPr>
              <w:t>FR05</w:t>
            </w:r>
          </w:p>
        </w:tc>
        <w:tc>
          <w:tcPr>
            <w:tcW w:type="dxa" w:w="878"/>
            <w:vAlign w:val="center"/>
            <w:tcMar>
              <w:top w:w="90" w:type="dxa"/>
              <w:bottom w:w="90" w:type="dxa"/>
              <w:left w:w="100" w:type="dxa"/>
              <w:right w:w="100" w:type="dxa"/>
            </w:tcMar>
            <w:shd w:fill="FFFFFF"/>
          </w:tcPr>
          <w:p>
            <w:pPr>
              <w:spacing w:after="0" w:line="250" w:lineRule="auto"/>
              <w:jc w:val="center"/>
            </w:pPr>
            <w:r>
              <w:rPr>
                <w:sz w:val="20"/>
              </w:rPr>
              <w:t>P0</w:t>
            </w:r>
          </w:p>
        </w:tc>
        <w:tc>
          <w:tcPr>
            <w:tcW w:type="dxa" w:w="8222"/>
            <w:vAlign w:val="center"/>
            <w:tcMar>
              <w:top w:w="90" w:type="dxa"/>
              <w:bottom w:w="90" w:type="dxa"/>
              <w:left w:w="100" w:type="dxa"/>
              <w:right w:w="100" w:type="dxa"/>
            </w:tcMar>
            <w:shd w:fill="FFFFFF"/>
          </w:tcPr>
          <w:p>
            <w:pPr>
              <w:spacing w:after="0" w:line="250" w:lineRule="auto"/>
            </w:pPr>
            <w:r>
              <w:rPr>
                <w:sz w:val="20"/>
              </w:rPr>
              <w:t>Take and return browser control. No queued automation executes after user-control acknowledgment. Resume observes the current page and rejects stale actions.</w:t>
            </w:r>
          </w:p>
        </w:tc>
      </w:tr>
      <w:tr>
        <w:trPr>
          <w:cantSplit/>
        </w:trPr>
        <w:tc>
          <w:tcPr>
            <w:tcW w:type="dxa" w:w="893"/>
            <w:vAlign w:val="center"/>
            <w:tcMar>
              <w:top w:w="90" w:type="dxa"/>
              <w:bottom w:w="90" w:type="dxa"/>
              <w:left w:w="100" w:type="dxa"/>
              <w:right w:w="100" w:type="dxa"/>
            </w:tcMar>
            <w:shd w:fill="F5F7F9"/>
          </w:tcPr>
          <w:p>
            <w:pPr>
              <w:spacing w:after="0" w:line="250" w:lineRule="auto"/>
              <w:jc w:val="center"/>
            </w:pPr>
            <w:r>
              <w:rPr>
                <w:sz w:val="20"/>
              </w:rPr>
              <w:t>FR06</w:t>
            </w:r>
          </w:p>
        </w:tc>
        <w:tc>
          <w:tcPr>
            <w:tcW w:type="dxa" w:w="878"/>
            <w:vAlign w:val="center"/>
            <w:tcMar>
              <w:top w:w="90" w:type="dxa"/>
              <w:bottom w:w="90" w:type="dxa"/>
              <w:left w:w="100" w:type="dxa"/>
              <w:right w:w="100" w:type="dxa"/>
            </w:tcMar>
            <w:shd w:fill="F5F7F9"/>
          </w:tcPr>
          <w:p>
            <w:pPr>
              <w:spacing w:after="0" w:line="250" w:lineRule="auto"/>
              <w:jc w:val="center"/>
            </w:pPr>
            <w:r>
              <w:rPr>
                <w:sz w:val="20"/>
              </w:rPr>
              <w:t>P0</w:t>
            </w:r>
          </w:p>
        </w:tc>
        <w:tc>
          <w:tcPr>
            <w:tcW w:type="dxa" w:w="8222"/>
            <w:vAlign w:val="center"/>
            <w:tcMar>
              <w:top w:w="90" w:type="dxa"/>
              <w:bottom w:w="90" w:type="dxa"/>
              <w:left w:w="100" w:type="dxa"/>
              <w:right w:w="100" w:type="dxa"/>
            </w:tcMar>
            <w:shd w:fill="F5F7F9"/>
          </w:tcPr>
          <w:p>
            <w:pPr>
              <w:spacing w:after="0" w:line="250" w:lineRule="auto"/>
            </w:pPr>
            <w:r>
              <w:rPr>
                <w:sz w:val="20"/>
              </w:rPr>
              <w:t>Persist and recover runs. Restart restores tasks and approvals; uncertain mutation outcomes are surfaced without blind replay. Completed artifacts remain readable.</w:t>
            </w:r>
          </w:p>
        </w:tc>
      </w:tr>
      <w:tr>
        <w:trPr>
          <w:cantSplit/>
        </w:trPr>
        <w:tc>
          <w:tcPr>
            <w:tcW w:type="dxa" w:w="893"/>
            <w:vAlign w:val="center"/>
            <w:tcMar>
              <w:top w:w="90" w:type="dxa"/>
              <w:bottom w:w="90" w:type="dxa"/>
              <w:left w:w="100" w:type="dxa"/>
              <w:right w:w="100" w:type="dxa"/>
            </w:tcMar>
            <w:shd w:fill="FFFFFF"/>
          </w:tcPr>
          <w:p>
            <w:pPr>
              <w:spacing w:after="0" w:line="250" w:lineRule="auto"/>
              <w:jc w:val="center"/>
            </w:pPr>
            <w:r>
              <w:rPr>
                <w:sz w:val="20"/>
              </w:rPr>
              <w:t>FR07</w:t>
            </w:r>
          </w:p>
        </w:tc>
        <w:tc>
          <w:tcPr>
            <w:tcW w:type="dxa" w:w="878"/>
            <w:vAlign w:val="center"/>
            <w:tcMar>
              <w:top w:w="90" w:type="dxa"/>
              <w:bottom w:w="90" w:type="dxa"/>
              <w:left w:w="100" w:type="dxa"/>
              <w:right w:w="100" w:type="dxa"/>
            </w:tcMar>
            <w:shd w:fill="FFFFFF"/>
          </w:tcPr>
          <w:p>
            <w:pPr>
              <w:spacing w:after="0" w:line="250" w:lineRule="auto"/>
              <w:jc w:val="center"/>
            </w:pPr>
            <w:r>
              <w:rPr>
                <w:sz w:val="20"/>
              </w:rPr>
              <w:t>P0</w:t>
            </w:r>
          </w:p>
        </w:tc>
        <w:tc>
          <w:tcPr>
            <w:tcW w:type="dxa" w:w="8222"/>
            <w:vAlign w:val="center"/>
            <w:tcMar>
              <w:top w:w="90" w:type="dxa"/>
              <w:bottom w:w="90" w:type="dxa"/>
              <w:left w:w="100" w:type="dxa"/>
              <w:right w:w="100" w:type="dxa"/>
            </w:tcMar>
            <w:shd w:fill="FFFFFF"/>
          </w:tcPr>
          <w:p>
            <w:pPr>
              <w:spacing w:after="0" w:line="250" w:lineRule="auto"/>
            </w:pPr>
            <w:r>
              <w:rPr>
                <w:sz w:val="20"/>
              </w:rPr>
              <w:t>Produce reviewable artifacts. A brief, CSV and DOCX open successfully, retain sources and versions, and support a focused revision with the old version preserved.</w:t>
            </w:r>
          </w:p>
        </w:tc>
      </w:tr>
      <w:tr>
        <w:trPr>
          <w:cantSplit/>
        </w:trPr>
        <w:tc>
          <w:tcPr>
            <w:tcW w:type="dxa" w:w="893"/>
            <w:vAlign w:val="center"/>
            <w:tcMar>
              <w:top w:w="90" w:type="dxa"/>
              <w:bottom w:w="90" w:type="dxa"/>
              <w:left w:w="100" w:type="dxa"/>
              <w:right w:w="100" w:type="dxa"/>
            </w:tcMar>
            <w:shd w:fill="F5F7F9"/>
          </w:tcPr>
          <w:p>
            <w:pPr>
              <w:spacing w:after="0" w:line="250" w:lineRule="auto"/>
              <w:jc w:val="center"/>
            </w:pPr>
            <w:r>
              <w:rPr>
                <w:sz w:val="20"/>
              </w:rPr>
              <w:t>FR08</w:t>
            </w:r>
          </w:p>
        </w:tc>
        <w:tc>
          <w:tcPr>
            <w:tcW w:type="dxa" w:w="878"/>
            <w:vAlign w:val="center"/>
            <w:tcMar>
              <w:top w:w="90" w:type="dxa"/>
              <w:bottom w:w="90" w:type="dxa"/>
              <w:left w:w="100" w:type="dxa"/>
              <w:right w:w="100" w:type="dxa"/>
            </w:tcMar>
            <w:shd w:fill="F5F7F9"/>
          </w:tcPr>
          <w:p>
            <w:pPr>
              <w:spacing w:after="0" w:line="250" w:lineRule="auto"/>
              <w:jc w:val="center"/>
            </w:pPr>
            <w:r>
              <w:rPr>
                <w:sz w:val="20"/>
              </w:rPr>
              <w:t>P0</w:t>
            </w:r>
          </w:p>
        </w:tc>
        <w:tc>
          <w:tcPr>
            <w:tcW w:type="dxa" w:w="8222"/>
            <w:vAlign w:val="center"/>
            <w:tcMar>
              <w:top w:w="90" w:type="dxa"/>
              <w:bottom w:w="90" w:type="dxa"/>
              <w:left w:w="100" w:type="dxa"/>
              <w:right w:w="100" w:type="dxa"/>
            </w:tcMar>
            <w:shd w:fill="F5F7F9"/>
          </w:tcPr>
          <w:p>
            <w:pPr>
              <w:spacing w:after="0" w:line="250" w:lineRule="auto"/>
            </w:pPr>
            <w:r>
              <w:rPr>
                <w:sz w:val="20"/>
              </w:rPr>
              <w:t>Enforce scope and approvals. Denied actions cannot execute through a helper or alternate supported tool. Changing approved parameters invalidates the decision.</w:t>
            </w:r>
          </w:p>
        </w:tc>
      </w:tr>
      <w:tr>
        <w:trPr>
          <w:cantSplit/>
        </w:trPr>
        <w:tc>
          <w:tcPr>
            <w:tcW w:type="dxa" w:w="893"/>
            <w:vAlign w:val="center"/>
            <w:tcMar>
              <w:top w:w="90" w:type="dxa"/>
              <w:bottom w:w="90" w:type="dxa"/>
              <w:left w:w="100" w:type="dxa"/>
              <w:right w:w="100" w:type="dxa"/>
            </w:tcMar>
            <w:shd w:fill="FFFFFF"/>
          </w:tcPr>
          <w:p>
            <w:pPr>
              <w:spacing w:after="0" w:line="250" w:lineRule="auto"/>
              <w:jc w:val="center"/>
            </w:pPr>
            <w:r>
              <w:rPr>
                <w:sz w:val="20"/>
              </w:rPr>
              <w:t>FR09</w:t>
            </w:r>
          </w:p>
        </w:tc>
        <w:tc>
          <w:tcPr>
            <w:tcW w:type="dxa" w:w="878"/>
            <w:vAlign w:val="center"/>
            <w:tcMar>
              <w:top w:w="90" w:type="dxa"/>
              <w:bottom w:w="90" w:type="dxa"/>
              <w:left w:w="100" w:type="dxa"/>
              <w:right w:w="100" w:type="dxa"/>
            </w:tcMar>
            <w:shd w:fill="FFFFFF"/>
          </w:tcPr>
          <w:p>
            <w:pPr>
              <w:spacing w:after="0" w:line="250" w:lineRule="auto"/>
              <w:jc w:val="center"/>
            </w:pPr>
            <w:r>
              <w:rPr>
                <w:sz w:val="20"/>
              </w:rPr>
              <w:t>P0</w:t>
            </w:r>
          </w:p>
        </w:tc>
        <w:tc>
          <w:tcPr>
            <w:tcW w:type="dxa" w:w="8222"/>
            <w:vAlign w:val="center"/>
            <w:tcMar>
              <w:top w:w="90" w:type="dxa"/>
              <w:bottom w:w="90" w:type="dxa"/>
              <w:left w:w="100" w:type="dxa"/>
              <w:right w:w="100" w:type="dxa"/>
            </w:tcMar>
            <w:shd w:fill="FFFFFF"/>
          </w:tcPr>
          <w:p>
            <w:pPr>
              <w:spacing w:after="0" w:line="250" w:lineRule="auto"/>
            </w:pPr>
            <w:r>
              <w:rPr>
                <w:sz w:val="20"/>
              </w:rPr>
              <w:t>Bound collaboration. One helper can complete a distinct subtask with evidence; the owner produces the final result. Delegation depth and total limits cannot be exceeded.</w:t>
            </w:r>
          </w:p>
        </w:tc>
      </w:tr>
      <w:tr>
        <w:trPr>
          <w:cantSplit/>
        </w:trPr>
        <w:tc>
          <w:tcPr>
            <w:tcW w:type="dxa" w:w="893"/>
            <w:vAlign w:val="center"/>
            <w:tcMar>
              <w:top w:w="90" w:type="dxa"/>
              <w:bottom w:w="90" w:type="dxa"/>
              <w:left w:w="100" w:type="dxa"/>
              <w:right w:w="100" w:type="dxa"/>
            </w:tcMar>
            <w:shd w:fill="F5F7F9"/>
          </w:tcPr>
          <w:p>
            <w:pPr>
              <w:spacing w:after="0" w:line="250" w:lineRule="auto"/>
              <w:jc w:val="center"/>
            </w:pPr>
            <w:r>
              <w:rPr>
                <w:sz w:val="20"/>
              </w:rPr>
              <w:t>FR10</w:t>
            </w:r>
          </w:p>
        </w:tc>
        <w:tc>
          <w:tcPr>
            <w:tcW w:type="dxa" w:w="878"/>
            <w:vAlign w:val="center"/>
            <w:tcMar>
              <w:top w:w="90" w:type="dxa"/>
              <w:bottom w:w="90" w:type="dxa"/>
              <w:left w:w="100" w:type="dxa"/>
              <w:right w:w="100" w:type="dxa"/>
            </w:tcMar>
            <w:shd w:fill="F5F7F9"/>
          </w:tcPr>
          <w:p>
            <w:pPr>
              <w:spacing w:after="0" w:line="250" w:lineRule="auto"/>
              <w:jc w:val="center"/>
            </w:pPr>
            <w:r>
              <w:rPr>
                <w:sz w:val="20"/>
              </w:rPr>
              <w:t>P0</w:t>
            </w:r>
          </w:p>
        </w:tc>
        <w:tc>
          <w:tcPr>
            <w:tcW w:type="dxa" w:w="8222"/>
            <w:vAlign w:val="center"/>
            <w:tcMar>
              <w:top w:w="90" w:type="dxa"/>
              <w:bottom w:w="90" w:type="dxa"/>
              <w:left w:w="100" w:type="dxa"/>
              <w:right w:w="100" w:type="dxa"/>
            </w:tcMar>
            <w:shd w:fill="F5F7F9"/>
          </w:tcPr>
          <w:p>
            <w:pPr>
              <w:spacing w:after="0" w:line="250" w:lineRule="auto"/>
            </w:pPr>
            <w:r>
              <w:rPr>
                <w:sz w:val="20"/>
              </w:rPr>
              <w:t>Protect concurrent edits. A changed base file raises a conflict. Accepting or discarding one draft preserves another agent’s outputs and unrelated user edits.</w:t>
            </w:r>
          </w:p>
        </w:tc>
      </w:tr>
      <w:tr>
        <w:trPr>
          <w:cantSplit/>
        </w:trPr>
        <w:tc>
          <w:tcPr>
            <w:tcW w:type="dxa" w:w="893"/>
            <w:vAlign w:val="center"/>
            <w:tcMar>
              <w:top w:w="90" w:type="dxa"/>
              <w:bottom w:w="90" w:type="dxa"/>
              <w:left w:w="100" w:type="dxa"/>
              <w:right w:w="100" w:type="dxa"/>
            </w:tcMar>
            <w:shd w:fill="FFFFFF"/>
          </w:tcPr>
          <w:p>
            <w:pPr>
              <w:spacing w:after="0" w:line="250" w:lineRule="auto"/>
              <w:jc w:val="center"/>
            </w:pPr>
            <w:r>
              <w:rPr>
                <w:sz w:val="20"/>
              </w:rPr>
              <w:t>FR11</w:t>
            </w:r>
          </w:p>
        </w:tc>
        <w:tc>
          <w:tcPr>
            <w:tcW w:type="dxa" w:w="878"/>
            <w:vAlign w:val="center"/>
            <w:tcMar>
              <w:top w:w="90" w:type="dxa"/>
              <w:bottom w:w="90" w:type="dxa"/>
              <w:left w:w="100" w:type="dxa"/>
              <w:right w:w="100" w:type="dxa"/>
            </w:tcMar>
            <w:shd w:fill="FFFFFF"/>
          </w:tcPr>
          <w:p>
            <w:pPr>
              <w:spacing w:after="0" w:line="250" w:lineRule="auto"/>
              <w:jc w:val="center"/>
            </w:pPr>
            <w:r>
              <w:rPr>
                <w:sz w:val="20"/>
              </w:rPr>
              <w:t>P0</w:t>
            </w:r>
          </w:p>
        </w:tc>
        <w:tc>
          <w:tcPr>
            <w:tcW w:type="dxa" w:w="8222"/>
            <w:vAlign w:val="center"/>
            <w:tcMar>
              <w:top w:w="90" w:type="dxa"/>
              <w:bottom w:w="90" w:type="dxa"/>
              <w:left w:w="100" w:type="dxa"/>
              <w:right w:w="100" w:type="dxa"/>
            </w:tcMar>
            <w:shd w:fill="FFFFFF"/>
          </w:tcPr>
          <w:p>
            <w:pPr>
              <w:spacing w:after="0" w:line="250" w:lineRule="auto"/>
            </w:pPr>
            <w:r>
              <w:rPr>
                <w:sz w:val="20"/>
              </w:rPr>
              <w:t>Offer equivalent flat controls. Keyboard users can create, inspect, pause, take over, review and revise without interacting with the 3D scene.</w:t>
            </w:r>
          </w:p>
        </w:tc>
      </w:tr>
      <w:tr>
        <w:trPr>
          <w:cantSplit/>
        </w:trPr>
        <w:tc>
          <w:tcPr>
            <w:tcW w:type="dxa" w:w="893"/>
            <w:vAlign w:val="center"/>
            <w:tcMar>
              <w:top w:w="90" w:type="dxa"/>
              <w:bottom w:w="90" w:type="dxa"/>
              <w:left w:w="100" w:type="dxa"/>
              <w:right w:w="100" w:type="dxa"/>
            </w:tcMar>
            <w:shd w:fill="F5F7F9"/>
          </w:tcPr>
          <w:p>
            <w:pPr>
              <w:spacing w:after="0" w:line="250" w:lineRule="auto"/>
              <w:jc w:val="center"/>
            </w:pPr>
            <w:r>
              <w:rPr>
                <w:sz w:val="20"/>
              </w:rPr>
              <w:t>FR12</w:t>
            </w:r>
          </w:p>
        </w:tc>
        <w:tc>
          <w:tcPr>
            <w:tcW w:type="dxa" w:w="878"/>
            <w:vAlign w:val="center"/>
            <w:tcMar>
              <w:top w:w="90" w:type="dxa"/>
              <w:bottom w:w="90" w:type="dxa"/>
              <w:left w:w="100" w:type="dxa"/>
              <w:right w:w="100" w:type="dxa"/>
            </w:tcMar>
            <w:shd w:fill="F5F7F9"/>
          </w:tcPr>
          <w:p>
            <w:pPr>
              <w:spacing w:after="0" w:line="250" w:lineRule="auto"/>
              <w:jc w:val="center"/>
            </w:pPr>
            <w:r>
              <w:rPr>
                <w:sz w:val="20"/>
              </w:rPr>
              <w:t>P0</w:t>
            </w:r>
          </w:p>
        </w:tc>
        <w:tc>
          <w:tcPr>
            <w:tcW w:type="dxa" w:w="8222"/>
            <w:vAlign w:val="center"/>
            <w:tcMar>
              <w:top w:w="90" w:type="dxa"/>
              <w:bottom w:w="90" w:type="dxa"/>
              <w:left w:w="100" w:type="dxa"/>
              <w:right w:w="100" w:type="dxa"/>
            </w:tcMar>
            <w:shd w:fill="F5F7F9"/>
          </w:tcPr>
          <w:p>
            <w:pPr>
              <w:spacing w:after="0" w:line="250" w:lineRule="auto"/>
            </w:pPr>
            <w:r>
              <w:rPr>
                <w:sz w:val="20"/>
              </w:rPr>
              <w:t>Respect idle and budget limits. Cosmetic routines generate zero model calls. When a limit is reached, no new action is dispatched and partial results are retained.</w:t>
            </w:r>
          </w:p>
        </w:tc>
      </w:tr>
      <w:tr>
        <w:trPr>
          <w:cantSplit/>
        </w:trPr>
        <w:tc>
          <w:tcPr>
            <w:tcW w:type="dxa" w:w="893"/>
            <w:vAlign w:val="center"/>
            <w:tcMar>
              <w:top w:w="90" w:type="dxa"/>
              <w:bottom w:w="90" w:type="dxa"/>
              <w:left w:w="100" w:type="dxa"/>
              <w:right w:w="100" w:type="dxa"/>
            </w:tcMar>
            <w:shd w:fill="FFFFFF"/>
          </w:tcPr>
          <w:p>
            <w:pPr>
              <w:spacing w:after="0" w:line="250" w:lineRule="auto"/>
              <w:jc w:val="center"/>
            </w:pPr>
            <w:r>
              <w:rPr>
                <w:sz w:val="20"/>
              </w:rPr>
              <w:t>FR13</w:t>
            </w:r>
          </w:p>
        </w:tc>
        <w:tc>
          <w:tcPr>
            <w:tcW w:type="dxa" w:w="878"/>
            <w:vAlign w:val="center"/>
            <w:tcMar>
              <w:top w:w="90" w:type="dxa"/>
              <w:bottom w:w="90" w:type="dxa"/>
              <w:left w:w="100" w:type="dxa"/>
              <w:right w:w="100" w:type="dxa"/>
            </w:tcMar>
            <w:shd w:fill="FFFFFF"/>
          </w:tcPr>
          <w:p>
            <w:pPr>
              <w:spacing w:after="0" w:line="250" w:lineRule="auto"/>
              <w:jc w:val="center"/>
            </w:pPr>
            <w:r>
              <w:rPr>
                <w:sz w:val="20"/>
              </w:rPr>
              <w:t>P1</w:t>
            </w:r>
          </w:p>
        </w:tc>
        <w:tc>
          <w:tcPr>
            <w:tcW w:type="dxa" w:w="8222"/>
            <w:vAlign w:val="center"/>
            <w:tcMar>
              <w:top w:w="90" w:type="dxa"/>
              <w:bottom w:w="90" w:type="dxa"/>
              <w:left w:w="100" w:type="dxa"/>
              <w:right w:w="100" w:type="dxa"/>
            </w:tcMar>
            <w:shd w:fill="FFFFFF"/>
          </w:tcPr>
          <w:p>
            <w:pPr>
              <w:spacing w:after="0" w:line="250" w:lineRule="auto"/>
            </w:pPr>
            <w:r>
              <w:rPr>
                <w:sz w:val="20"/>
              </w:rPr>
              <w:t>Support dedicated persistent login profiles. Restart retains an explicitly selected profile; another project or agent receives no implicit access.</w:t>
            </w:r>
          </w:p>
        </w:tc>
      </w:tr>
      <w:tr>
        <w:trPr>
          <w:cantSplit/>
        </w:trPr>
        <w:tc>
          <w:tcPr>
            <w:tcW w:type="dxa" w:w="893"/>
            <w:vAlign w:val="center"/>
            <w:tcMar>
              <w:top w:w="90" w:type="dxa"/>
              <w:bottom w:w="90" w:type="dxa"/>
              <w:left w:w="100" w:type="dxa"/>
              <w:right w:w="100" w:type="dxa"/>
            </w:tcMar>
            <w:shd w:fill="F5F7F9"/>
          </w:tcPr>
          <w:p>
            <w:pPr>
              <w:spacing w:after="0" w:line="250" w:lineRule="auto"/>
              <w:jc w:val="center"/>
            </w:pPr>
            <w:r>
              <w:rPr>
                <w:sz w:val="20"/>
              </w:rPr>
              <w:t>FR14</w:t>
            </w:r>
          </w:p>
        </w:tc>
        <w:tc>
          <w:tcPr>
            <w:tcW w:type="dxa" w:w="878"/>
            <w:vAlign w:val="center"/>
            <w:tcMar>
              <w:top w:w="90" w:type="dxa"/>
              <w:bottom w:w="90" w:type="dxa"/>
              <w:left w:w="100" w:type="dxa"/>
              <w:right w:w="100" w:type="dxa"/>
            </w:tcMar>
            <w:shd w:fill="F5F7F9"/>
          </w:tcPr>
          <w:p>
            <w:pPr>
              <w:spacing w:after="0" w:line="250" w:lineRule="auto"/>
              <w:jc w:val="center"/>
            </w:pPr>
            <w:r>
              <w:rPr>
                <w:sz w:val="20"/>
              </w:rPr>
              <w:t>P1</w:t>
            </w:r>
          </w:p>
        </w:tc>
        <w:tc>
          <w:tcPr>
            <w:tcW w:type="dxa" w:w="8222"/>
            <w:vAlign w:val="center"/>
            <w:tcMar>
              <w:top w:w="90" w:type="dxa"/>
              <w:bottom w:w="90" w:type="dxa"/>
              <w:left w:w="100" w:type="dxa"/>
              <w:right w:w="100" w:type="dxa"/>
            </w:tcMar>
            <w:shd w:fill="F5F7F9"/>
          </w:tcPr>
          <w:p>
            <w:pPr>
              <w:spacing w:after="0" w:line="250" w:lineRule="auto"/>
            </w:pPr>
            <w:r>
              <w:rPr>
                <w:sz w:val="20"/>
              </w:rPr>
              <w:t>Run productive routines. A missed schedule catches up at most once; overlapping instances never run. Disable prevents future dispatch and reports any active run.</w:t>
            </w:r>
          </w:p>
        </w:tc>
      </w:tr>
      <w:tr>
        <w:trPr>
          <w:cantSplit/>
        </w:trPr>
        <w:tc>
          <w:tcPr>
            <w:tcW w:type="dxa" w:w="893"/>
            <w:vAlign w:val="center"/>
            <w:tcMar>
              <w:top w:w="90" w:type="dxa"/>
              <w:bottom w:w="90" w:type="dxa"/>
              <w:left w:w="100" w:type="dxa"/>
              <w:right w:w="100" w:type="dxa"/>
            </w:tcMar>
            <w:shd w:fill="FFFFFF"/>
          </w:tcPr>
          <w:p>
            <w:pPr>
              <w:spacing w:after="0" w:line="250" w:lineRule="auto"/>
              <w:jc w:val="center"/>
            </w:pPr>
            <w:r>
              <w:rPr>
                <w:sz w:val="20"/>
              </w:rPr>
              <w:t>FR15</w:t>
            </w:r>
          </w:p>
        </w:tc>
        <w:tc>
          <w:tcPr>
            <w:tcW w:type="dxa" w:w="878"/>
            <w:vAlign w:val="center"/>
            <w:tcMar>
              <w:top w:w="90" w:type="dxa"/>
              <w:bottom w:w="90" w:type="dxa"/>
              <w:left w:w="100" w:type="dxa"/>
              <w:right w:w="100" w:type="dxa"/>
            </w:tcMar>
            <w:shd w:fill="FFFFFF"/>
          </w:tcPr>
          <w:p>
            <w:pPr>
              <w:spacing w:after="0" w:line="250" w:lineRule="auto"/>
              <w:jc w:val="center"/>
            </w:pPr>
            <w:r>
              <w:rPr>
                <w:sz w:val="20"/>
              </w:rPr>
              <w:t>P1</w:t>
            </w:r>
          </w:p>
        </w:tc>
        <w:tc>
          <w:tcPr>
            <w:tcW w:type="dxa" w:w="8222"/>
            <w:vAlign w:val="center"/>
            <w:tcMar>
              <w:top w:w="90" w:type="dxa"/>
              <w:bottom w:w="90" w:type="dxa"/>
              <w:left w:w="100" w:type="dxa"/>
              <w:right w:w="100" w:type="dxa"/>
            </w:tcMar>
            <w:shd w:fill="FFFFFF"/>
          </w:tcPr>
          <w:p>
            <w:pPr>
              <w:spacing w:after="0" w:line="250" w:lineRule="auto"/>
            </w:pPr>
            <w:r>
              <w:rPr>
                <w:sz w:val="20"/>
              </w:rPr>
              <w:t>Add a second runtime or connector. It conforms to the same ownership, policy, cancellation, evidence and capability-reporting contract.</w:t>
            </w:r>
          </w:p>
        </w:tc>
      </w:tr>
    </w:tbl>
    <w:p>
      <w:pPr>
        <w:spacing w:after="40"/>
      </w:pPr>
      <w:r/>
    </w:p>
    <w:p>
      <w:pPr>
        <w:pStyle w:val="Heading1"/>
      </w:pPr>
      <w:r>
        <w:t>14 Quality targets and evaluation</w:t>
      </w:r>
    </w:p>
    <w:p>
      <w:pPr>
        <w:pStyle w:val="Heading2"/>
      </w:pPr>
      <w:r>
        <w:t>Proposed release targets</w:t>
      </w:r>
    </w:p>
    <w:p>
      <w:r>
        <w:t>Measure these on a documented Apple Silicon reference machine with six visible agents and two active browser tasks. Record memory, operating-system version, window size, test pages and network conditions. Targets may change after baseline measurement; no performance numbers below have been established by the current prototype.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01"/>
        <w:gridCol w:w="8093"/>
      </w:tblGrid>
      <w:tr>
        <w:trPr>
          <w:cantSplit/>
          <w:tblHeader/>
        </w:trPr>
        <w:tc>
          <w:tcPr>
            <w:tcW w:type="dxa" w:w="1901"/>
            <w:vAlign w:val="center"/>
            <w:tcMar>
              <w:top w:w="90" w:type="dxa"/>
              <w:bottom w:w="90" w:type="dxa"/>
              <w:left w:w="100" w:type="dxa"/>
              <w:right w:w="100" w:type="dxa"/>
            </w:tcMar>
            <w:shd w:fill="E6EDF2"/>
          </w:tcPr>
          <w:p>
            <w:pPr>
              <w:spacing w:after="0" w:line="250" w:lineRule="auto"/>
            </w:pPr>
            <w:r>
              <w:rPr>
                <w:b/>
                <w:sz w:val="20"/>
              </w:rPr>
              <w:t>Area</w:t>
            </w:r>
          </w:p>
        </w:tc>
        <w:tc>
          <w:tcPr>
            <w:tcW w:type="dxa" w:w="8093"/>
            <w:vAlign w:val="center"/>
            <w:tcMar>
              <w:top w:w="90" w:type="dxa"/>
              <w:bottom w:w="90" w:type="dxa"/>
              <w:left w:w="100" w:type="dxa"/>
              <w:right w:w="100" w:type="dxa"/>
            </w:tcMar>
            <w:shd w:fill="E6EDF2"/>
          </w:tcPr>
          <w:p>
            <w:pPr>
              <w:spacing w:after="0" w:line="250" w:lineRule="auto"/>
            </w:pPr>
            <w:r>
              <w:rPr>
                <w:b/>
                <w:sz w:val="20"/>
              </w:rPr>
              <w:t>Initial target and measurement</w:t>
            </w:r>
          </w:p>
        </w:tc>
      </w:tr>
      <w:tr>
        <w:trPr>
          <w:cantSplit/>
        </w:trPr>
        <w:tc>
          <w:tcPr>
            <w:tcW w:type="dxa" w:w="1901"/>
            <w:vAlign w:val="center"/>
            <w:tcMar>
              <w:top w:w="90" w:type="dxa"/>
              <w:bottom w:w="90" w:type="dxa"/>
              <w:left w:w="100" w:type="dxa"/>
              <w:right w:w="100" w:type="dxa"/>
            </w:tcMar>
            <w:shd w:fill="FFFFFF"/>
          </w:tcPr>
          <w:p>
            <w:pPr>
              <w:spacing w:after="0" w:line="250" w:lineRule="auto"/>
            </w:pPr>
            <w:r>
              <w:rPr>
                <w:sz w:val="20"/>
              </w:rPr>
              <w:t>Office responsiveness</w:t>
            </w:r>
          </w:p>
        </w:tc>
        <w:tc>
          <w:tcPr>
            <w:tcW w:type="dxa" w:w="8093"/>
            <w:vAlign w:val="center"/>
            <w:tcMar>
              <w:top w:w="90" w:type="dxa"/>
              <w:bottom w:w="90" w:type="dxa"/>
              <w:left w:w="100" w:type="dxa"/>
              <w:right w:w="100" w:type="dxa"/>
            </w:tcMar>
            <w:shd w:fill="FFFFFF"/>
          </w:tcPr>
          <w:p>
            <w:pPr>
              <w:spacing w:after="0" w:line="250" w:lineRule="auto"/>
            </w:pPr>
            <w:r>
              <w:rPr>
                <w:sz w:val="20"/>
              </w:rPr>
              <w:t>At least 30 frames per second during the reference workload; frame-time p95 at or below 33 ms. Offer reduced motion and a flat view.</w:t>
            </w:r>
          </w:p>
        </w:tc>
      </w:tr>
      <w:tr>
        <w:trPr>
          <w:cantSplit/>
        </w:trPr>
        <w:tc>
          <w:tcPr>
            <w:tcW w:type="dxa" w:w="1901"/>
            <w:vAlign w:val="center"/>
            <w:tcMar>
              <w:top w:w="90" w:type="dxa"/>
              <w:bottom w:w="90" w:type="dxa"/>
              <w:left w:w="100" w:type="dxa"/>
              <w:right w:w="100" w:type="dxa"/>
            </w:tcMar>
            <w:shd w:fill="F5F7F9"/>
          </w:tcPr>
          <w:p>
            <w:pPr>
              <w:spacing w:after="0" w:line="250" w:lineRule="auto"/>
            </w:pPr>
            <w:r>
              <w:rPr>
                <w:sz w:val="20"/>
              </w:rPr>
              <w:t>Screen freshness</w:t>
            </w:r>
          </w:p>
        </w:tc>
        <w:tc>
          <w:tcPr>
            <w:tcW w:type="dxa" w:w="8093"/>
            <w:vAlign w:val="center"/>
            <w:tcMar>
              <w:top w:w="90" w:type="dxa"/>
              <w:bottom w:w="90" w:type="dxa"/>
              <w:left w:w="100" w:type="dxa"/>
              <w:right w:w="100" w:type="dxa"/>
            </w:tcMar>
            <w:shd w:fill="F5F7F9"/>
          </w:tcPr>
          <w:p>
            <w:pPr>
              <w:spacing w:after="0" w:line="250" w:lineRule="auto"/>
            </w:pPr>
            <w:r>
              <w:rPr>
                <w:sz w:val="20"/>
              </w:rPr>
              <w:t>Expanded browser frame age p95 below 1 second; desk preview below 3 seconds. Label older frames and disconnected sessions explicitly.</w:t>
            </w:r>
          </w:p>
        </w:tc>
      </w:tr>
      <w:tr>
        <w:trPr>
          <w:cantSplit/>
        </w:trPr>
        <w:tc>
          <w:tcPr>
            <w:tcW w:type="dxa" w:w="1901"/>
            <w:vAlign w:val="center"/>
            <w:tcMar>
              <w:top w:w="90" w:type="dxa"/>
              <w:bottom w:w="90" w:type="dxa"/>
              <w:left w:w="100" w:type="dxa"/>
              <w:right w:w="100" w:type="dxa"/>
            </w:tcMar>
            <w:shd w:fill="FFFFFF"/>
          </w:tcPr>
          <w:p>
            <w:pPr>
              <w:spacing w:after="0" w:line="250" w:lineRule="auto"/>
            </w:pPr>
            <w:r>
              <w:rPr>
                <w:sz w:val="20"/>
              </w:rPr>
              <w:t>Control handoff</w:t>
            </w:r>
          </w:p>
        </w:tc>
        <w:tc>
          <w:tcPr>
            <w:tcW w:type="dxa" w:w="8093"/>
            <w:vAlign w:val="center"/>
            <w:tcMar>
              <w:top w:w="90" w:type="dxa"/>
              <w:bottom w:w="90" w:type="dxa"/>
              <w:left w:w="100" w:type="dxa"/>
              <w:right w:w="100" w:type="dxa"/>
            </w:tcMar>
            <w:shd w:fill="FFFFFF"/>
          </w:tcPr>
          <w:p>
            <w:pPr>
              <w:spacing w:after="0" w:line="250" w:lineRule="auto"/>
            </w:pPr>
            <w:r>
              <w:rPr>
                <w:sz w:val="20"/>
              </w:rPr>
              <w:t>Prevent new dispatch immediately. Acknowledge within 1 second after the current action settles; display ongoing or uncertain actions if it cannot settle promptly.</w:t>
            </w:r>
          </w:p>
        </w:tc>
      </w:tr>
      <w:tr>
        <w:trPr>
          <w:cantSplit/>
        </w:trPr>
        <w:tc>
          <w:tcPr>
            <w:tcW w:type="dxa" w:w="1901"/>
            <w:vAlign w:val="center"/>
            <w:tcMar>
              <w:top w:w="90" w:type="dxa"/>
              <w:bottom w:w="90" w:type="dxa"/>
              <w:left w:w="100" w:type="dxa"/>
              <w:right w:w="100" w:type="dxa"/>
            </w:tcMar>
            <w:shd w:fill="F5F7F9"/>
          </w:tcPr>
          <w:p>
            <w:pPr>
              <w:spacing w:after="0" w:line="250" w:lineRule="auto"/>
            </w:pPr>
            <w:r>
              <w:rPr>
                <w:sz w:val="20"/>
              </w:rPr>
              <w:t>Task visibility</w:t>
            </w:r>
          </w:p>
        </w:tc>
        <w:tc>
          <w:tcPr>
            <w:tcW w:type="dxa" w:w="8093"/>
            <w:vAlign w:val="center"/>
            <w:tcMar>
              <w:top w:w="90" w:type="dxa"/>
              <w:bottom w:w="90" w:type="dxa"/>
              <w:left w:w="100" w:type="dxa"/>
              <w:right w:w="100" w:type="dxa"/>
            </w:tcMar>
            <w:shd w:fill="F5F7F9"/>
          </w:tcPr>
          <w:p>
            <w:pPr>
              <w:spacing w:after="0" w:line="250" w:lineRule="auto"/>
            </w:pPr>
            <w:r>
              <w:rPr>
                <w:sz w:val="20"/>
              </w:rPr>
              <w:t>A dispatched tool action or new blocker appears within 1 second of the local runtime event at p95.</w:t>
            </w:r>
          </w:p>
        </w:tc>
      </w:tr>
      <w:tr>
        <w:trPr>
          <w:cantSplit/>
        </w:trPr>
        <w:tc>
          <w:tcPr>
            <w:tcW w:type="dxa" w:w="1901"/>
            <w:vAlign w:val="center"/>
            <w:tcMar>
              <w:top w:w="90" w:type="dxa"/>
              <w:bottom w:w="90" w:type="dxa"/>
              <w:left w:w="100" w:type="dxa"/>
              <w:right w:w="100" w:type="dxa"/>
            </w:tcMar>
            <w:shd w:fill="FFFFFF"/>
          </w:tcPr>
          <w:p>
            <w:pPr>
              <w:spacing w:after="0" w:line="250" w:lineRule="auto"/>
            </w:pPr>
            <w:r>
              <w:rPr>
                <w:sz w:val="20"/>
              </w:rPr>
              <w:t>Persistence</w:t>
            </w:r>
          </w:p>
        </w:tc>
        <w:tc>
          <w:tcPr>
            <w:tcW w:type="dxa" w:w="8093"/>
            <w:vAlign w:val="center"/>
            <w:tcMar>
              <w:top w:w="90" w:type="dxa"/>
              <w:bottom w:w="90" w:type="dxa"/>
              <w:left w:w="100" w:type="dxa"/>
              <w:right w:w="100" w:type="dxa"/>
            </w:tcMar>
            <w:shd w:fill="FFFFFF"/>
          </w:tcPr>
          <w:p>
            <w:pPr>
              <w:spacing w:after="0" w:line="250" w:lineRule="auto"/>
            </w:pPr>
            <w:r>
              <w:rPr>
                <w:sz w:val="20"/>
              </w:rPr>
              <w:t>No accepted artifact loss across the restart test suite. Interrupted actions retain enough context to reconcile or request review.</w:t>
            </w:r>
          </w:p>
        </w:tc>
      </w:tr>
      <w:tr>
        <w:trPr>
          <w:cantSplit/>
        </w:trPr>
        <w:tc>
          <w:tcPr>
            <w:tcW w:type="dxa" w:w="1901"/>
            <w:vAlign w:val="center"/>
            <w:tcMar>
              <w:top w:w="90" w:type="dxa"/>
              <w:bottom w:w="90" w:type="dxa"/>
              <w:left w:w="100" w:type="dxa"/>
              <w:right w:w="100" w:type="dxa"/>
            </w:tcMar>
            <w:shd w:fill="F5F7F9"/>
          </w:tcPr>
          <w:p>
            <w:pPr>
              <w:spacing w:after="0" w:line="250" w:lineRule="auto"/>
            </w:pPr>
            <w:r>
              <w:rPr>
                <w:sz w:val="20"/>
              </w:rPr>
              <w:t>Resource bounds</w:t>
            </w:r>
          </w:p>
        </w:tc>
        <w:tc>
          <w:tcPr>
            <w:tcW w:type="dxa" w:w="8093"/>
            <w:vAlign w:val="center"/>
            <w:tcMar>
              <w:top w:w="90" w:type="dxa"/>
              <w:bottom w:w="90" w:type="dxa"/>
              <w:left w:w="100" w:type="dxa"/>
              <w:right w:w="100" w:type="dxa"/>
            </w:tcMar>
            <w:shd w:fill="F5F7F9"/>
          </w:tcPr>
          <w:p>
            <w:pPr>
              <w:spacing w:after="0" w:line="250" w:lineRule="auto"/>
            </w:pPr>
            <w:r>
              <w:rPr>
                <w:sz w:val="20"/>
              </w:rPr>
              <w:t>Active model and browser concurrency remain capped. Monitor total process memory for one hour; investigate sustained growth after repeated completed tasks.</w:t>
            </w:r>
          </w:p>
        </w:tc>
      </w:tr>
      <w:tr>
        <w:trPr>
          <w:cantSplit/>
        </w:trPr>
        <w:tc>
          <w:tcPr>
            <w:tcW w:type="dxa" w:w="1901"/>
            <w:vAlign w:val="center"/>
            <w:tcMar>
              <w:top w:w="90" w:type="dxa"/>
              <w:bottom w:w="90" w:type="dxa"/>
              <w:left w:w="100" w:type="dxa"/>
              <w:right w:w="100" w:type="dxa"/>
            </w:tcMar>
            <w:shd w:fill="FFFFFF"/>
          </w:tcPr>
          <w:p>
            <w:pPr>
              <w:spacing w:after="0" w:line="250" w:lineRule="auto"/>
            </w:pPr>
            <w:r>
              <w:rPr>
                <w:sz w:val="20"/>
              </w:rPr>
              <w:t>Usability</w:t>
            </w:r>
          </w:p>
        </w:tc>
        <w:tc>
          <w:tcPr>
            <w:tcW w:type="dxa" w:w="8093"/>
            <w:vAlign w:val="center"/>
            <w:tcMar>
              <w:top w:w="90" w:type="dxa"/>
              <w:bottom w:w="90" w:type="dxa"/>
              <w:left w:w="100" w:type="dxa"/>
              <w:right w:w="100" w:type="dxa"/>
            </w:tcMar>
            <w:shd w:fill="FFFFFF"/>
          </w:tcPr>
          <w:p>
            <w:pPr>
              <w:spacing w:after="0" w:line="250" w:lineRule="auto"/>
            </w:pPr>
            <w:r>
              <w:rPr>
                <w:sz w:val="20"/>
              </w:rPr>
              <w:t>Four of five pilot users can assign, inspect and review the first task without coaching after onboarding.</w:t>
            </w:r>
          </w:p>
        </w:tc>
      </w:tr>
      <w:tr>
        <w:trPr>
          <w:cantSplit/>
        </w:trPr>
        <w:tc>
          <w:tcPr>
            <w:tcW w:type="dxa" w:w="1901"/>
            <w:vAlign w:val="center"/>
            <w:tcMar>
              <w:top w:w="90" w:type="dxa"/>
              <w:bottom w:w="90" w:type="dxa"/>
              <w:left w:w="100" w:type="dxa"/>
              <w:right w:w="100" w:type="dxa"/>
            </w:tcMar>
            <w:shd w:fill="F5F7F9"/>
          </w:tcPr>
          <w:p>
            <w:pPr>
              <w:spacing w:after="0" w:line="250" w:lineRule="auto"/>
            </w:pPr>
            <w:r>
              <w:rPr>
                <w:sz w:val="20"/>
              </w:rPr>
              <w:t>Privacy and access</w:t>
            </w:r>
          </w:p>
        </w:tc>
        <w:tc>
          <w:tcPr>
            <w:tcW w:type="dxa" w:w="8093"/>
            <w:vAlign w:val="center"/>
            <w:tcMar>
              <w:top w:w="90" w:type="dxa"/>
              <w:bottom w:w="90" w:type="dxa"/>
              <w:left w:w="100" w:type="dxa"/>
              <w:right w:w="100" w:type="dxa"/>
            </w:tcMar>
            <w:shd w:fill="F5F7F9"/>
          </w:tcPr>
          <w:p>
            <w:pPr>
              <w:spacing w:after="0" w:line="250" w:lineRule="auto"/>
            </w:pPr>
            <w:r>
              <w:rPr>
                <w:sz w:val="20"/>
              </w:rPr>
              <w:t>All scope, cross-project access, denied-action and credential-redaction regression cases pass before pilot release.</w:t>
            </w:r>
          </w:p>
        </w:tc>
      </w:tr>
    </w:tbl>
    <w:p>
      <w:pPr>
        <w:spacing w:after="40"/>
      </w:pPr>
      <w:r/>
    </w:p>
    <w:p>
      <w:pPr>
        <w:pStyle w:val="Heading2"/>
      </w:pPr>
      <w:r>
        <w:t>Evaluate outcomes and supervision</w:t>
      </w:r>
    </w:p>
    <w:p>
      <w:r>
        <w:t>Build a 20-task initial evaluation set: six public-source comparisons, four brief-writing tasks, four evidence and draft reviews, and six failure or interruption scenarios. Use fixed fixtures for reproducible tests and a separate small live-web set to expose navigation drift. Record model, prompt, adapter and tool versions for each run.</w:t>
      </w:r>
    </w:p>
    <w:p>
      <w:r>
        <w:t>Score each successful-work task on completeness, factual support, citation alignment, file validity and usefulness. Have a human review the outputs; automated checks and model-based grading are supplementary. Track active user minutes, number of interventions, elapsed time, model usage and rework. A visually busy office is not a success metric.</w:t>
      </w:r>
    </w:p>
    <w:p>
      <w:r>
        <w:t>The first release gate is at least 80 percent of the 14 productive tasks meeting their stated rubric, with all six failure scenarios ending in the correct safe, recoverable state. Run multiple attempts for variable model behavior and report the range. These thresholds are product targets for a small pilot, not statistical proof of broad reliability.</w:t>
      </w:r>
    </w:p>
    <w:p>
      <w:r>
        <w:t>Compare the same tasks in single-agent and owner-plus-helper modes using equal allowed total budgets. Keep collaboration optional unless it improves quality or elapsed time without unacceptable supervision and cost. Separately compare the office with the flat view to test whether the spatial interface helps users notice blockers and return to the right task.</w:t>
      </w:r>
    </w:p>
    <w:p>
      <w:pPr>
        <w:pStyle w:val="Heading2"/>
      </w:pPr>
      <w:r>
        <w:t>Required adversarial and recovery cases</w:t>
      </w:r>
    </w:p>
    <w:p>
      <w:r>
        <w:t>Test a page that tries to override permissions, a redirect toward a private address, a stale browser click, user takeover mid-action, provider timeout, exhausted budget, worker crash before and after an action, a duplicate event, conflicting file edits, a denied approval and restart while waiting. Add routine timezone and missed-run cases before scheduled work ships.</w:t>
      </w:r>
    </w:p>
    <w:p>
      <w:pPr>
        <w:pStyle w:val="Heading1"/>
      </w:pPr>
      <w:r>
        <w:t>15 Delivery sequence and release gates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99"/>
        <w:gridCol w:w="4003"/>
        <w:gridCol w:w="4291"/>
      </w:tblGrid>
      <w:tr>
        <w:trPr>
          <w:cantSplit/>
          <w:tblHeader/>
        </w:trPr>
        <w:tc>
          <w:tcPr>
            <w:tcW w:type="dxa" w:w="1699"/>
            <w:vAlign w:val="center"/>
            <w:tcMar>
              <w:top w:w="90" w:type="dxa"/>
              <w:bottom w:w="90" w:type="dxa"/>
              <w:left w:w="100" w:type="dxa"/>
              <w:right w:w="100" w:type="dxa"/>
            </w:tcMar>
            <w:shd w:fill="E6EDF2"/>
          </w:tcPr>
          <w:p>
            <w:pPr>
              <w:spacing w:after="0" w:line="250" w:lineRule="auto"/>
            </w:pPr>
            <w:r>
              <w:rPr>
                <w:b/>
                <w:sz w:val="20"/>
              </w:rPr>
              <w:t>Stage</w:t>
            </w:r>
          </w:p>
        </w:tc>
        <w:tc>
          <w:tcPr>
            <w:tcW w:type="dxa" w:w="4003"/>
            <w:vAlign w:val="center"/>
            <w:tcMar>
              <w:top w:w="90" w:type="dxa"/>
              <w:bottom w:w="90" w:type="dxa"/>
              <w:left w:w="100" w:type="dxa"/>
              <w:right w:w="100" w:type="dxa"/>
            </w:tcMar>
            <w:shd w:fill="E6EDF2"/>
          </w:tcPr>
          <w:p>
            <w:pPr>
              <w:spacing w:after="0" w:line="250" w:lineRule="auto"/>
            </w:pPr>
            <w:r>
              <w:rPr>
                <w:b/>
                <w:sz w:val="20"/>
              </w:rPr>
              <w:t>Deliverable</w:t>
            </w:r>
          </w:p>
        </w:tc>
        <w:tc>
          <w:tcPr>
            <w:tcW w:type="dxa" w:w="4291"/>
            <w:vAlign w:val="center"/>
            <w:tcMar>
              <w:top w:w="90" w:type="dxa"/>
              <w:bottom w:w="90" w:type="dxa"/>
              <w:left w:w="100" w:type="dxa"/>
              <w:right w:w="100" w:type="dxa"/>
            </w:tcMar>
            <w:shd w:fill="E6EDF2"/>
          </w:tcPr>
          <w:p>
            <w:pPr>
              <w:spacing w:after="0" w:line="250" w:lineRule="auto"/>
            </w:pPr>
            <w:r>
              <w:rPr>
                <w:b/>
                <w:sz w:val="20"/>
              </w:rPr>
              <w:t>Exit gate</w:t>
            </w:r>
          </w:p>
        </w:tc>
      </w:tr>
      <w:tr>
        <w:trPr>
          <w:cantSplit/>
        </w:trPr>
        <w:tc>
          <w:tcPr>
            <w:tcW w:type="dxa" w:w="1699"/>
            <w:vAlign w:val="center"/>
            <w:tcMar>
              <w:top w:w="90" w:type="dxa"/>
              <w:bottom w:w="90" w:type="dxa"/>
              <w:left w:w="100" w:type="dxa"/>
              <w:right w:w="100" w:type="dxa"/>
            </w:tcMar>
            <w:shd w:fill="FFFFFF"/>
          </w:tcPr>
          <w:p>
            <w:pPr>
              <w:spacing w:after="0" w:line="250" w:lineRule="auto"/>
            </w:pPr>
            <w:r>
              <w:rPr>
                <w:sz w:val="20"/>
              </w:rPr>
              <w:t>0 Existing prototype</w:t>
            </w:r>
          </w:p>
        </w:tc>
        <w:tc>
          <w:tcPr>
            <w:tcW w:type="dxa" w:w="4003"/>
            <w:vAlign w:val="center"/>
            <w:tcMar>
              <w:top w:w="90" w:type="dxa"/>
              <w:bottom w:w="90" w:type="dxa"/>
              <w:left w:w="100" w:type="dxa"/>
              <w:right w:w="100" w:type="dxa"/>
            </w:tcMar>
            <w:shd w:fill="FFFFFF"/>
          </w:tcPr>
          <w:p>
            <w:pPr>
              <w:spacing w:after="0" w:line="250" w:lineRule="auto"/>
            </w:pPr>
            <w:r>
              <w:rPr>
                <w:sz w:val="20"/>
              </w:rPr>
              <w:t>Office life, desk screens and scripted browser practice.</w:t>
            </w:r>
          </w:p>
        </w:tc>
        <w:tc>
          <w:tcPr>
            <w:tcW w:type="dxa" w:w="4291"/>
            <w:vAlign w:val="center"/>
            <w:tcMar>
              <w:top w:w="90" w:type="dxa"/>
              <w:bottom w:w="90" w:type="dxa"/>
              <w:left w:w="100" w:type="dxa"/>
              <w:right w:w="100" w:type="dxa"/>
            </w:tcMar>
            <w:shd w:fill="FFFFFF"/>
          </w:tcPr>
          <w:p>
            <w:pPr>
              <w:spacing w:after="0" w:line="250" w:lineRule="auto"/>
            </w:pPr>
            <w:r>
              <w:rPr>
                <w:sz w:val="20"/>
              </w:rPr>
              <w:t>Baseline documented; retain existing browser ownership and movement checks.</w:t>
            </w:r>
          </w:p>
        </w:tc>
      </w:tr>
      <w:tr>
        <w:trPr>
          <w:cantSplit/>
        </w:trPr>
        <w:tc>
          <w:tcPr>
            <w:tcW w:type="dxa" w:w="1699"/>
            <w:vAlign w:val="center"/>
            <w:tcMar>
              <w:top w:w="90" w:type="dxa"/>
              <w:bottom w:w="90" w:type="dxa"/>
              <w:left w:w="100" w:type="dxa"/>
              <w:right w:w="100" w:type="dxa"/>
            </w:tcMar>
            <w:shd w:fill="F5F7F9"/>
          </w:tcPr>
          <w:p>
            <w:pPr>
              <w:spacing w:after="0" w:line="250" w:lineRule="auto"/>
            </w:pPr>
            <w:r>
              <w:rPr>
                <w:sz w:val="20"/>
              </w:rPr>
              <w:t>1 First useful agent</w:t>
            </w:r>
          </w:p>
        </w:tc>
        <w:tc>
          <w:tcPr>
            <w:tcW w:type="dxa" w:w="4003"/>
            <w:vAlign w:val="center"/>
            <w:tcMar>
              <w:top w:w="90" w:type="dxa"/>
              <w:bottom w:w="90" w:type="dxa"/>
              <w:left w:w="100" w:type="dxa"/>
              <w:right w:w="100" w:type="dxa"/>
            </w:tcMar>
            <w:shd w:fill="F5F7F9"/>
          </w:tcPr>
          <w:p>
            <w:pPr>
              <w:spacing w:after="0" w:line="250" w:lineRule="auto"/>
            </w:pPr>
            <w:r>
              <w:rPr>
                <w:sz w:val="20"/>
              </w:rPr>
              <w:t>Project and task records, one model adapter, scoped browsing, saved evidence and a verified brief.</w:t>
            </w:r>
          </w:p>
        </w:tc>
        <w:tc>
          <w:tcPr>
            <w:tcW w:type="dxa" w:w="4291"/>
            <w:vAlign w:val="center"/>
            <w:tcMar>
              <w:top w:w="90" w:type="dxa"/>
              <w:bottom w:w="90" w:type="dxa"/>
              <w:left w:w="100" w:type="dxa"/>
              <w:right w:w="100" w:type="dxa"/>
            </w:tcMar>
            <w:shd w:fill="F5F7F9"/>
          </w:tcPr>
          <w:p>
            <w:pPr>
              <w:spacing w:after="0" w:line="250" w:lineRule="auto"/>
            </w:pPr>
            <w:r>
              <w:rPr>
                <w:sz w:val="20"/>
              </w:rPr>
              <w:t>Complete one real task end to end and recover from restart without losing accepted output.</w:t>
            </w:r>
          </w:p>
        </w:tc>
      </w:tr>
      <w:tr>
        <w:trPr>
          <w:cantSplit/>
        </w:trPr>
        <w:tc>
          <w:tcPr>
            <w:tcW w:type="dxa" w:w="1699"/>
            <w:vAlign w:val="center"/>
            <w:tcMar>
              <w:top w:w="90" w:type="dxa"/>
              <w:bottom w:w="90" w:type="dxa"/>
              <w:left w:w="100" w:type="dxa"/>
              <w:right w:w="100" w:type="dxa"/>
            </w:tcMar>
            <w:shd w:fill="FFFFFF"/>
          </w:tcPr>
          <w:p>
            <w:pPr>
              <w:spacing w:after="0" w:line="250" w:lineRule="auto"/>
            </w:pPr>
            <w:r>
              <w:rPr>
                <w:sz w:val="20"/>
              </w:rPr>
              <w:t>2 Reviewable personal team</w:t>
            </w:r>
          </w:p>
        </w:tc>
        <w:tc>
          <w:tcPr>
            <w:tcW w:type="dxa" w:w="4003"/>
            <w:vAlign w:val="center"/>
            <w:tcMar>
              <w:top w:w="90" w:type="dxa"/>
              <w:bottom w:w="90" w:type="dxa"/>
              <w:left w:w="100" w:type="dxa"/>
              <w:right w:w="100" w:type="dxa"/>
            </w:tcMar>
            <w:shd w:fill="FFFFFF"/>
          </w:tcPr>
          <w:p>
            <w:pPr>
              <w:spacing w:after="0" w:line="250" w:lineRule="auto"/>
            </w:pPr>
            <w:r>
              <w:rPr>
                <w:sz w:val="20"/>
              </w:rPr>
              <w:t>Output review, versions, one helper, budgets, approval inbox and flat view.</w:t>
            </w:r>
          </w:p>
        </w:tc>
        <w:tc>
          <w:tcPr>
            <w:tcW w:type="dxa" w:w="4291"/>
            <w:vAlign w:val="center"/>
            <w:tcMar>
              <w:top w:w="90" w:type="dxa"/>
              <w:bottom w:w="90" w:type="dxa"/>
              <w:left w:w="100" w:type="dxa"/>
              <w:right w:w="100" w:type="dxa"/>
            </w:tcMar>
            <w:shd w:fill="FFFFFF"/>
          </w:tcPr>
          <w:p>
            <w:pPr>
              <w:spacing w:after="0" w:line="250" w:lineRule="auto"/>
            </w:pPr>
            <w:r>
              <w:rPr>
                <w:sz w:val="20"/>
              </w:rPr>
              <w:t>FR01–FR12 pass and the initial outcome evaluation meets its gate. This is the productive MVP.</w:t>
            </w:r>
          </w:p>
        </w:tc>
      </w:tr>
      <w:tr>
        <w:trPr>
          <w:cantSplit/>
        </w:trPr>
        <w:tc>
          <w:tcPr>
            <w:tcW w:type="dxa" w:w="1699"/>
            <w:vAlign w:val="center"/>
            <w:tcMar>
              <w:top w:w="90" w:type="dxa"/>
              <w:bottom w:w="90" w:type="dxa"/>
              <w:left w:w="100" w:type="dxa"/>
              <w:right w:w="100" w:type="dxa"/>
            </w:tcMar>
            <w:shd w:fill="F5F7F9"/>
          </w:tcPr>
          <w:p>
            <w:pPr>
              <w:spacing w:after="0" w:line="250" w:lineRule="auto"/>
            </w:pPr>
            <w:r>
              <w:rPr>
                <w:sz w:val="20"/>
              </w:rPr>
              <w:t>3 Daily use</w:t>
            </w:r>
          </w:p>
        </w:tc>
        <w:tc>
          <w:tcPr>
            <w:tcW w:type="dxa" w:w="4003"/>
            <w:vAlign w:val="center"/>
            <w:tcMar>
              <w:top w:w="90" w:type="dxa"/>
              <w:bottom w:w="90" w:type="dxa"/>
              <w:left w:w="100" w:type="dxa"/>
              <w:right w:w="100" w:type="dxa"/>
            </w:tcMar>
            <w:shd w:fill="F5F7F9"/>
          </w:tcPr>
          <w:p>
            <w:pPr>
              <w:spacing w:after="0" w:line="250" w:lineRule="auto"/>
            </w:pPr>
            <w:r>
              <w:rPr>
                <w:sz w:val="20"/>
              </w:rPr>
              <w:t>Dedicated account profiles, project memory improvements and productive routines.</w:t>
            </w:r>
          </w:p>
        </w:tc>
        <w:tc>
          <w:tcPr>
            <w:tcW w:type="dxa" w:w="4291"/>
            <w:vAlign w:val="center"/>
            <w:tcMar>
              <w:top w:w="90" w:type="dxa"/>
              <w:bottom w:w="90" w:type="dxa"/>
              <w:left w:w="100" w:type="dxa"/>
              <w:right w:w="100" w:type="dxa"/>
            </w:tcMar>
            <w:shd w:fill="F5F7F9"/>
          </w:tcPr>
          <w:p>
            <w:pPr>
              <w:spacing w:after="0" w:line="250" w:lineRule="auto"/>
            </w:pPr>
            <w:r>
              <w:rPr>
                <w:sz w:val="20"/>
              </w:rPr>
              <w:t>Authentication, schedule, sleep and recovery tests pass; repeated user demand is observed.</w:t>
            </w:r>
          </w:p>
        </w:tc>
      </w:tr>
      <w:tr>
        <w:trPr>
          <w:cantSplit/>
        </w:trPr>
        <w:tc>
          <w:tcPr>
            <w:tcW w:type="dxa" w:w="1699"/>
            <w:vAlign w:val="center"/>
            <w:tcMar>
              <w:top w:w="90" w:type="dxa"/>
              <w:bottom w:w="90" w:type="dxa"/>
              <w:left w:w="100" w:type="dxa"/>
              <w:right w:w="100" w:type="dxa"/>
            </w:tcMar>
            <w:shd w:fill="FFFFFF"/>
          </w:tcPr>
          <w:p>
            <w:pPr>
              <w:spacing w:after="0" w:line="250" w:lineRule="auto"/>
            </w:pPr>
            <w:r>
              <w:rPr>
                <w:sz w:val="20"/>
              </w:rPr>
              <w:t>4 Broader work</w:t>
            </w:r>
          </w:p>
        </w:tc>
        <w:tc>
          <w:tcPr>
            <w:tcW w:type="dxa" w:w="4003"/>
            <w:vAlign w:val="center"/>
            <w:tcMar>
              <w:top w:w="90" w:type="dxa"/>
              <w:bottom w:w="90" w:type="dxa"/>
              <w:left w:w="100" w:type="dxa"/>
              <w:right w:w="100" w:type="dxa"/>
            </w:tcMar>
            <w:shd w:fill="FFFFFF"/>
          </w:tcPr>
          <w:p>
            <w:pPr>
              <w:spacing w:after="0" w:line="250" w:lineRule="auto"/>
            </w:pPr>
            <w:r>
              <w:rPr>
                <w:sz w:val="20"/>
              </w:rPr>
              <w:t>Selected connectors, coding isolation or Office editing based on pilot evidence.</w:t>
            </w:r>
          </w:p>
        </w:tc>
        <w:tc>
          <w:tcPr>
            <w:tcW w:type="dxa" w:w="4291"/>
            <w:vAlign w:val="center"/>
            <w:tcMar>
              <w:top w:w="90" w:type="dxa"/>
              <w:bottom w:w="90" w:type="dxa"/>
              <w:left w:w="100" w:type="dxa"/>
              <w:right w:w="100" w:type="dxa"/>
            </w:tcMar>
            <w:shd w:fill="FFFFFF"/>
          </w:tcPr>
          <w:p>
            <w:pPr>
              <w:spacing w:after="0" w:line="250" w:lineRule="auto"/>
            </w:pPr>
            <w:r>
              <w:rPr>
                <w:sz w:val="20"/>
              </w:rPr>
              <w:t>Each capability has scope, review, recovery and task-quality tests before release.</w:t>
            </w:r>
          </w:p>
        </w:tc>
      </w:tr>
      <w:tr>
        <w:trPr>
          <w:cantSplit/>
        </w:trPr>
        <w:tc>
          <w:tcPr>
            <w:tcW w:type="dxa" w:w="1699"/>
            <w:vAlign w:val="center"/>
            <w:tcMar>
              <w:top w:w="90" w:type="dxa"/>
              <w:bottom w:w="90" w:type="dxa"/>
              <w:left w:w="100" w:type="dxa"/>
              <w:right w:w="100" w:type="dxa"/>
            </w:tcMar>
            <w:shd w:fill="F5F7F9"/>
          </w:tcPr>
          <w:p>
            <w:pPr>
              <w:spacing w:after="0" w:line="250" w:lineRule="auto"/>
            </w:pPr>
            <w:r>
              <w:rPr>
                <w:sz w:val="20"/>
              </w:rPr>
              <w:t>5 Distribution and scale</w:t>
            </w:r>
          </w:p>
        </w:tc>
        <w:tc>
          <w:tcPr>
            <w:tcW w:type="dxa" w:w="4003"/>
            <w:vAlign w:val="center"/>
            <w:tcMar>
              <w:top w:w="90" w:type="dxa"/>
              <w:bottom w:w="90" w:type="dxa"/>
              <w:left w:w="100" w:type="dxa"/>
              <w:right w:w="100" w:type="dxa"/>
            </w:tcMar>
            <w:shd w:fill="F5F7F9"/>
          </w:tcPr>
          <w:p>
            <w:pPr>
              <w:spacing w:after="0" w:line="250" w:lineRule="auto"/>
            </w:pPr>
            <w:r>
              <w:rPr>
                <w:sz w:val="20"/>
              </w:rPr>
              <w:t>Signed distribution, maintained browser packaging, optional remote execution.</w:t>
            </w:r>
          </w:p>
        </w:tc>
        <w:tc>
          <w:tcPr>
            <w:tcW w:type="dxa" w:w="4291"/>
            <w:vAlign w:val="center"/>
            <w:tcMar>
              <w:top w:w="90" w:type="dxa"/>
              <w:bottom w:w="90" w:type="dxa"/>
              <w:left w:w="100" w:type="dxa"/>
              <w:right w:w="100" w:type="dxa"/>
            </w:tcMar>
            <w:shd w:fill="F5F7F9"/>
          </w:tcPr>
          <w:p>
            <w:pPr>
              <w:spacing w:after="0" w:line="250" w:lineRule="auto"/>
            </w:pPr>
            <w:r>
              <w:rPr>
                <w:sz w:val="20"/>
              </w:rPr>
              <w:t>Clean-machine install and update tests, capability parity and operational ownership are established.</w:t>
            </w:r>
          </w:p>
        </w:tc>
      </w:tr>
    </w:tbl>
    <w:p>
      <w:pPr>
        <w:spacing w:after="40"/>
      </w:pPr>
      <w:r/>
    </w:p>
    <w:p>
      <w:r>
        <w:t>Build these stages as vertical slices. A task should reach a usable output early; do not finish a large abstract orchestration platform before validating the first workflow. Dates and staffing estimates require implementation spikes and are deliberately not commitments in this PRD.</w:t>
      </w:r>
    </w:p>
    <w:p>
      <w:pPr>
        <w:pStyle w:val="Heading2"/>
      </w:pPr>
      <w:r>
        <w:t>The next implementation slice</w:t>
      </w:r>
    </w:p>
    <w:p>
      <w:r>
        <w:t>Add one project and task panel alongside the existing office. Connect one model adapter to a narrow browser observation and action service. Capture page evidence and save a Markdown research brief that can be reopened from the task. Add durable run records and a clear Needs you state. Then exercise takeover, interruption and restart before adding a second executing agent or richer exports.</w:t>
      </w:r>
    </w:p>
    <w:p>
      <w:r>
        <w:t>This sequence tests the main uncertainty: whether visible delegation produces work the user trusts and wants to repeat. Additional character animations can continue as small independent improvements but should not delay that test.</w:t>
      </w:r>
    </w:p>
    <w:p>
      <w:pPr>
        <w:pStyle w:val="Heading1"/>
      </w:pPr>
      <w:r>
        <w:t>16 Adoption economics and open decisions</w:t>
      </w:r>
    </w:p>
    <w:p>
      <w:pPr>
        <w:pStyle w:val="Heading2"/>
      </w:pPr>
      <w:r>
        <w:t>Pilot and positioning</w:t>
      </w:r>
    </w:p>
    <w:p>
      <w:r>
        <w:t>Recruit five to eight people who already delegate research or drafting at least weekly. Include the creator’s own real projects. Ask each person to bring an actual comparison or brief and run three work sessions over two weeks. Observe what they correct, where they take control and whether they return without prompting.</w:t>
      </w:r>
    </w:p>
    <w:p>
      <w:r>
        <w:t>The primary pilot measure is accepted useful artifacts per active user week, paired with active supervision time. Also track task completion, revisions, failure reasons and repeat use. As an initial directional target, seek at least three completed useful tasks per returning user per week and lower supervision time than their previous process. Keep the pilot small enough to investigate every failure.</w:t>
      </w:r>
    </w:p>
    <w:p>
      <w:r>
        <w:t>An initial product hypothesis is a desktop subscription with transparent bring-your-own-model costs. Managed execution could be a separate future offering. Do not price by the number of visible desks: a character is not a reliable proxy for compute cost. Do not promise unlimited autonomous work. Test willingness to pay after repeat utility and support costs are visible.</w:t>
      </w:r>
    </w:p>
    <w:p>
      <w:pPr>
        <w:pStyle w:val="Heading2"/>
      </w:pPr>
      <w:r>
        <w:t>Risks and mitigations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34"/>
        <w:gridCol w:w="7459"/>
      </w:tblGrid>
      <w:tr>
        <w:trPr>
          <w:cantSplit/>
          <w:tblHeader/>
        </w:trPr>
        <w:tc>
          <w:tcPr>
            <w:tcW w:type="dxa" w:w="2534"/>
            <w:vAlign w:val="center"/>
            <w:tcMar>
              <w:top w:w="90" w:type="dxa"/>
              <w:bottom w:w="90" w:type="dxa"/>
              <w:left w:w="100" w:type="dxa"/>
              <w:right w:w="100" w:type="dxa"/>
            </w:tcMar>
            <w:shd w:fill="E6EDF2"/>
          </w:tcPr>
          <w:p>
            <w:pPr>
              <w:spacing w:after="0" w:line="250" w:lineRule="auto"/>
            </w:pPr>
            <w:r>
              <w:rPr>
                <w:b/>
                <w:sz w:val="20"/>
              </w:rPr>
              <w:t>Risk</w:t>
            </w:r>
          </w:p>
        </w:tc>
        <w:tc>
          <w:tcPr>
            <w:tcW w:type="dxa" w:w="7459"/>
            <w:vAlign w:val="center"/>
            <w:tcMar>
              <w:top w:w="90" w:type="dxa"/>
              <w:bottom w:w="90" w:type="dxa"/>
              <w:left w:w="100" w:type="dxa"/>
              <w:right w:w="100" w:type="dxa"/>
            </w:tcMar>
            <w:shd w:fill="E6EDF2"/>
          </w:tcPr>
          <w:p>
            <w:pPr>
              <w:spacing w:after="0" w:line="250" w:lineRule="auto"/>
            </w:pPr>
            <w:r>
              <w:rPr>
                <w:b/>
                <w:sz w:val="20"/>
              </w:rPr>
              <w:t>Response and decision signal</w:t>
            </w:r>
          </w:p>
        </w:tc>
      </w:tr>
      <w:tr>
        <w:trPr>
          <w:cantSplit/>
        </w:trPr>
        <w:tc>
          <w:tcPr>
            <w:tcW w:type="dxa" w:w="2534"/>
            <w:vAlign w:val="center"/>
            <w:tcMar>
              <w:top w:w="90" w:type="dxa"/>
              <w:bottom w:w="90" w:type="dxa"/>
              <w:left w:w="100" w:type="dxa"/>
              <w:right w:w="100" w:type="dxa"/>
            </w:tcMar>
            <w:shd w:fill="FFFFFF"/>
          </w:tcPr>
          <w:p>
            <w:pPr>
              <w:spacing w:after="0" w:line="250" w:lineRule="auto"/>
            </w:pPr>
            <w:r>
              <w:rPr>
                <w:sz w:val="20"/>
              </w:rPr>
              <w:t>Novelty exceeds utility</w:t>
            </w:r>
          </w:p>
        </w:tc>
        <w:tc>
          <w:tcPr>
            <w:tcW w:type="dxa" w:w="7459"/>
            <w:vAlign w:val="center"/>
            <w:tcMar>
              <w:top w:w="90" w:type="dxa"/>
              <w:bottom w:w="90" w:type="dxa"/>
              <w:left w:w="100" w:type="dxa"/>
              <w:right w:w="100" w:type="dxa"/>
            </w:tcMar>
            <w:shd w:fill="FFFFFF"/>
          </w:tcPr>
          <w:p>
            <w:pPr>
              <w:spacing w:after="0" w:line="250" w:lineRule="auto"/>
            </w:pPr>
            <w:r>
              <w:rPr>
                <w:sz w:val="20"/>
              </w:rPr>
              <w:t>Measure accepted work and repeat use. If users mainly watch the office, improve the workflow before adding more simulation.</w:t>
            </w:r>
          </w:p>
        </w:tc>
      </w:tr>
      <w:tr>
        <w:trPr>
          <w:cantSplit/>
        </w:trPr>
        <w:tc>
          <w:tcPr>
            <w:tcW w:type="dxa" w:w="2534"/>
            <w:vAlign w:val="center"/>
            <w:tcMar>
              <w:top w:w="90" w:type="dxa"/>
              <w:bottom w:w="90" w:type="dxa"/>
              <w:left w:w="100" w:type="dxa"/>
              <w:right w:w="100" w:type="dxa"/>
            </w:tcMar>
            <w:shd w:fill="F5F7F9"/>
          </w:tcPr>
          <w:p>
            <w:pPr>
              <w:spacing w:after="0" w:line="250" w:lineRule="auto"/>
            </w:pPr>
            <w:r>
              <w:rPr>
                <w:sz w:val="20"/>
              </w:rPr>
              <w:t>Overtrust from humanlike characters</w:t>
            </w:r>
          </w:p>
        </w:tc>
        <w:tc>
          <w:tcPr>
            <w:tcW w:type="dxa" w:w="7459"/>
            <w:vAlign w:val="center"/>
            <w:tcMar>
              <w:top w:w="90" w:type="dxa"/>
              <w:bottom w:w="90" w:type="dxa"/>
              <w:left w:w="100" w:type="dxa"/>
              <w:right w:w="100" w:type="dxa"/>
            </w:tcMar>
            <w:shd w:fill="F5F7F9"/>
          </w:tcPr>
          <w:p>
            <w:pPr>
              <w:spacing w:after="0" w:line="250" w:lineRule="auto"/>
            </w:pPr>
            <w:r>
              <w:rPr>
                <w:sz w:val="20"/>
              </w:rPr>
              <w:t>Keep status and uncertainty explicit. Require evidence and review; personality never stands in for capability.</w:t>
            </w:r>
          </w:p>
        </w:tc>
      </w:tr>
      <w:tr>
        <w:trPr>
          <w:cantSplit/>
        </w:trPr>
        <w:tc>
          <w:tcPr>
            <w:tcW w:type="dxa" w:w="2534"/>
            <w:vAlign w:val="center"/>
            <w:tcMar>
              <w:top w:w="90" w:type="dxa"/>
              <w:bottom w:w="90" w:type="dxa"/>
              <w:left w:w="100" w:type="dxa"/>
              <w:right w:w="100" w:type="dxa"/>
            </w:tcMar>
            <w:shd w:fill="FFFFFF"/>
          </w:tcPr>
          <w:p>
            <w:pPr>
              <w:spacing w:after="0" w:line="250" w:lineRule="auto"/>
            </w:pPr>
            <w:r>
              <w:rPr>
                <w:sz w:val="20"/>
              </w:rPr>
              <w:t>Unreliable web actions</w:t>
            </w:r>
          </w:p>
        </w:tc>
        <w:tc>
          <w:tcPr>
            <w:tcW w:type="dxa" w:w="7459"/>
            <w:vAlign w:val="center"/>
            <w:tcMar>
              <w:top w:w="90" w:type="dxa"/>
              <w:bottom w:w="90" w:type="dxa"/>
              <w:left w:w="100" w:type="dxa"/>
              <w:right w:w="100" w:type="dxa"/>
            </w:tcMar>
            <w:shd w:fill="FFFFFF"/>
          </w:tcPr>
          <w:p>
            <w:pPr>
              <w:spacing w:after="0" w:line="250" w:lineRule="auto"/>
            </w:pPr>
            <w:r>
              <w:rPr>
                <w:sz w:val="20"/>
              </w:rPr>
              <w:t>Prefer constrained actions, verify outcomes and retain easy takeover. Restrict the supported workflow until failure recovery is dependable.</w:t>
            </w:r>
          </w:p>
        </w:tc>
      </w:tr>
      <w:tr>
        <w:trPr>
          <w:cantSplit/>
        </w:trPr>
        <w:tc>
          <w:tcPr>
            <w:tcW w:type="dxa" w:w="2534"/>
            <w:vAlign w:val="center"/>
            <w:tcMar>
              <w:top w:w="90" w:type="dxa"/>
              <w:bottom w:w="90" w:type="dxa"/>
              <w:left w:w="100" w:type="dxa"/>
              <w:right w:w="100" w:type="dxa"/>
            </w:tcMar>
            <w:shd w:fill="F5F7F9"/>
          </w:tcPr>
          <w:p>
            <w:pPr>
              <w:spacing w:after="0" w:line="250" w:lineRule="auto"/>
            </w:pPr>
            <w:r>
              <w:rPr>
                <w:sz w:val="20"/>
              </w:rPr>
              <w:t>Collaboration costs more than it helps</w:t>
            </w:r>
          </w:p>
        </w:tc>
        <w:tc>
          <w:tcPr>
            <w:tcW w:type="dxa" w:w="7459"/>
            <w:vAlign w:val="center"/>
            <w:tcMar>
              <w:top w:w="90" w:type="dxa"/>
              <w:bottom w:w="90" w:type="dxa"/>
              <w:left w:w="100" w:type="dxa"/>
              <w:right w:w="100" w:type="dxa"/>
            </w:tcMar>
            <w:shd w:fill="F5F7F9"/>
          </w:tcPr>
          <w:p>
            <w:pPr>
              <w:spacing w:after="0" w:line="250" w:lineRule="auto"/>
            </w:pPr>
            <w:r>
              <w:rPr>
                <w:sz w:val="20"/>
              </w:rPr>
              <w:t>Default to one owner, cap helpers, and compare equal-budget runs before expanding teams.</w:t>
            </w:r>
          </w:p>
        </w:tc>
      </w:tr>
      <w:tr>
        <w:trPr>
          <w:cantSplit/>
        </w:trPr>
        <w:tc>
          <w:tcPr>
            <w:tcW w:type="dxa" w:w="2534"/>
            <w:vAlign w:val="center"/>
            <w:tcMar>
              <w:top w:w="90" w:type="dxa"/>
              <w:bottom w:w="90" w:type="dxa"/>
              <w:left w:w="100" w:type="dxa"/>
              <w:right w:w="100" w:type="dxa"/>
            </w:tcMar>
            <w:shd w:fill="FFFFFF"/>
          </w:tcPr>
          <w:p>
            <w:pPr>
              <w:spacing w:after="0" w:line="250" w:lineRule="auto"/>
            </w:pPr>
            <w:r>
              <w:rPr>
                <w:sz w:val="20"/>
              </w:rPr>
              <w:t>Scope spreads into three products</w:t>
            </w:r>
          </w:p>
        </w:tc>
        <w:tc>
          <w:tcPr>
            <w:tcW w:type="dxa" w:w="7459"/>
            <w:vAlign w:val="center"/>
            <w:tcMar>
              <w:top w:w="90" w:type="dxa"/>
              <w:bottom w:w="90" w:type="dxa"/>
              <w:left w:w="100" w:type="dxa"/>
              <w:right w:w="100" w:type="dxa"/>
            </w:tcMar>
            <w:shd w:fill="FFFFFF"/>
          </w:tcPr>
          <w:p>
            <w:pPr>
              <w:spacing w:after="0" w:line="250" w:lineRule="auto"/>
            </w:pPr>
            <w:r>
              <w:rPr>
                <w:sz w:val="20"/>
              </w:rPr>
              <w:t>Ship the research workflow first. Choose each later integration from repeated demand rather than merging every existing feature.</w:t>
            </w:r>
          </w:p>
        </w:tc>
      </w:tr>
      <w:tr>
        <w:trPr>
          <w:cantSplit/>
        </w:trPr>
        <w:tc>
          <w:tcPr>
            <w:tcW w:type="dxa" w:w="2534"/>
            <w:vAlign w:val="center"/>
            <w:tcMar>
              <w:top w:w="90" w:type="dxa"/>
              <w:bottom w:w="90" w:type="dxa"/>
              <w:left w:w="100" w:type="dxa"/>
              <w:right w:w="100" w:type="dxa"/>
            </w:tcMar>
            <w:shd w:fill="F5F7F9"/>
          </w:tcPr>
          <w:p>
            <w:pPr>
              <w:spacing w:after="0" w:line="250" w:lineRule="auto"/>
            </w:pPr>
            <w:r>
              <w:rPr>
                <w:sz w:val="20"/>
              </w:rPr>
              <w:t>Resource or packaging problems</w:t>
            </w:r>
          </w:p>
        </w:tc>
        <w:tc>
          <w:tcPr>
            <w:tcW w:type="dxa" w:w="7459"/>
            <w:vAlign w:val="center"/>
            <w:tcMar>
              <w:top w:w="90" w:type="dxa"/>
              <w:bottom w:w="90" w:type="dxa"/>
              <w:left w:w="100" w:type="dxa"/>
              <w:right w:w="100" w:type="dxa"/>
            </w:tcMar>
            <w:shd w:fill="F5F7F9"/>
          </w:tcPr>
          <w:p>
            <w:pPr>
              <w:spacing w:after="0" w:line="250" w:lineRule="auto"/>
            </w:pPr>
            <w:r>
              <w:rPr>
                <w:sz w:val="20"/>
              </w:rPr>
              <w:t>Throttle inactive previews, supervise workers and run a clean-machine packaging spike before external distribution.</w:t>
            </w:r>
          </w:p>
        </w:tc>
      </w:tr>
      <w:tr>
        <w:trPr>
          <w:cantSplit/>
        </w:trPr>
        <w:tc>
          <w:tcPr>
            <w:tcW w:type="dxa" w:w="2534"/>
            <w:vAlign w:val="center"/>
            <w:tcMar>
              <w:top w:w="90" w:type="dxa"/>
              <w:bottom w:w="90" w:type="dxa"/>
              <w:left w:w="100" w:type="dxa"/>
              <w:right w:w="100" w:type="dxa"/>
            </w:tcMar>
            <w:shd w:fill="FFFFFF"/>
          </w:tcPr>
          <w:p>
            <w:pPr>
              <w:spacing w:after="0" w:line="250" w:lineRule="auto"/>
            </w:pPr>
            <w:r>
              <w:rPr>
                <w:sz w:val="20"/>
              </w:rPr>
              <w:t>Permission or data leakage</w:t>
            </w:r>
          </w:p>
        </w:tc>
        <w:tc>
          <w:tcPr>
            <w:tcW w:type="dxa" w:w="7459"/>
            <w:vAlign w:val="center"/>
            <w:tcMar>
              <w:top w:w="90" w:type="dxa"/>
              <w:bottom w:w="90" w:type="dxa"/>
              <w:left w:w="100" w:type="dxa"/>
              <w:right w:w="100" w:type="dxa"/>
            </w:tcMar>
            <w:shd w:fill="FFFFFF"/>
          </w:tcPr>
          <w:p>
            <w:pPr>
              <w:spacing w:after="0" w:line="250" w:lineRule="auto"/>
            </w:pPr>
            <w:r>
              <w:rPr>
                <w:sz w:val="20"/>
              </w:rPr>
              <w:t>Broker all actions, keep project scope explicit, store secrets separately and test adversarial inputs at real tool boundaries.</w:t>
            </w:r>
          </w:p>
        </w:tc>
      </w:tr>
    </w:tbl>
    <w:p>
      <w:pPr>
        <w:spacing w:after="40"/>
      </w:pPr>
      <w:r/>
    </w:p>
    <w:p>
      <w:pPr>
        <w:pStyle w:val="Heading2"/>
      </w:pPr>
      <w:r>
        <w:t>Decisions still needing product validation</w:t>
      </w:r>
    </w:p>
    <w:p>
      <w:pPr>
        <w:pStyle w:val="ListBullet"/>
      </w:pPr>
      <w:r/>
      <w:r>
        <w:rPr>
          <w:b/>
        </w:rPr>
        <w:t>Audience.</w:t>
      </w:r>
      <w:r>
        <w:t xml:space="preserve"> Is the first paying user a general knowledge worker, a software creator or an operations lead? This PRD recommends the first and preserves a path to the others.</w:t>
      </w:r>
    </w:p>
    <w:p>
      <w:pPr>
        <w:pStyle w:val="ListBullet"/>
      </w:pPr>
      <w:r/>
      <w:r>
        <w:rPr>
          <w:b/>
        </w:rPr>
        <w:t>Model onboarding.</w:t>
      </w:r>
      <w:r>
        <w:t xml:space="preserve"> Begin with a direct API connection or an existing signed-in agent harness? Compare setup friction, enforceable permissions, usage visibility and supported resumption before choosing the first adapter.</w:t>
      </w:r>
    </w:p>
    <w:p>
      <w:pPr>
        <w:pStyle w:val="ListBullet"/>
      </w:pPr>
      <w:r/>
      <w:r>
        <w:rPr>
          <w:b/>
        </w:rPr>
        <w:t>First output format.</w:t>
      </w:r>
      <w:r>
        <w:t xml:space="preserve"> Validate whether a brief plus CSV and basic DOCX is enough, or whether real pilot work requires deeper Office editing immediately.</w:t>
      </w:r>
    </w:p>
    <w:p>
      <w:pPr>
        <w:pStyle w:val="ListBullet"/>
      </w:pPr>
      <w:r/>
      <w:r>
        <w:rPr>
          <w:b/>
        </w:rPr>
        <w:t>Account continuity.</w:t>
      </w:r>
      <w:r>
        <w:t xml:space="preserve"> How often do useful tasks require authenticated pages? That determines whether persistent profiles move into the productive MVP.</w:t>
      </w:r>
    </w:p>
    <w:p>
      <w:pPr>
        <w:pStyle w:val="ListBullet"/>
      </w:pPr>
      <w:r/>
      <w:r>
        <w:rPr>
          <w:b/>
        </w:rPr>
        <w:t>Work availability.</w:t>
      </w:r>
      <w:r>
        <w:t xml:space="preserve"> Do users need work while the laptop is closed? If so, a remote executor becomes a separate architectural and commercial decision.</w:t>
      </w:r>
    </w:p>
    <w:p>
      <w:pPr>
        <w:pStyle w:val="ListBullet"/>
      </w:pPr>
      <w:r/>
      <w:r>
        <w:rPr>
          <w:b/>
        </w:rPr>
        <w:t>Naming.</w:t>
      </w:r>
      <w:r>
        <w:t xml:space="preserve"> Continue with Worklive for the prototype. Check naming and distribution availability before a public launch; this PRD does not establish clearance for Worklive or Life.</w:t>
      </w:r>
    </w:p>
    <w:p>
      <w:pPr>
        <w:pStyle w:val="Heading1"/>
      </w:pPr>
      <w:r>
        <w:t>17 Research and local evidence</w:t>
      </w:r>
    </w:p>
    <w:p>
      <w:r>
        <w:t>The references below support the product comparisons and technical patterns cited in the text. Proposed Worklive requirements and targets are design decisions; they are not attributed competitor capabilities. Sources were accessed on 30 September 2026.</w:t>
      </w:r>
    </w:p>
    <w:p>
      <w:pPr>
        <w:pStyle w:val="Heading2"/>
      </w:pPr>
      <w:r>
        <w:t>Public primary sources</w:t>
      </w:r>
    </w:p>
    <w:p>
      <w:pPr>
        <w:spacing w:after="140"/>
      </w:pPr>
      <w:r>
        <w:rPr>
          <w:b/>
        </w:rPr>
        <w:t xml:space="preserve">S1  </w:t>
      </w:r>
      <w:hyperlink r:id="rId10">
        <w:r>
          <w:rPr>
            <w:color w:val="235A80"/>
          </w:rPr>
          <w:t>Claw3D repository</w:t>
        </w:r>
      </w:hyperlink>
      <w:r>
        <w:t>. Closest 3D office comparison and runtime adapter boundary.</w:t>
      </w:r>
    </w:p>
    <w:p>
      <w:pPr>
        <w:spacing w:after="140"/>
      </w:pPr>
      <w:r>
        <w:rPr>
          <w:b/>
        </w:rPr>
        <w:t xml:space="preserve">S2  </w:t>
      </w:r>
      <w:hyperlink r:id="rId11">
        <w:r>
          <w:rPr>
            <w:color w:val="235A80"/>
          </w:rPr>
          <w:t>Pixel Agents repository</w:t>
        </w:r>
      </w:hyperlink>
      <w:r>
        <w:t>. Coding activity mapped to characters; current integration versus roadmap.</w:t>
      </w:r>
    </w:p>
    <w:p>
      <w:pPr>
        <w:spacing w:after="140"/>
      </w:pPr>
      <w:r>
        <w:rPr>
          <w:b/>
        </w:rPr>
        <w:t xml:space="preserve">S3  </w:t>
      </w:r>
      <w:hyperlink r:id="rId12">
        <w:r>
          <w:rPr>
            <w:color w:val="235A80"/>
          </w:rPr>
          <w:t>AgentRoom repository</w:t>
        </w:r>
      </w:hyperlink>
      <w:r>
        <w:t>. Tauri visualization, transcript monitoring and project offices.</w:t>
      </w:r>
    </w:p>
    <w:p>
      <w:pPr>
        <w:spacing w:after="140"/>
      </w:pPr>
      <w:r>
        <w:rPr>
          <w:b/>
        </w:rPr>
        <w:t xml:space="preserve">S4  </w:t>
      </w:r>
      <w:hyperlink r:id="rId14">
        <w:r>
          <w:rPr>
            <w:color w:val="235A80"/>
          </w:rPr>
          <w:t>Paperclip key concepts</w:t>
        </w:r>
      </w:hyperlink>
      <w:r>
        <w:t>. Tasks, agents, budgets and approval concepts.</w:t>
      </w:r>
    </w:p>
    <w:p>
      <w:pPr>
        <w:spacing w:after="140"/>
      </w:pPr>
      <w:r>
        <w:rPr>
          <w:b/>
        </w:rPr>
        <w:t xml:space="preserve">S5  </w:t>
      </w:r>
      <w:hyperlink r:id="rId15">
        <w:r>
          <w:rPr>
            <w:color w:val="235A80"/>
          </w:rPr>
          <w:t>Paperclip agent execution</w:t>
        </w:r>
      </w:hyperlink>
      <w:r>
        <w:t>. Heartbeat lifecycle, sessions and idle behavior.</w:t>
      </w:r>
    </w:p>
    <w:p>
      <w:pPr>
        <w:spacing w:after="140"/>
      </w:pPr>
      <w:r>
        <w:rPr>
          <w:b/>
        </w:rPr>
        <w:t xml:space="preserve">S6  </w:t>
      </w:r>
      <w:hyperlink r:id="rId16">
        <w:r>
          <w:rPr>
            <w:color w:val="235A80"/>
          </w:rPr>
          <w:t>Claude Cowork product</w:t>
        </w:r>
      </w:hyperlink>
      <w:r>
        <w:t>. Knowledge work and a separate built-in browser.</w:t>
      </w:r>
    </w:p>
    <w:p>
      <w:pPr>
        <w:spacing w:after="140"/>
      </w:pPr>
      <w:r>
        <w:rPr>
          <w:b/>
        </w:rPr>
        <w:t xml:space="preserve">S7  </w:t>
      </w:r>
      <w:hyperlink r:id="rId17">
        <w:r>
          <w:rPr>
            <w:color w:val="235A80"/>
          </w:rPr>
          <w:t>Manus Browser Operator</w:t>
        </w:r>
      </w:hyperlink>
      <w:r>
        <w:t>. Local browser authorization, visible work and user intervention.</w:t>
      </w:r>
    </w:p>
    <w:p>
      <w:pPr>
        <w:spacing w:after="140"/>
      </w:pPr>
      <w:r>
        <w:rPr>
          <w:b/>
        </w:rPr>
        <w:t xml:space="preserve">S8  </w:t>
      </w:r>
      <w:hyperlink r:id="rId18">
        <w:r>
          <w:rPr>
            <w:color w:val="235A80"/>
          </w:rPr>
          <w:t>OpenClaw browser profiles</w:t>
        </w:r>
      </w:hyperlink>
      <w:r>
        <w:t>. Managed browser isolation and explicit existing-session profiles.</w:t>
      </w:r>
    </w:p>
    <w:p>
      <w:pPr>
        <w:spacing w:after="140"/>
      </w:pPr>
      <w:r>
        <w:rPr>
          <w:b/>
        </w:rPr>
        <w:t xml:space="preserve">S9  </w:t>
      </w:r>
      <w:hyperlink r:id="rId13">
        <w:r>
          <w:rPr>
            <w:color w:val="235A80"/>
          </w:rPr>
          <w:t>OpenHands Agent Canvas</w:t>
        </w:r>
      </w:hyperlink>
      <w:r>
        <w:t>. Visual coding workspace, worktrees and harness adapters.</w:t>
      </w:r>
    </w:p>
    <w:p>
      <w:pPr>
        <w:spacing w:after="140"/>
      </w:pPr>
      <w:r>
        <w:rPr>
          <w:b/>
        </w:rPr>
        <w:t xml:space="preserve">S10  </w:t>
      </w:r>
      <w:hyperlink r:id="rId19">
        <w:r>
          <w:rPr>
            <w:color w:val="235A80"/>
          </w:rPr>
          <w:t>n8n human review for tools</w:t>
        </w:r>
      </w:hyperlink>
      <w:r>
        <w:t>. Review of specific tool parameters before execution.</w:t>
      </w:r>
    </w:p>
    <w:p>
      <w:pPr>
        <w:spacing w:after="140"/>
      </w:pPr>
      <w:r>
        <w:rPr>
          <w:b/>
        </w:rPr>
        <w:t xml:space="preserve">S11  </w:t>
      </w:r>
      <w:hyperlink r:id="rId20">
        <w:r>
          <w:rPr>
            <w:color w:val="235A80"/>
          </w:rPr>
          <w:t>Anthropic multi-agent research system</w:t>
        </w:r>
      </w:hyperlink>
      <w:r>
        <w:t>. Delegation tradeoffs, coordination cost and outcome evaluation.</w:t>
      </w:r>
    </w:p>
    <w:p>
      <w:pPr>
        <w:spacing w:after="140"/>
      </w:pPr>
      <w:r>
        <w:rPr>
          <w:b/>
        </w:rPr>
        <w:t xml:space="preserve">S12  </w:t>
      </w:r>
      <w:hyperlink r:id="rId21">
        <w:r>
          <w:rPr>
            <w:color w:val="235A80"/>
          </w:rPr>
          <w:t>OpenAI orchestration and handoffs</w:t>
        </w:r>
      </w:hyperlink>
      <w:r>
        <w:t>. Manager-owned workflows versus specialist ownership transfer.</w:t>
      </w:r>
    </w:p>
    <w:p>
      <w:pPr>
        <w:spacing w:after="140"/>
      </w:pPr>
      <w:r>
        <w:rPr>
          <w:b/>
        </w:rPr>
        <w:t xml:space="preserve">S13  </w:t>
      </w:r>
      <w:hyperlink r:id="rId22">
        <w:r>
          <w:rPr>
            <w:color w:val="235A80"/>
          </w:rPr>
          <w:t>OpenAI Agents SDK</w:t>
        </w:r>
      </w:hyperlink>
      <w:r>
        <w:t>. Application-owned tools, state and approval decisions around an agent loop.</w:t>
      </w:r>
    </w:p>
    <w:p>
      <w:pPr>
        <w:spacing w:after="140"/>
      </w:pPr>
      <w:r>
        <w:rPr>
          <w:b/>
        </w:rPr>
        <w:t xml:space="preserve">S14  </w:t>
      </w:r>
      <w:hyperlink r:id="rId24">
        <w:r>
          <w:rPr>
            <w:color w:val="235A80"/>
          </w:rPr>
          <w:t>OpenAI guardrails and human review</w:t>
        </w:r>
      </w:hyperlink>
      <w:r>
        <w:t>. Automatic checks and approval interruptions as distinct controls.</w:t>
      </w:r>
    </w:p>
    <w:p>
      <w:pPr>
        <w:spacing w:after="140"/>
      </w:pPr>
      <w:r>
        <w:rPr>
          <w:b/>
        </w:rPr>
        <w:t xml:space="preserve">S15  </w:t>
      </w:r>
      <w:hyperlink r:id="rId23">
        <w:r>
          <w:rPr>
            <w:color w:val="235A80"/>
          </w:rPr>
          <w:t>LangGraph persistence</w:t>
        </w:r>
      </w:hyperlink>
      <w:r>
        <w:t>. Run checkpoints and separate long-term stores.</w:t>
      </w:r>
    </w:p>
    <w:p>
      <w:pPr>
        <w:spacing w:after="140"/>
      </w:pPr>
      <w:r>
        <w:rPr>
          <w:b/>
        </w:rPr>
        <w:t xml:space="preserve">S16  </w:t>
      </w:r>
      <w:hyperlink r:id="rId25">
        <w:r>
          <w:rPr>
            <w:color w:val="235A80"/>
          </w:rPr>
          <w:t>LangGraph interrupts</w:t>
        </w:r>
      </w:hyperlink>
      <w:r>
        <w:t>. Durable waiting and replay behavior when execution resumes.</w:t>
      </w:r>
    </w:p>
    <w:p>
      <w:pPr>
        <w:spacing w:after="140"/>
      </w:pPr>
      <w:r>
        <w:rPr>
          <w:b/>
        </w:rPr>
        <w:t xml:space="preserve">S17  </w:t>
      </w:r>
      <w:hyperlink r:id="rId26">
        <w:r>
          <w:rPr>
            <w:color w:val="235A80"/>
          </w:rPr>
          <w:t>Electron offscreen rendering</w:t>
        </w:r>
      </w:hyperlink>
      <w:r>
        <w:t>. Frame rendering options and GPU shared textures.</w:t>
      </w:r>
    </w:p>
    <w:p>
      <w:pPr>
        <w:spacing w:after="140"/>
      </w:pPr>
      <w:r>
        <w:rPr>
          <w:b/>
        </w:rPr>
        <w:t xml:space="preserve">S18  </w:t>
      </w:r>
      <w:hyperlink r:id="rId27">
        <w:r>
          <w:rPr>
            <w:color w:val="235A80"/>
          </w:rPr>
          <w:t>Tauri external binaries</w:t>
        </w:r>
      </w:hyperlink>
      <w:r>
        <w:t>. Packaging a sidecar with a Tauri application.</w:t>
      </w:r>
    </w:p>
    <w:p>
      <w:pPr>
        <w:pStyle w:val="Heading2"/>
      </w:pPr>
      <w:r>
        <w:t>Local source evidence</w:t>
      </w:r>
    </w:p>
    <w:p>
      <w:r/>
      <w:r>
        <w:rPr>
          <w:b/>
        </w:rPr>
        <w:t>L1 Worklive 0.2.0.</w:t>
      </w:r>
      <w:r>
        <w:t xml:space="preserve"> Source root: /Users/clemenshoenig/Documents/Codex/2026-09-30/i-w/outputs/worklive. Reviewed README.md and package.json against the established implementation. Key seams are src/office-life.ts, src/office.ts, src/main.ts, src-tauri/src/main.rs, worker/main.mjs and worker/control.mjs. The baseline is the existing prototype, not a claim that the proposed PRD features are implemented.</w:t>
      </w:r>
    </w:p>
    <w:p>
      <w:r/>
      <w:r>
        <w:rPr>
          <w:b/>
        </w:rPr>
        <w:t>L2 Workspace OS.</w:t>
      </w:r>
      <w:r>
        <w:t xml:space="preserve"> Source root: /Users/clemenshoenig/Documents/Software-Projects/Workspace-OS. Inspected checkout f5bb04d; no changes were reported by the status check. Reviewed README.md, src/shared/agentRun.ts, src/main/checkpoint.ts, src/main/agent-permissions.ts, src/main/handlers/agent-activity.ts, src/main/browser/browserControl.ts and src/main/routines/scheduler.ts. Confirmed shared browser partition in src/renderer/src/components/Browser/BrowserSurface.tsx. Case and memory modules were located as further integration candidates; their behavior was not independently validated in this review.</w:t>
      </w:r>
    </w:p>
    <w:p>
      <w:r/>
      <w:r>
        <w:rPr>
          <w:b/>
        </w:rPr>
        <w:t>L3 TerminalOS.</w:t>
      </w:r>
      <w:r>
        <w:t xml:space="preserve"> Source root: /Users/clemenshoenig/Documents/Software-Projects/TerminalOS. Reviewed src/desktop/main/research-browser.ts, src/desktop/main/browser-capture.ts and src/desktop/shared/artifacts.ts. Confirmed ephemeral Electron sessions, guarded capture, source metadata and versioned artifact contracts. No Git revision was available at the supplied root. These are source observations, not a full application test.</w:t>
      </w:r>
    </w:p>
    <w:sectPr w:rsidR="00FC693F" w:rsidRPr="0006063C" w:rsidSect="00034616">
      <w:footerReference w:type="default" r:id="rId9"/>
      <w:pgSz w:w="12240" w:h="15840"/>
      <w:pgMar w:top="1037" w:right="1123" w:bottom="1037" w:left="1123" w:header="720"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56565"/>
        <w:sz w:val="18"/>
      </w:rPr>
      <w:t xml:space="preserve">Worklive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eastAsia="Arial" w:cs="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eastAsia="Arial" w:cs="Arial"/>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eastAsia="Arial" w:cs="Arial"/>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cstheme="majorBidi" w:ascii="Arial" w:hAnsi="Arial" w:eastAsia="Arial" w:cs="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300" w:after="140"/>
      <w:outlineLvl w:val="1"/>
    </w:pPr>
    <w:rPr>
      <w:rFonts w:cstheme="majorBidi" w:ascii="Arial" w:hAnsi="Arial" w:eastAsia="Arial" w:cs="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300" w:after="140"/>
      <w:outlineLvl w:val="2"/>
    </w:pPr>
    <w:rPr>
      <w:rFonts w:cstheme="majorBidi" w:ascii="Arial" w:hAnsi="Arial" w:eastAsia="Arial" w:cs="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Arial" w:hAnsi="Arial" w:eastAsia="Arial" w:cs="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Arial" w:hAnsi="Arial" w:eastAsia="Arial" w:cs="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Arial" w:hAnsi="Arial" w:eastAsia="Arial" w:cs="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Arial" w:hAnsi="Arial" w:eastAsia="Arial" w:cs="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Arial" w:hAnsi="Arial" w:eastAsia="Arial" w:cs="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Arial" w:hAnsi="Arial" w:eastAsia="Arial" w:cs="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eastAsia="Arial" w:cs="Arial"/>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cstheme="majorBidi" w:ascii="Arial" w:hAnsi="Arial" w:eastAsia="Arial" w:cs="Arial"/>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40"/>
    </w:pPr>
    <w:rPr>
      <w:rFonts w:cstheme="majorBidi" w:ascii="Arial" w:hAnsi="Arial" w:eastAsia="Arial" w:cs="Arial"/>
      <w:i w:val="0"/>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eastAsia="Arial" w:cs="Arial"/>
    </w:rPr>
  </w:style>
  <w:style w:type="paragraph" w:styleId="BodyText">
    <w:name w:val="Body Text"/>
    <w:basedOn w:val="Normal"/>
    <w:link w:val="BodyTextChar"/>
    <w:uiPriority w:val="99"/>
    <w:unhideWhenUsed/>
    <w:rsid w:val="00AA1D8D"/>
    <w:pPr>
      <w:spacing w:after="120"/>
    </w:pPr>
    <w:rPr>
      <w:rFonts w:ascii="Arial" w:hAnsi="Arial" w:eastAsia="Arial" w:cs="Arial"/>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Arial" w:hAnsi="Arial" w:eastAsia="Arial" w:cs="Arial"/>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Arial" w:hAnsi="Arial" w:eastAsia="Arial" w:cs="Arial"/>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Arial" w:hAnsi="Arial" w:eastAsia="Arial" w:cs="Arial"/>
    </w:rPr>
  </w:style>
  <w:style w:type="paragraph" w:styleId="List2">
    <w:name w:val="List 2"/>
    <w:basedOn w:val="Normal"/>
    <w:uiPriority w:val="99"/>
    <w:unhideWhenUsed/>
    <w:rsid w:val="00326F90"/>
    <w:pPr>
      <w:ind w:left="720" w:hanging="360"/>
      <w:contextualSpacing/>
    </w:pPr>
    <w:rPr>
      <w:rFonts w:ascii="Arial" w:hAnsi="Arial" w:eastAsia="Arial" w:cs="Arial"/>
    </w:rPr>
  </w:style>
  <w:style w:type="paragraph" w:styleId="List3">
    <w:name w:val="List 3"/>
    <w:basedOn w:val="Normal"/>
    <w:uiPriority w:val="99"/>
    <w:unhideWhenUsed/>
    <w:rsid w:val="00326F90"/>
    <w:pPr>
      <w:ind w:left="1080" w:hanging="360"/>
      <w:contextualSpacing/>
    </w:pPr>
    <w:rPr>
      <w:rFonts w:ascii="Arial" w:hAnsi="Arial" w:eastAsia="Arial" w:cs="Arial"/>
    </w:rPr>
  </w:style>
  <w:style w:type="paragraph" w:styleId="ListBullet">
    <w:name w:val="List Bullet"/>
    <w:basedOn w:val="Normal"/>
    <w:uiPriority w:val="99"/>
    <w:unhideWhenUsed/>
    <w:rsid w:val="00326F90"/>
    <w:pPr>
      <w:numPr>
        <w:numId w:val="1"/>
      </w:numPr>
      <w:spacing w:after="100" w:line="254" w:lineRule="auto"/>
      <w:contextualSpacing/>
    </w:pPr>
    <w:rPr>
      <w:rFonts w:ascii="Arial" w:hAnsi="Arial" w:eastAsia="Arial" w:cs="Arial"/>
      <w:sz w:val="22"/>
    </w:rPr>
  </w:style>
  <w:style w:type="paragraph" w:styleId="ListBullet2">
    <w:name w:val="List Bullet 2"/>
    <w:basedOn w:val="Normal"/>
    <w:uiPriority w:val="99"/>
    <w:unhideWhenUsed/>
    <w:rsid w:val="00326F90"/>
    <w:pPr>
      <w:numPr>
        <w:numId w:val="2"/>
      </w:numPr>
      <w:contextualSpacing/>
    </w:pPr>
    <w:rPr>
      <w:rFonts w:ascii="Arial" w:hAnsi="Arial" w:eastAsia="Arial" w:cs="Arial"/>
    </w:rPr>
  </w:style>
  <w:style w:type="paragraph" w:styleId="ListBullet3">
    <w:name w:val="List Bullet 3"/>
    <w:basedOn w:val="Normal"/>
    <w:uiPriority w:val="99"/>
    <w:unhideWhenUsed/>
    <w:rsid w:val="00326F90"/>
    <w:pPr>
      <w:numPr>
        <w:numId w:val="3"/>
      </w:numPr>
      <w:contextualSpacing/>
    </w:pPr>
    <w:rPr>
      <w:rFonts w:ascii="Arial" w:hAnsi="Arial" w:eastAsia="Arial" w:cs="Arial"/>
    </w:rPr>
  </w:style>
  <w:style w:type="paragraph" w:styleId="ListNumber">
    <w:name w:val="List Number"/>
    <w:basedOn w:val="Normal"/>
    <w:uiPriority w:val="99"/>
    <w:unhideWhenUsed/>
    <w:rsid w:val="00326F90"/>
    <w:pPr>
      <w:numPr>
        <w:numId w:val="5"/>
      </w:numPr>
      <w:spacing w:after="100" w:line="254" w:lineRule="auto"/>
      <w:contextualSpacing/>
    </w:pPr>
    <w:rPr>
      <w:rFonts w:ascii="Arial" w:hAnsi="Arial" w:eastAsia="Arial" w:cs="Arial"/>
      <w:sz w:val="22"/>
    </w:rPr>
  </w:style>
  <w:style w:type="paragraph" w:styleId="ListNumber2">
    <w:name w:val="List Number 2"/>
    <w:basedOn w:val="Normal"/>
    <w:uiPriority w:val="99"/>
    <w:unhideWhenUsed/>
    <w:rsid w:val="0029639D"/>
    <w:pPr>
      <w:numPr>
        <w:numId w:val="6"/>
      </w:numPr>
      <w:contextualSpacing/>
    </w:pPr>
    <w:rPr>
      <w:rFonts w:ascii="Arial" w:hAnsi="Arial" w:eastAsia="Arial" w:cs="Arial"/>
    </w:rPr>
  </w:style>
  <w:style w:type="paragraph" w:styleId="ListNumber3">
    <w:name w:val="List Number 3"/>
    <w:basedOn w:val="Normal"/>
    <w:uiPriority w:val="99"/>
    <w:unhideWhenUsed/>
    <w:rsid w:val="0029639D"/>
    <w:pPr>
      <w:numPr>
        <w:numId w:val="7"/>
      </w:numPr>
      <w:contextualSpacing/>
    </w:pPr>
    <w:rPr>
      <w:rFonts w:ascii="Arial" w:hAnsi="Arial" w:eastAsia="Arial" w:cs="Arial"/>
    </w:rPr>
  </w:style>
  <w:style w:type="paragraph" w:styleId="ListContinue">
    <w:name w:val="List Continue"/>
    <w:basedOn w:val="Normal"/>
    <w:uiPriority w:val="99"/>
    <w:unhideWhenUsed/>
    <w:rsid w:val="0029639D"/>
    <w:pPr>
      <w:spacing w:after="120"/>
      <w:ind w:left="360"/>
      <w:contextualSpacing/>
    </w:pPr>
    <w:rPr>
      <w:rFonts w:ascii="Arial" w:hAnsi="Arial" w:eastAsia="Arial" w:cs="Arial"/>
    </w:rPr>
  </w:style>
  <w:style w:type="paragraph" w:styleId="ListContinue2">
    <w:name w:val="List Continue 2"/>
    <w:basedOn w:val="Normal"/>
    <w:uiPriority w:val="99"/>
    <w:unhideWhenUsed/>
    <w:rsid w:val="0029639D"/>
    <w:pPr>
      <w:spacing w:after="120"/>
      <w:ind w:left="720"/>
      <w:contextualSpacing/>
    </w:pPr>
    <w:rPr>
      <w:rFonts w:ascii="Arial" w:hAnsi="Arial" w:eastAsia="Arial" w:cs="Arial"/>
    </w:rPr>
  </w:style>
  <w:style w:type="paragraph" w:styleId="ListContinue3">
    <w:name w:val="List Continue 3"/>
    <w:basedOn w:val="Normal"/>
    <w:uiPriority w:val="99"/>
    <w:unhideWhenUsed/>
    <w:rsid w:val="0029639D"/>
    <w:pPr>
      <w:spacing w:after="120"/>
      <w:ind w:left="1080"/>
      <w:contextualSpacing/>
    </w:pPr>
    <w:rPr>
      <w:rFonts w:ascii="Arial" w:hAnsi="Arial" w:eastAsia="Arial" w:cs="Arial"/>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eastAsia="Arial" w:cs="Arial"/>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Arial" w:hAnsi="Arial" w:eastAsia="Arial" w:cs="Arial"/>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eastAsia="Arial" w:cs="Arial"/>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Arial" w:hAnsi="Arial" w:eastAsia="Arial" w:cs="Arial"/>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Arial" w:hAnsi="Arial" w:eastAsia="Arial" w:cs="Arial"/>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iamlukethedev/Claw3D" TargetMode="External"/><Relationship Id="rId11" Type="http://schemas.openxmlformats.org/officeDocument/2006/relationships/hyperlink" Target="https://github.com/pixel-agents-hq/pixel-agents" TargetMode="External"/><Relationship Id="rId12" Type="http://schemas.openxmlformats.org/officeDocument/2006/relationships/hyperlink" Target="https://github.com/liuyixin-louis/agentroom" TargetMode="External"/><Relationship Id="rId13" Type="http://schemas.openxmlformats.org/officeDocument/2006/relationships/hyperlink" Target="https://www.openhands.dev/product/canvas" TargetMode="External"/><Relationship Id="rId14" Type="http://schemas.openxmlformats.org/officeDocument/2006/relationships/hyperlink" Target="https://docs.paperclip.ing/guides/welcome/key-concepts/" TargetMode="External"/><Relationship Id="rId15" Type="http://schemas.openxmlformats.org/officeDocument/2006/relationships/hyperlink" Target="https://docs.paperclip.ing/guides/org/agents/" TargetMode="External"/><Relationship Id="rId16" Type="http://schemas.openxmlformats.org/officeDocument/2006/relationships/hyperlink" Target="https://claude.com/product/cowork" TargetMode="External"/><Relationship Id="rId17" Type="http://schemas.openxmlformats.org/officeDocument/2006/relationships/hyperlink" Target="https://manus.im/en/blog/manus-browser-operator" TargetMode="External"/><Relationship Id="rId18" Type="http://schemas.openxmlformats.org/officeDocument/2006/relationships/hyperlink" Target="https://docs.openclaw.ai/tools/browser/profiles" TargetMode="External"/><Relationship Id="rId19" Type="http://schemas.openxmlformats.org/officeDocument/2006/relationships/hyperlink" Target="https://docs.n8n.io/build/integrate-ai/ai-examples/human-in-the-loop-for-tools" TargetMode="External"/><Relationship Id="rId20" Type="http://schemas.openxmlformats.org/officeDocument/2006/relationships/hyperlink" Target="https://www.anthropic.com/engineering/multi-agent-research-system" TargetMode="External"/><Relationship Id="rId21" Type="http://schemas.openxmlformats.org/officeDocument/2006/relationships/hyperlink" Target="https://developers.openai.com/api/docs/guides/agents/orchestration" TargetMode="External"/><Relationship Id="rId22" Type="http://schemas.openxmlformats.org/officeDocument/2006/relationships/hyperlink" Target="https://developers.openai.com/api/docs/guides/agents/sdk" TargetMode="External"/><Relationship Id="rId23" Type="http://schemas.openxmlformats.org/officeDocument/2006/relationships/hyperlink" Target="https://docs.langchain.com/oss/javascript/langgraph/persistence" TargetMode="External"/><Relationship Id="rId24" Type="http://schemas.openxmlformats.org/officeDocument/2006/relationships/hyperlink" Target="https://developers.openai.com/api/docs/guides/agents/guardrails-approvals" TargetMode="External"/><Relationship Id="rId25" Type="http://schemas.openxmlformats.org/officeDocument/2006/relationships/hyperlink" Target="https://docs.langchain.com/oss/javascript/langgraph/interrupts" TargetMode="External"/><Relationship Id="rId26" Type="http://schemas.openxmlformats.org/officeDocument/2006/relationships/hyperlink" Target="https://www.electronjs.org/docs/latest/tutorial/offscreen-rendering" TargetMode="External"/><Relationship Id="rId27" Type="http://schemas.openxmlformats.org/officeDocument/2006/relationships/hyperlink" Target="https://v2.tauri.app/develop/sideca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Worklive Product Requirements</dc:title>
  <dc:subject>Product strategy, comparative research, requirements and implementation sequence</dc:subject>
  <dc:creator>Worklive</dc:creator>
  <cp:keywords/>
  <dc:description>generated by python-docx</dc:description>
  <cp:lastModifiedBy/>
  <cp:revision>1</cp:revision>
  <dcterms:created xsi:type="dcterms:W3CDTF">2013-12-23T23:15:00Z</dcterms:created>
  <dcterms:modified xsi:type="dcterms:W3CDTF">2013-12-23T23:15:00Z</dcterms:modified>
  <cp:category/>
</cp:coreProperties>
</file>