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INTERNATIONAL CYBERSECURITY AND DIGITAL FORENSICS ACADEMY</w:t>
      </w:r>
    </w:p>
    <w:p>
      <w:pPr>
        <w:jc w:val="center"/>
      </w:pPr>
      <w:r>
        <w:rPr>
          <w:b/>
          <w:color w:val="1F4E78"/>
          <w:sz w:val="26"/>
        </w:rPr>
        <w:t>CORE102</w:t>
      </w:r>
    </w:p>
    <w:p>
      <w:pPr>
        <w:jc w:val="center"/>
      </w:pPr>
      <w:r>
        <w:rPr>
          <w:b/>
          <w:color w:val="17365D"/>
          <w:sz w:val="44"/>
        </w:rPr>
        <w:t>NETWORK AUTOMATION AND INTEGRATED SECURITY CHALLENGE</w:t>
      </w:r>
    </w:p>
    <w:p>
      <w:pPr>
        <w:jc w:val="center"/>
      </w:pPr>
      <w:r>
        <w:rPr>
          <w:sz w:val="26"/>
        </w:rPr>
        <w:t>Laboratory 5 — Practical Laboratory Report</w:t>
      </w:r>
    </w:p>
    <w:p/>
    <w:tbl>
      <w:tblPr>
        <w:tblW w:type="auto" w:w="0"/>
        <w:tblLook w:firstColumn="1" w:firstRow="1" w:lastColumn="0" w:lastRow="0" w:noHBand="0" w:noVBand="1" w:val="04A0"/>
      </w:tblPr>
      <w:tblGrid>
        <w:gridCol w:w="5043"/>
        <w:gridCol w:w="5043"/>
      </w:tblGrid>
      <w:tr>
        <w:tc>
          <w:tcPr>
            <w:tcW w:type="dxa" w:w="2948"/>
            <w:vAlign w:val="center"/>
            <w:shd w:fill="17365D"/>
          </w:tcPr>
          <w:p>
            <w:pPr>
              <w:spacing w:after="0"/>
            </w:pPr>
            <w:r/>
            <w:r>
              <w:rPr>
                <w:b/>
                <w:color w:val="FFFFFF"/>
                <w:sz w:val="18"/>
              </w:rPr>
              <w:t>Student information</w:t>
            </w:r>
          </w:p>
        </w:tc>
        <w:tc>
          <w:tcPr>
            <w:tcW w:type="dxa" w:w="5669"/>
            <w:vAlign w:val="center"/>
            <w:shd w:fill="17365D"/>
          </w:tcPr>
          <w:p>
            <w:pPr>
              <w:spacing w:after="0"/>
            </w:pPr>
            <w:r/>
            <w:r>
              <w:rPr>
                <w:b/>
                <w:color w:val="FFFFFF"/>
                <w:sz w:val="18"/>
              </w:rPr>
              <w:t>Details</w:t>
            </w:r>
          </w:p>
        </w:tc>
      </w:tr>
      <w:tr>
        <w:tc>
          <w:tcPr>
            <w:tcW w:type="dxa" w:w="2948"/>
            <w:vAlign w:val="center"/>
            <w:shd w:fill="F4F7FA"/>
          </w:tcPr>
          <w:p>
            <w:pPr>
              <w:spacing w:after="0"/>
            </w:pPr>
            <w:r/>
            <w:r>
              <w:rPr>
                <w:b w:val="0"/>
                <w:sz w:val="17"/>
              </w:rPr>
              <w:t>Student name</w:t>
            </w:r>
          </w:p>
        </w:tc>
        <w:tc>
          <w:tcPr>
            <w:tcW w:type="dxa" w:w="5669"/>
            <w:vAlign w:val="center"/>
            <w:shd w:fill="F4F7FA"/>
          </w:tcPr>
          <w:p>
            <w:pPr>
              <w:spacing w:after="0"/>
            </w:pPr>
            <w:r/>
            <w:r>
              <w:rPr>
                <w:b w:val="0"/>
                <w:sz w:val="17"/>
              </w:rPr>
              <w:t>Clement Eneji</w:t>
            </w:r>
          </w:p>
        </w:tc>
      </w:tr>
      <w:tr>
        <w:tc>
          <w:tcPr>
            <w:tcW w:type="dxa" w:w="2948"/>
            <w:vAlign w:val="center"/>
          </w:tcPr>
          <w:p>
            <w:pPr>
              <w:spacing w:after="0"/>
            </w:pPr>
            <w:r/>
            <w:r>
              <w:rPr>
                <w:b w:val="0"/>
                <w:sz w:val="17"/>
              </w:rPr>
              <w:t>Registration number</w:t>
            </w:r>
          </w:p>
        </w:tc>
        <w:tc>
          <w:tcPr>
            <w:tcW w:type="dxa" w:w="5669"/>
            <w:vAlign w:val="center"/>
          </w:tcPr>
          <w:p>
            <w:pPr>
              <w:spacing w:after="0"/>
            </w:pPr>
            <w:r/>
            <w:r>
              <w:rPr>
                <w:b w:val="0"/>
                <w:sz w:val="17"/>
              </w:rPr>
              <w:t>C11_26_OCO_17773</w:t>
            </w:r>
          </w:p>
        </w:tc>
      </w:tr>
      <w:tr>
        <w:tc>
          <w:tcPr>
            <w:tcW w:type="dxa" w:w="2948"/>
            <w:vAlign w:val="center"/>
            <w:shd w:fill="F4F7FA"/>
          </w:tcPr>
          <w:p>
            <w:pPr>
              <w:spacing w:after="0"/>
            </w:pPr>
            <w:r/>
            <w:r>
              <w:rPr>
                <w:b w:val="0"/>
                <w:sz w:val="17"/>
              </w:rPr>
              <w:t>Course</w:t>
            </w:r>
          </w:p>
        </w:tc>
        <w:tc>
          <w:tcPr>
            <w:tcW w:type="dxa" w:w="5669"/>
            <w:vAlign w:val="center"/>
            <w:shd w:fill="F4F7FA"/>
          </w:tcPr>
          <w:p>
            <w:pPr>
              <w:spacing w:after="0"/>
            </w:pPr>
            <w:r/>
            <w:r>
              <w:rPr>
                <w:b w:val="0"/>
                <w:sz w:val="17"/>
              </w:rPr>
              <w:t>CORE102 TCP IP Networking and Linux Network Tools</w:t>
            </w:r>
          </w:p>
        </w:tc>
      </w:tr>
      <w:tr>
        <w:tc>
          <w:tcPr>
            <w:tcW w:type="dxa" w:w="2948"/>
            <w:vAlign w:val="center"/>
          </w:tcPr>
          <w:p>
            <w:pPr>
              <w:spacing w:after="0"/>
            </w:pPr>
            <w:r/>
            <w:r>
              <w:rPr>
                <w:b w:val="0"/>
                <w:sz w:val="17"/>
              </w:rPr>
              <w:t>Instructor</w:t>
            </w:r>
          </w:p>
        </w:tc>
        <w:tc>
          <w:tcPr>
            <w:tcW w:type="dxa" w:w="5669"/>
            <w:vAlign w:val="center"/>
          </w:tcPr>
          <w:p>
            <w:pPr>
              <w:spacing w:after="0"/>
            </w:pPr>
            <w:r/>
            <w:r>
              <w:rPr>
                <w:b w:val="0"/>
                <w:sz w:val="17"/>
              </w:rPr>
              <w:t>Aminu Idris AMCPN</w:t>
            </w:r>
          </w:p>
        </w:tc>
      </w:tr>
      <w:tr>
        <w:tc>
          <w:tcPr>
            <w:tcW w:type="dxa" w:w="2948"/>
            <w:vAlign w:val="center"/>
            <w:shd w:fill="F4F7FA"/>
          </w:tcPr>
          <w:p>
            <w:pPr>
              <w:spacing w:after="0"/>
            </w:pPr>
            <w:r/>
            <w:r>
              <w:rPr>
                <w:b w:val="0"/>
                <w:sz w:val="17"/>
              </w:rPr>
              <w:t>Platform</w:t>
            </w:r>
          </w:p>
        </w:tc>
        <w:tc>
          <w:tcPr>
            <w:tcW w:type="dxa" w:w="5669"/>
            <w:vAlign w:val="center"/>
            <w:shd w:fill="F4F7FA"/>
          </w:tcPr>
          <w:p>
            <w:pPr>
              <w:spacing w:after="0"/>
            </w:pPr>
            <w:r/>
            <w:r>
              <w:rPr>
                <w:b w:val="0"/>
                <w:sz w:val="17"/>
              </w:rPr>
              <w:t>Kali Linux / Ubuntu Linux authorised laboratory environment</w:t>
            </w:r>
          </w:p>
        </w:tc>
      </w:tr>
      <w:tr>
        <w:tc>
          <w:tcPr>
            <w:tcW w:type="dxa" w:w="2948"/>
            <w:vAlign w:val="center"/>
          </w:tcPr>
          <w:p>
            <w:pPr>
              <w:spacing w:after="0"/>
            </w:pPr>
            <w:r/>
            <w:r>
              <w:rPr>
                <w:b w:val="0"/>
                <w:sz w:val="17"/>
              </w:rPr>
              <w:t>Submission date</w:t>
            </w:r>
          </w:p>
        </w:tc>
        <w:tc>
          <w:tcPr>
            <w:tcW w:type="dxa" w:w="5669"/>
            <w:vAlign w:val="center"/>
          </w:tcPr>
          <w:p>
            <w:pPr>
              <w:spacing w:after="0"/>
            </w:pPr>
            <w:r/>
            <w:r>
              <w:rPr>
                <w:b w:val="0"/>
                <w:sz w:val="17"/>
              </w:rPr>
              <w:t>3 October 2026</w:t>
            </w:r>
          </w:p>
        </w:tc>
      </w:tr>
      <w:tr>
        <w:tc>
          <w:tcPr>
            <w:tcW w:type="dxa" w:w="2948"/>
            <w:vAlign w:val="center"/>
            <w:shd w:fill="F4F7FA"/>
          </w:tcPr>
          <w:p>
            <w:pPr>
              <w:spacing w:after="0"/>
            </w:pPr>
            <w:r/>
            <w:r>
              <w:rPr>
                <w:b w:val="0"/>
                <w:sz w:val="17"/>
              </w:rPr>
              <w:t>Maximum score</w:t>
            </w:r>
          </w:p>
        </w:tc>
        <w:tc>
          <w:tcPr>
            <w:tcW w:type="dxa" w:w="5669"/>
            <w:vAlign w:val="center"/>
            <w:shd w:fill="F4F7FA"/>
          </w:tcPr>
          <w:p>
            <w:pPr>
              <w:spacing w:after="0"/>
            </w:pPr>
            <w:r/>
            <w:r>
              <w:rPr>
                <w:b w:val="0"/>
                <w:sz w:val="17"/>
              </w:rPr>
              <w:t>100 marks</w:t>
            </w:r>
          </w:p>
        </w:tc>
      </w:tr>
    </w:tbl>
    <w:p/>
    <w:p>
      <w:pPr>
        <w:jc w:val="center"/>
      </w:pPr>
      <w:r>
        <w:rPr>
          <w:b/>
          <w:color w:val="1F4E78"/>
          <w:sz w:val="24"/>
        </w:rPr>
        <w:t>Assessment evidence report</w:t>
      </w:r>
    </w:p>
    <w:p>
      <w:r>
        <w:br w:type="page"/>
      </w:r>
    </w:p>
    <w:p>
      <w:pPr>
        <w:pStyle w:val="Title"/>
      </w:pPr>
      <w:r>
        <w:t>Contents</w:t>
      </w:r>
    </w:p>
    <w:p>
      <w:r>
        <w:rPr>
          <w:b/>
        </w:rPr>
        <w:t xml:space="preserve">01  </w:t>
      </w:r>
      <w:r>
        <w:t>Part 1 — Automation Plan and Scope</w:t>
      </w:r>
    </w:p>
    <w:p>
      <w:r>
        <w:rPr>
          <w:b/>
        </w:rPr>
        <w:t xml:space="preserve">02  </w:t>
      </w:r>
      <w:r>
        <w:t>Part 2 — Bash Network Inventory</w:t>
      </w:r>
    </w:p>
    <w:p>
      <w:r>
        <w:rPr>
          <w:b/>
        </w:rPr>
        <w:t xml:space="preserve">03  </w:t>
      </w:r>
      <w:r>
        <w:t>Part 3 — Controlled Bash Ping Sweep</w:t>
      </w:r>
    </w:p>
    <w:p>
      <w:r>
        <w:rPr>
          <w:b/>
        </w:rPr>
        <w:t xml:space="preserve">04  </w:t>
      </w:r>
      <w:r>
        <w:t>Part 4 — Python Service Checker</w:t>
      </w:r>
    </w:p>
    <w:p>
      <w:r>
        <w:rPr>
          <w:b/>
        </w:rPr>
        <w:t xml:space="preserve">05  </w:t>
      </w:r>
      <w:r>
        <w:t>Part 5 — Offline PCAP Summary with Scapy</w:t>
      </w:r>
    </w:p>
    <w:p>
      <w:r>
        <w:rPr>
          <w:b/>
        </w:rPr>
        <w:t xml:space="preserve">06  </w:t>
      </w:r>
      <w:r>
        <w:t>Part 6 — Integrated Security Challenge</w:t>
      </w:r>
    </w:p>
    <w:p>
      <w:r>
        <w:rPr>
          <w:b/>
        </w:rPr>
        <w:t xml:space="preserve">07  </w:t>
      </w:r>
      <w:r>
        <w:t>Part 7 — Code Review Checklist</w:t>
      </w:r>
    </w:p>
    <w:p>
      <w:r>
        <w:rPr>
          <w:b/>
        </w:rPr>
        <w:t xml:space="preserve">08  </w:t>
      </w:r>
      <w:r>
        <w:t>Operational Summary</w:t>
      </w:r>
    </w:p>
    <w:p>
      <w:r>
        <w:rPr>
          <w:b/>
        </w:rPr>
        <w:t xml:space="preserve">09  </w:t>
      </w:r>
      <w:r>
        <w:t>Reflection Questions</w:t>
      </w:r>
    </w:p>
    <w:p>
      <w:r>
        <w:rPr>
          <w:b/>
        </w:rPr>
        <w:t xml:space="preserve">10  </w:t>
      </w:r>
      <w:r>
        <w:t>Evidence and Submission Checklist</w:t>
      </w:r>
    </w:p>
    <w:p/>
    <w:p>
      <w:pPr>
        <w:pStyle w:val="Note"/>
      </w:pPr>
      <w:r>
        <w:t>Authorised network scope: 192.168.56.0/24</w:t>
      </w:r>
    </w:p>
    <w:p>
      <w:r>
        <w:br w:type="page"/>
      </w:r>
    </w:p>
    <w:p>
      <w:pPr>
        <w:pStyle w:val="Title"/>
      </w:pPr>
      <w:r>
        <w:t>Part 1 — Automation Plan and Scope</w:t>
      </w:r>
    </w:p>
    <w:p>
      <w:r>
        <w:t>The laboratory automation is restricted to the authorised private network 192.168.56.0/24. The control plan below defines the permitted input, expected output, operational limit and safe failure behaviour for each tool.</w:t>
      </w:r>
    </w:p>
    <w:tbl>
      <w:tblPr>
        <w:tblW w:type="auto" w:w="0"/>
        <w:tblLook w:firstColumn="1" w:firstRow="1" w:lastColumn="0" w:lastRow="0" w:noHBand="0" w:noVBand="1" w:val="04A0"/>
      </w:tblPr>
      <w:tblGrid>
        <w:gridCol w:w="2017"/>
        <w:gridCol w:w="2017"/>
        <w:gridCol w:w="2017"/>
        <w:gridCol w:w="2017"/>
        <w:gridCol w:w="2017"/>
      </w:tblGrid>
      <w:tr>
        <w:tc>
          <w:tcPr>
            <w:tcW w:type="dxa" w:w="2268"/>
            <w:vAlign w:val="center"/>
            <w:shd w:fill="17365D"/>
          </w:tcPr>
          <w:p>
            <w:pPr>
              <w:spacing w:after="0"/>
            </w:pPr>
            <w:r/>
            <w:r>
              <w:rPr>
                <w:b/>
                <w:color w:val="FFFFFF"/>
                <w:sz w:val="18"/>
              </w:rPr>
              <w:t>Tool</w:t>
            </w:r>
          </w:p>
        </w:tc>
        <w:tc>
          <w:tcPr>
            <w:tcW w:type="dxa" w:w="2268"/>
            <w:vAlign w:val="center"/>
            <w:shd w:fill="17365D"/>
          </w:tcPr>
          <w:p>
            <w:pPr>
              <w:spacing w:after="0"/>
            </w:pPr>
            <w:r/>
            <w:r>
              <w:rPr>
                <w:b/>
                <w:color w:val="FFFFFF"/>
                <w:sz w:val="18"/>
              </w:rPr>
              <w:t>Permitted input</w:t>
            </w:r>
          </w:p>
        </w:tc>
        <w:tc>
          <w:tcPr>
            <w:tcW w:type="dxa" w:w="2268"/>
            <w:vAlign w:val="center"/>
            <w:shd w:fill="17365D"/>
          </w:tcPr>
          <w:p>
            <w:pPr>
              <w:spacing w:after="0"/>
            </w:pPr>
            <w:r/>
            <w:r>
              <w:rPr>
                <w:b/>
                <w:color w:val="FFFFFF"/>
                <w:sz w:val="18"/>
              </w:rPr>
              <w:t>Output</w:t>
            </w:r>
          </w:p>
        </w:tc>
        <w:tc>
          <w:tcPr>
            <w:tcW w:type="dxa" w:w="1701"/>
            <w:vAlign w:val="center"/>
            <w:shd w:fill="17365D"/>
          </w:tcPr>
          <w:p>
            <w:pPr>
              <w:spacing w:after="0"/>
            </w:pPr>
            <w:r/>
            <w:r>
              <w:rPr>
                <w:b/>
                <w:color w:val="FFFFFF"/>
                <w:sz w:val="18"/>
              </w:rPr>
              <w:t>Timeout / limit</w:t>
            </w:r>
          </w:p>
        </w:tc>
        <w:tc>
          <w:tcPr>
            <w:tcW w:type="dxa" w:w="1701"/>
            <w:vAlign w:val="center"/>
            <w:shd w:fill="17365D"/>
          </w:tcPr>
          <w:p>
            <w:pPr>
              <w:spacing w:after="0"/>
            </w:pPr>
            <w:r/>
            <w:r>
              <w:rPr>
                <w:b/>
                <w:color w:val="FFFFFF"/>
                <w:sz w:val="18"/>
              </w:rPr>
              <w:t>Failure behaviour</w:t>
            </w:r>
          </w:p>
        </w:tc>
      </w:tr>
      <w:tr>
        <w:tc>
          <w:tcPr>
            <w:tcW w:type="dxa" w:w="2268"/>
            <w:vAlign w:val="center"/>
            <w:shd w:fill="F4F7FA"/>
          </w:tcPr>
          <w:p>
            <w:pPr>
              <w:spacing w:after="0"/>
            </w:pPr>
            <w:r/>
            <w:r>
              <w:rPr>
                <w:b w:val="0"/>
                <w:sz w:val="17"/>
              </w:rPr>
              <w:t>Network inventory</w:t>
              <w:br/>
              <w:t>network_inventory.sh</w:t>
            </w:r>
          </w:p>
        </w:tc>
        <w:tc>
          <w:tcPr>
            <w:tcW w:type="dxa" w:w="2268"/>
            <w:vAlign w:val="center"/>
            <w:shd w:fill="F4F7FA"/>
          </w:tcPr>
          <w:p>
            <w:pPr>
              <w:spacing w:after="0"/>
            </w:pPr>
            <w:r/>
            <w:r>
              <w:rPr>
                <w:b w:val="0"/>
                <w:sz w:val="17"/>
              </w:rPr>
              <w:t>Local host only</w:t>
            </w:r>
          </w:p>
        </w:tc>
        <w:tc>
          <w:tcPr>
            <w:tcW w:type="dxa" w:w="2268"/>
            <w:vAlign w:val="center"/>
            <w:shd w:fill="F4F7FA"/>
          </w:tcPr>
          <w:p>
            <w:pPr>
              <w:spacing w:after="0"/>
            </w:pPr>
            <w:r/>
            <w:r>
              <w:rPr>
                <w:b w:val="0"/>
                <w:sz w:val="17"/>
              </w:rPr>
              <w:t>Timestamped text report</w:t>
            </w:r>
          </w:p>
        </w:tc>
        <w:tc>
          <w:tcPr>
            <w:tcW w:type="dxa" w:w="1701"/>
            <w:vAlign w:val="center"/>
            <w:shd w:fill="F4F7FA"/>
          </w:tcPr>
          <w:p>
            <w:pPr>
              <w:spacing w:after="0"/>
            </w:pPr>
            <w:r/>
            <w:r>
              <w:rPr>
                <w:b w:val="0"/>
                <w:sz w:val="17"/>
              </w:rPr>
              <w:t>Read-only commands</w:t>
            </w:r>
          </w:p>
        </w:tc>
        <w:tc>
          <w:tcPr>
            <w:tcW w:type="dxa" w:w="1701"/>
            <w:vAlign w:val="center"/>
            <w:shd w:fill="F4F7FA"/>
          </w:tcPr>
          <w:p>
            <w:pPr>
              <w:spacing w:after="0"/>
            </w:pPr>
            <w:r/>
            <w:r>
              <w:rPr>
                <w:b w:val="0"/>
                <w:sz w:val="17"/>
              </w:rPr>
              <w:t>Reports command errors and exits on failure</w:t>
            </w:r>
          </w:p>
        </w:tc>
      </w:tr>
      <w:tr>
        <w:tc>
          <w:tcPr>
            <w:tcW w:type="dxa" w:w="2268"/>
            <w:vAlign w:val="center"/>
          </w:tcPr>
          <w:p>
            <w:pPr>
              <w:spacing w:after="0"/>
            </w:pPr>
            <w:r/>
            <w:r>
              <w:rPr>
                <w:b w:val="0"/>
                <w:sz w:val="17"/>
              </w:rPr>
              <w:t>Ping sweep</w:t>
              <w:br/>
              <w:t>authorised_ping_sweep.sh</w:t>
            </w:r>
          </w:p>
        </w:tc>
        <w:tc>
          <w:tcPr>
            <w:tcW w:type="dxa" w:w="2268"/>
            <w:vAlign w:val="center"/>
          </w:tcPr>
          <w:p>
            <w:pPr>
              <w:spacing w:after="0"/>
            </w:pPr>
            <w:r/>
            <w:r>
              <w:rPr>
                <w:b w:val="0"/>
                <w:sz w:val="17"/>
              </w:rPr>
              <w:t>192.168.56.1–192.168.56.254</w:t>
            </w:r>
          </w:p>
        </w:tc>
        <w:tc>
          <w:tcPr>
            <w:tcW w:type="dxa" w:w="2268"/>
            <w:vAlign w:val="center"/>
          </w:tcPr>
          <w:p>
            <w:pPr>
              <w:spacing w:after="0"/>
            </w:pPr>
            <w:r/>
            <w:r>
              <w:rPr>
                <w:b w:val="0"/>
                <w:sz w:val="17"/>
              </w:rPr>
              <w:t>Responsive hosts (.txt)</w:t>
            </w:r>
          </w:p>
        </w:tc>
        <w:tc>
          <w:tcPr>
            <w:tcW w:type="dxa" w:w="1701"/>
            <w:vAlign w:val="center"/>
          </w:tcPr>
          <w:p>
            <w:pPr>
              <w:spacing w:after="0"/>
            </w:pPr>
            <w:r/>
            <w:r>
              <w:rPr>
                <w:b w:val="0"/>
                <w:sz w:val="17"/>
              </w:rPr>
              <w:t>1 second per probe (-c 1, -W 1)</w:t>
            </w:r>
          </w:p>
        </w:tc>
        <w:tc>
          <w:tcPr>
            <w:tcW w:type="dxa" w:w="1701"/>
            <w:vAlign w:val="center"/>
          </w:tcPr>
          <w:p>
            <w:pPr>
              <w:spacing w:after="0"/>
            </w:pPr>
            <w:r/>
            <w:r>
              <w:rPr>
                <w:b w:val="0"/>
                <w:sz w:val="17"/>
              </w:rPr>
              <w:t>Rejects non-authorised prefix; exit 2</w:t>
            </w:r>
          </w:p>
        </w:tc>
      </w:tr>
      <w:tr>
        <w:tc>
          <w:tcPr>
            <w:tcW w:type="dxa" w:w="2268"/>
            <w:vAlign w:val="center"/>
            <w:shd w:fill="F4F7FA"/>
          </w:tcPr>
          <w:p>
            <w:pPr>
              <w:spacing w:after="0"/>
            </w:pPr>
            <w:r/>
            <w:r>
              <w:rPr>
                <w:b w:val="0"/>
                <w:sz w:val="17"/>
              </w:rPr>
              <w:t>Service checker</w:t>
              <w:br/>
              <w:t>service_check.py</w:t>
            </w:r>
          </w:p>
        </w:tc>
        <w:tc>
          <w:tcPr>
            <w:tcW w:type="dxa" w:w="2268"/>
            <w:vAlign w:val="center"/>
            <w:shd w:fill="F4F7FA"/>
          </w:tcPr>
          <w:p>
            <w:pPr>
              <w:spacing w:after="0"/>
            </w:pPr>
            <w:r/>
            <w:r>
              <w:rPr>
                <w:b w:val="0"/>
                <w:sz w:val="17"/>
              </w:rPr>
              <w:t>One authorised host in 192.168.56.0/24</w:t>
            </w:r>
          </w:p>
        </w:tc>
        <w:tc>
          <w:tcPr>
            <w:tcW w:type="dxa" w:w="2268"/>
            <w:vAlign w:val="center"/>
            <w:shd w:fill="F4F7FA"/>
          </w:tcPr>
          <w:p>
            <w:pPr>
              <w:spacing w:after="0"/>
            </w:pPr>
            <w:r/>
            <w:r>
              <w:rPr>
                <w:b w:val="0"/>
                <w:sz w:val="17"/>
              </w:rPr>
              <w:t>Selected TCP port state</w:t>
            </w:r>
          </w:p>
        </w:tc>
        <w:tc>
          <w:tcPr>
            <w:tcW w:type="dxa" w:w="1701"/>
            <w:vAlign w:val="center"/>
            <w:shd w:fill="F4F7FA"/>
          </w:tcPr>
          <w:p>
            <w:pPr>
              <w:spacing w:after="0"/>
            </w:pPr>
            <w:r/>
            <w:r>
              <w:rPr>
                <w:b w:val="0"/>
                <w:sz w:val="17"/>
              </w:rPr>
              <w:t>1 second per port</w:t>
            </w:r>
          </w:p>
        </w:tc>
        <w:tc>
          <w:tcPr>
            <w:tcW w:type="dxa" w:w="1701"/>
            <w:vAlign w:val="center"/>
            <w:shd w:fill="F4F7FA"/>
          </w:tcPr>
          <w:p>
            <w:pPr>
              <w:spacing w:after="0"/>
            </w:pPr>
            <w:r/>
            <w:r>
              <w:rPr>
                <w:b w:val="0"/>
                <w:sz w:val="17"/>
              </w:rPr>
              <w:t>Rejects invalid IP / out-of-scope host; exit 1/2/3</w:t>
            </w:r>
          </w:p>
        </w:tc>
      </w:tr>
      <w:tr>
        <w:tc>
          <w:tcPr>
            <w:tcW w:type="dxa" w:w="2268"/>
            <w:vAlign w:val="center"/>
          </w:tcPr>
          <w:p>
            <w:pPr>
              <w:spacing w:after="0"/>
            </w:pPr>
            <w:r/>
            <w:r>
              <w:rPr>
                <w:b w:val="0"/>
                <w:sz w:val="17"/>
              </w:rPr>
              <w:t>PCAP summary</w:t>
              <w:br/>
              <w:t>pcap_summary.py</w:t>
            </w:r>
          </w:p>
        </w:tc>
        <w:tc>
          <w:tcPr>
            <w:tcW w:type="dxa" w:w="2268"/>
            <w:vAlign w:val="center"/>
          </w:tcPr>
          <w:p>
            <w:pPr>
              <w:spacing w:after="0"/>
            </w:pPr>
            <w:r/>
            <w:r>
              <w:rPr>
                <w:b w:val="0"/>
                <w:sz w:val="17"/>
              </w:rPr>
              <w:t>Existing local .pcap/.pcapng</w:t>
            </w:r>
          </w:p>
        </w:tc>
        <w:tc>
          <w:tcPr>
            <w:tcW w:type="dxa" w:w="2268"/>
            <w:vAlign w:val="center"/>
          </w:tcPr>
          <w:p>
            <w:pPr>
              <w:spacing w:after="0"/>
            </w:pPr>
            <w:r/>
            <w:r>
              <w:rPr>
                <w:b w:val="0"/>
                <w:sz w:val="17"/>
              </w:rPr>
              <w:t>Protocol, endpoint and TCP-port counts</w:t>
            </w:r>
          </w:p>
        </w:tc>
        <w:tc>
          <w:tcPr>
            <w:tcW w:type="dxa" w:w="1701"/>
            <w:vAlign w:val="center"/>
          </w:tcPr>
          <w:p>
            <w:pPr>
              <w:spacing w:after="0"/>
            </w:pPr>
            <w:r/>
            <w:r>
              <w:rPr>
                <w:b w:val="0"/>
                <w:sz w:val="17"/>
              </w:rPr>
              <w:t>Offline read; supplied file only</w:t>
            </w:r>
          </w:p>
        </w:tc>
        <w:tc>
          <w:tcPr>
            <w:tcW w:type="dxa" w:w="1701"/>
            <w:vAlign w:val="center"/>
          </w:tcPr>
          <w:p>
            <w:pPr>
              <w:spacing w:after="0"/>
            </w:pPr>
            <w:r/>
            <w:r>
              <w:rPr>
                <w:b w:val="0"/>
                <w:sz w:val="17"/>
              </w:rPr>
              <w:t>Rejects missing or unsupported PCAP; exit 1/2</w:t>
            </w:r>
          </w:p>
        </w:tc>
      </w:tr>
    </w:tbl>
    <w:p/>
    <w:p>
      <w:r>
        <w:rPr>
          <w:b/>
          <w:color w:val="1F4E78"/>
        </w:rPr>
        <w:t>Scope control:</w:t>
      </w:r>
      <w:r>
        <w:t xml:space="preserve"> Network actions are limited to the explicitly authorised private laboratory range. The ping-sweep script uses a fixed prefix gate, while the service checker uses an IP-network membership test before opening any socket.</w:t>
      </w:r>
    </w:p>
    <w:p>
      <w:r>
        <w:rPr>
          <w:b/>
          <w:color w:val="1F4E78"/>
        </w:rPr>
        <w:t>Safety control:</w:t>
      </w:r>
      <w:r>
        <w:t xml:space="preserve"> Network probes are bounded by a one-second timeout and the PCAP exercise reads an existing file offline rather than sniffing live traffic.</w:t>
      </w:r>
    </w:p>
    <w:p>
      <w:r>
        <w:br w:type="page"/>
      </w:r>
    </w:p>
    <w:p>
      <w:pPr>
        <w:pStyle w:val="Title"/>
      </w:pPr>
      <w:r>
        <w:t>Part 2 — Bash Network Inventory</w:t>
      </w:r>
    </w:p>
    <w:p>
      <w:r>
        <w:t>The network inventory script collects local network state without modifying network configuration. It writes a timestamped report and uses strict Bash error handling.</w:t>
      </w:r>
    </w:p>
    <w:p>
      <w:pPr>
        <w:pStyle w:val="Heading1"/>
      </w:pPr>
      <w:r>
        <w:t>2.1 Strict Bash options</w:t>
      </w:r>
    </w:p>
    <w:p>
      <w:r>
        <w:rPr>
          <w:b/>
          <w:color w:val="1F4E78"/>
        </w:rPr>
        <w:t>set -e:</w:t>
      </w:r>
      <w:r>
        <w:t xml:space="preserve"> Stops the script when a command returns a non-zero status, preventing execution from continuing after a command failure.</w:t>
      </w:r>
    </w:p>
    <w:p>
      <w:r>
        <w:rPr>
          <w:b/>
          <w:color w:val="1F4E78"/>
        </w:rPr>
        <w:t>set -u:</w:t>
      </w:r>
      <w:r>
        <w:t xml:space="preserve"> Treats expansion of an unset variable as an error, reducing failures caused by missing variables or typographical mistakes.</w:t>
      </w:r>
    </w:p>
    <w:p>
      <w:r>
        <w:rPr>
          <w:b/>
          <w:color w:val="1F4E78"/>
        </w:rPr>
        <w:t>set -o pipefail:</w:t>
      </w:r>
      <w:r>
        <w:t xml:space="preserve"> Makes a pipeline fail when a command within the pipeline fails, rather than allowing a successful final command to hide an earlier failure.</w:t>
      </w:r>
    </w:p>
    <w:p>
      <w:pPr>
        <w:pStyle w:val="Heading1"/>
      </w:pPr>
      <w:r>
        <w:t>2.2 Default and custom output directories</w:t>
      </w:r>
    </w:p>
    <w:p>
      <w:r>
        <w:rPr>
          <w:b/>
          <w:color w:val="1F4E78"/>
        </w:rPr>
        <w:t>Default directory:</w:t>
      </w:r>
      <w:r>
        <w:t xml:space="preserve"> Running ./network_inventory.sh created a timestamped report in the evidence directory.</w:t>
      </w:r>
    </w:p>
    <w:p>
      <w:r>
        <w:rPr>
          <w:b/>
          <w:color w:val="1F4E78"/>
        </w:rPr>
        <w:t>Custom directory:</w:t>
      </w:r>
      <w:r>
        <w:t xml:space="preserve"> Running ./network_inventory.sh custom_evidence directed the timestamped report to the specified custom directory. The submitted evidence also shows a custom_inventory run.</w:t>
      </w:r>
    </w:p>
    <w:p>
      <w:pPr>
        <w:jc w:val="center"/>
      </w:pPr>
      <w:r>
        <w:drawing>
          <wp:inline xmlns:a="http://schemas.openxmlformats.org/drawingml/2006/main" xmlns:pic="http://schemas.openxmlformats.org/drawingml/2006/picture">
            <wp:extent cx="5328000" cy="3503225"/>
            <wp:docPr id="1" name="Picture 1"/>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328000" cy="3503225"/>
                    </a:xfrm>
                    <a:prstGeom prst="rect"/>
                  </pic:spPr>
                </pic:pic>
              </a:graphicData>
            </a:graphic>
          </wp:inline>
        </w:drawing>
      </w:r>
    </w:p>
    <w:p>
      <w:pPr>
        <w:pStyle w:val="EvidenceCaption"/>
        <w:jc w:val="center"/>
      </w:pPr>
      <w:r>
        <w:t>Evidence 2.1 — Syntax check and network inventory execution with timestamped output.</w:t>
      </w:r>
    </w:p>
    <w:p>
      <w:pPr>
        <w:jc w:val="center"/>
      </w:pPr>
      <w:r>
        <w:drawing>
          <wp:inline xmlns:a="http://schemas.openxmlformats.org/drawingml/2006/main" xmlns:pic="http://schemas.openxmlformats.org/drawingml/2006/picture">
            <wp:extent cx="5328000" cy="5164459"/>
            <wp:docPr id="2" name="Picture 2"/>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328000" cy="5164459"/>
                    </a:xfrm>
                    <a:prstGeom prst="rect"/>
                  </pic:spPr>
                </pic:pic>
              </a:graphicData>
            </a:graphic>
          </wp:inline>
        </w:drawing>
      </w:r>
    </w:p>
    <w:p>
      <w:pPr>
        <w:pStyle w:val="EvidenceCaption"/>
        <w:jc w:val="center"/>
      </w:pPr>
      <w:r>
        <w:t>Evidence 2.2 — Generated inventory report and recorded network state.</w:t>
      </w:r>
    </w:p>
    <w:p>
      <w:pPr>
        <w:pStyle w:val="Heading1"/>
      </w:pPr>
      <w:r>
        <w:t>2.3 Default gateway and route enhancement</w:t>
      </w:r>
    </w:p>
    <w:p>
      <w:r>
        <w:rPr>
          <w:b/>
          <w:color w:val="1F4E78"/>
        </w:rPr>
        <w:t>Enhancement:</w:t>
      </w:r>
      <w:r>
        <w:t xml:space="preserve"> The inventory was extended to record the default route and the route Linux would use to reach 192.168.56.1. The recorded result identifies interface eth1 and source address 192.168.56.101 for the laboratory route.</w:t>
      </w:r>
    </w:p>
    <w:p>
      <w:pPr>
        <w:jc w:val="center"/>
      </w:pPr>
      <w:r>
        <w:drawing>
          <wp:inline xmlns:a="http://schemas.openxmlformats.org/drawingml/2006/main" xmlns:pic="http://schemas.openxmlformats.org/drawingml/2006/picture">
            <wp:extent cx="3780000" cy="5602800"/>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3780000" cy="5602800"/>
                    </a:xfrm>
                    <a:prstGeom prst="rect"/>
                  </pic:spPr>
                </pic:pic>
              </a:graphicData>
            </a:graphic>
          </wp:inline>
        </w:drawing>
      </w:r>
    </w:p>
    <w:p>
      <w:pPr>
        <w:pStyle w:val="EvidenceCaption"/>
        <w:jc w:val="center"/>
      </w:pPr>
      <w:r>
        <w:t>Evidence 2.3 — Inventory script showing the added route/gateway collection commands.</w:t>
      </w:r>
    </w:p>
    <w:p>
      <w:pPr>
        <w:pStyle w:val="Heading1"/>
      </w:pPr>
      <w:r>
        <w:t>2.4 Read-only behaviour</w:t>
      </w:r>
    </w:p>
    <w:p>
      <w:r>
        <w:rPr>
          <w:b/>
          <w:color w:val="1F4E78"/>
        </w:rPr>
        <w:t>Result:</w:t>
      </w:r>
      <w:r>
        <w:t xml:space="preserve"> The inventory commands are status-retrieval operations: ip -br link, ip -br addr, ip route, ip neigh show, ss -tuln, /etc/resolv.conf inspection and df -h. The only intended disk change is creation of the report file in the selected output directory.</w:t>
      </w:r>
    </w:p>
    <w:p>
      <w:r>
        <w:br w:type="page"/>
      </w:r>
    </w:p>
    <w:p>
      <w:pPr>
        <w:pStyle w:val="Title"/>
      </w:pPr>
      <w:r>
        <w:t>Part 3 — Controlled Bash Ping Sweep</w:t>
      </w:r>
    </w:p>
    <w:p>
      <w:r>
        <w:t>The sweep enforces the approved 192.168.56 prefix before entering the host loop. Each ICMP probe is limited to one packet with a one-second wait.</w:t>
      </w:r>
    </w:p>
    <w:p>
      <w:r>
        <w:rPr>
          <w:b/>
          <w:color w:val="1F4E78"/>
        </w:rPr>
        <w:t>Out-of-scope validation:</w:t>
      </w:r>
      <w:r>
        <w:t xml:space="preserve"> The test using 203.0.113 was rejected before any sweep was performed, returning exit status 2 and displaying the authorised-prefix message.</w:t>
      </w:r>
    </w:p>
    <w:p>
      <w:pPr>
        <w:jc w:val="center"/>
      </w:pPr>
      <w:r>
        <w:drawing>
          <wp:inline xmlns:a="http://schemas.openxmlformats.org/drawingml/2006/main" xmlns:pic="http://schemas.openxmlformats.org/drawingml/2006/picture">
            <wp:extent cx="4968000" cy="8507378"/>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4968000" cy="8507378"/>
                    </a:xfrm>
                    <a:prstGeom prst="rect"/>
                  </pic:spPr>
                </pic:pic>
              </a:graphicData>
            </a:graphic>
          </wp:inline>
        </w:drawing>
      </w:r>
    </w:p>
    <w:p>
      <w:pPr>
        <w:pStyle w:val="EvidenceCaption"/>
        <w:jc w:val="center"/>
      </w:pPr>
      <w:r>
        <w:t>Evidence 3.1 — Rejected out-of-scope test followed by the authorised sweep and responsive-host results.</w:t>
      </w:r>
    </w:p>
    <w:p>
      <w:r>
        <w:rPr>
          <w:b/>
          <w:color w:val="1F4E78"/>
        </w:rPr>
        <w:t>Authorised sweep result:</w:t>
      </w:r>
      <w:r>
        <w:t xml:space="preserve"> The successful sweep recorded four responsive hosts: 192.168.56.4, 192.168.56.100, 192.168.56.101 and 192.168.56.102. The evidence also records the sweep start/finish information and a total responsive-host count of four.</w:t>
      </w:r>
    </w:p>
    <w:p>
      <w:r>
        <w:rPr>
          <w:b/>
          <w:color w:val="1F4E78"/>
        </w:rPr>
        <w:t>Why an online host may not answer ICMP:</w:t>
      </w:r>
      <w:r>
        <w:t xml:space="preserve"> A host can be operational while ignoring ICMP echo requests because of a host firewall, network filtering, disabled ICMP handling, routing restrictions or another security policy. Therefore, lack of an ICMP response is not proof that the host is offline.</w:t>
      </w:r>
    </w:p>
    <w:p>
      <w:pPr>
        <w:pStyle w:val="Heading1"/>
      </w:pPr>
      <w:r>
        <w:t>3.1 Scope enforcement implementation</w:t>
      </w:r>
    </w:p>
    <w:p>
      <w:pPr>
        <w:jc w:val="center"/>
      </w:pPr>
      <w:r>
        <w:drawing>
          <wp:inline xmlns:a="http://schemas.openxmlformats.org/drawingml/2006/main" xmlns:pic="http://schemas.openxmlformats.org/drawingml/2006/picture">
            <wp:extent cx="4500000" cy="5525041"/>
            <wp:docPr id="5" name="Picture 5"/>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4500000" cy="5525041"/>
                    </a:xfrm>
                    <a:prstGeom prst="rect"/>
                  </pic:spPr>
                </pic:pic>
              </a:graphicData>
            </a:graphic>
          </wp:inline>
        </w:drawing>
      </w:r>
    </w:p>
    <w:p>
      <w:pPr>
        <w:pStyle w:val="EvidenceCaption"/>
        <w:jc w:val="center"/>
      </w:pPr>
      <w:r>
        <w:t>Evidence 3.2 — Authorised ping-sweep script showing the fixed prefix gate and one-second ICMP probe.</w:t>
      </w:r>
    </w:p>
    <w:p>
      <w:r>
        <w:br w:type="page"/>
      </w:r>
    </w:p>
    <w:p>
      <w:pPr>
        <w:pStyle w:val="Title"/>
      </w:pPr>
      <w:r>
        <w:t>Part 4 — Python Service Checker</w:t>
      </w:r>
    </w:p>
    <w:p>
      <w:r>
        <w:t>The service checker validates the target as an IPv4 address, confirms membership of 192.168.56.0/24, and uses socket.create_connection() with a one-second timeout for the approved TCP ports 22, 53, 80, 443 and 8080.</w:t>
      </w:r>
    </w:p>
    <w:p>
      <w:pPr>
        <w:pStyle w:val="Heading1"/>
      </w:pPr>
      <w:r>
        <w:t>4.1 Input and scope validation</w:t>
      </w:r>
    </w:p>
    <w:p>
      <w:r>
        <w:rPr>
          <w:b/>
          <w:color w:val="1F4E78"/>
        </w:rPr>
        <w:t>Invalid input:</w:t>
      </w:r>
      <w:r>
        <w:t xml:space="preserve"> A non-IPv4 value is rejected with an invalid-address message and exit status 2.</w:t>
      </w:r>
    </w:p>
    <w:p>
      <w:r>
        <w:rPr>
          <w:b/>
          <w:color w:val="1F4E78"/>
        </w:rPr>
        <w:t>Out-of-scope input:</w:t>
      </w:r>
      <w:r>
        <w:t xml:space="preserve"> The address 8.8.8.8 is rejected by the authorised-network check and the recorded exit status is 3.</w:t>
      </w:r>
    </w:p>
    <w:p>
      <w:r>
        <w:rPr>
          <w:b/>
          <w:color w:val="1F4E78"/>
        </w:rPr>
        <w:t>Authorised target:</w:t>
      </w:r>
      <w:r>
        <w:t xml:space="preserve"> The checker was run against 192.168.56.100/101 in the supplied evidence and returned bounded states for the selected ports.</w:t>
      </w:r>
    </w:p>
    <w:p>
      <w:pPr>
        <w:jc w:val="center"/>
      </w:pPr>
      <w:r>
        <w:drawing>
          <wp:inline xmlns:a="http://schemas.openxmlformats.org/drawingml/2006/main" xmlns:pic="http://schemas.openxmlformats.org/drawingml/2006/picture">
            <wp:extent cx="5220000" cy="3137409"/>
            <wp:docPr id="6" name="Picture 6"/>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220000" cy="3137409"/>
                    </a:xfrm>
                    <a:prstGeom prst="rect"/>
                  </pic:spPr>
                </pic:pic>
              </a:graphicData>
            </a:graphic>
          </wp:inline>
        </w:drawing>
      </w:r>
    </w:p>
    <w:p>
      <w:pPr>
        <w:pStyle w:val="EvidenceCaption"/>
        <w:jc w:val="center"/>
      </w:pPr>
      <w:r>
        <w:t>Evidence 4.1 — Invalid input, out-of-scope address rejection and authorised service-check execution.</w:t>
      </w:r>
    </w:p>
    <w:p>
      <w:pPr>
        <w:pStyle w:val="Heading1"/>
      </w:pPr>
      <w:r>
        <w:t>4.2 Service availability change detection</w:t>
      </w:r>
    </w:p>
    <w:p>
      <w:r>
        <w:rPr>
          <w:b/>
          <w:color w:val="1F4E78"/>
        </w:rPr>
        <w:t>Test service:</w:t>
      </w:r>
      <w:r>
        <w:t xml:space="preserve"> A temporary Python HTTP server was started on TCP port 8080. The service checker then reported TCP 8080 as OPEN. After the temporary server process was terminated, a subsequent check reported TCP 8080 as CLOSED OR FILTERED.</w:t>
      </w:r>
    </w:p>
    <w:p>
      <w:r>
        <w:rPr>
          <w:b/>
          <w:color w:val="1F4E78"/>
        </w:rPr>
        <w:t>Interpretation:</w:t>
      </w:r>
      <w:r>
        <w:t xml:space="preserve"> The change demonstrates that the checker can detect a change in TCP service reachability. The result does not distinguish a closed service from a filtered service when the connection attempt does not succeed.</w:t>
      </w:r>
    </w:p>
    <w:p>
      <w:pPr>
        <w:jc w:val="center"/>
      </w:pPr>
      <w:r>
        <w:drawing>
          <wp:inline xmlns:a="http://schemas.openxmlformats.org/drawingml/2006/main" xmlns:pic="http://schemas.openxmlformats.org/drawingml/2006/picture">
            <wp:extent cx="5220000" cy="3299689"/>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220000" cy="3299689"/>
                    </a:xfrm>
                    <a:prstGeom prst="rect"/>
                  </pic:spPr>
                </pic:pic>
              </a:graphicData>
            </a:graphic>
          </wp:inline>
        </w:drawing>
      </w:r>
    </w:p>
    <w:p>
      <w:pPr>
        <w:pStyle w:val="EvidenceCaption"/>
        <w:jc w:val="center"/>
      </w:pPr>
      <w:r>
        <w:t>Evidence 4.2 — TCP 8080 changes from OPEN while the HTTP test service is running to CLOSED OR FILTERED after termination.</w:t>
      </w:r>
    </w:p>
    <w:p>
      <w:pPr>
        <w:pStyle w:val="Heading1"/>
      </w:pPr>
      <w:r>
        <w:t>4.3 Bounded socket checks</w:t>
      </w:r>
    </w:p>
    <w:p>
      <w:r>
        <w:rPr>
          <w:b/>
          <w:color w:val="1F4E78"/>
        </w:rPr>
        <w:t>Timeout control:</w:t>
      </w:r>
      <w:r>
        <w:t xml:space="preserve"> Each socket connection uses timeout=1, ensuring the checker does not wait indefinitely on a non-responsive port.</w:t>
      </w:r>
    </w:p>
    <w:p>
      <w:r>
        <w:br w:type="page"/>
      </w:r>
    </w:p>
    <w:p>
      <w:pPr>
        <w:pStyle w:val="Title"/>
      </w:pPr>
      <w:r>
        <w:t>Part 5 — Offline PCAP Summary with Scapy</w:t>
      </w:r>
    </w:p>
    <w:p>
      <w:r>
        <w:t>The supplied evidence uses core102_http.pcap copied from the earlier laboratory and analyses it offline. No live packet sniffing is required for the summary operation.</w:t>
      </w:r>
    </w:p>
    <w:p>
      <w:r>
        <w:rPr>
          <w:b/>
          <w:color w:val="1F4E78"/>
        </w:rPr>
        <w:t>PCAP validation:</w:t>
      </w:r>
      <w:r>
        <w:t xml:space="preserve"> The program checks that the supplied path is a file and that its extension is .pcap or .pcapng before opening it with PcapReader.</w:t>
      </w:r>
    </w:p>
    <w:p>
      <w:pPr>
        <w:jc w:val="center"/>
      </w:pPr>
      <w:r>
        <w:drawing>
          <wp:inline xmlns:a="http://schemas.openxmlformats.org/drawingml/2006/main" xmlns:pic="http://schemas.openxmlformats.org/drawingml/2006/picture">
            <wp:extent cx="5220000" cy="4859435"/>
            <wp:docPr id="8" name="Picture 8"/>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220000" cy="4859435"/>
                    </a:xfrm>
                    <a:prstGeom prst="rect"/>
                  </pic:spPr>
                </pic:pic>
              </a:graphicData>
            </a:graphic>
          </wp:inline>
        </w:drawing>
      </w:r>
    </w:p>
    <w:p>
      <w:pPr>
        <w:pStyle w:val="EvidenceCaption"/>
        <w:jc w:val="center"/>
      </w:pPr>
      <w:r>
        <w:t>Evidence 5.1 — Authorised PCAP present in the laboratory workspace and copied into the Lab 5 directory.</w:t>
      </w:r>
    </w:p>
    <w:p>
      <w:pPr>
        <w:pStyle w:val="Heading1"/>
      </w:pPr>
      <w:r>
        <w:t>5.1 Parsing and protocol results</w:t>
      </w:r>
    </w:p>
    <w:p>
      <w:r>
        <w:rPr>
          <w:b/>
          <w:color w:val="1F4E78"/>
        </w:rPr>
        <w:t>Packet total:</w:t>
      </w:r>
      <w:r>
        <w:t xml:space="preserve"> The supplied execution reports 12 packets.</w:t>
      </w:r>
    </w:p>
    <w:p>
      <w:r>
        <w:rPr>
          <w:b/>
          <w:color w:val="1F4E78"/>
        </w:rPr>
        <w:t>Protocol result:</w:t>
      </w:r>
      <w:r>
        <w:t xml:space="preserve"> All 12 packets were classified as TCP.</w:t>
      </w:r>
    </w:p>
    <w:p>
      <w:r>
        <w:rPr>
          <w:b/>
          <w:color w:val="1F4E78"/>
        </w:rPr>
        <w:t>Endpoint result:</w:t>
      </w:r>
      <w:r>
        <w:t xml:space="preserve"> 127.0.0.1 appears as the top endpoint with 24 endpoint occurrences, reflecting source and destination accounting across the packets.</w:t>
      </w:r>
    </w:p>
    <w:p>
      <w:r>
        <w:rPr>
          <w:b/>
          <w:color w:val="1F4E78"/>
        </w:rPr>
        <w:t>TCP ports:</w:t>
      </w:r>
      <w:r>
        <w:t xml:space="preserve"> Ports 35890 and 8080 each occur 12 times in the TCP port counter.</w:t>
      </w:r>
    </w:p>
    <w:p>
      <w:pPr>
        <w:jc w:val="center"/>
      </w:pPr>
      <w:r>
        <w:drawing>
          <wp:inline xmlns:a="http://schemas.openxmlformats.org/drawingml/2006/main" xmlns:pic="http://schemas.openxmlformats.org/drawingml/2006/picture">
            <wp:extent cx="5220000" cy="2196170"/>
            <wp:docPr id="9" name="Picture 9"/>
            <wp:cNvGraphicFramePr>
              <a:graphicFrameLocks noChangeAspect="1"/>
            </wp:cNvGraphicFramePr>
            <a:graphic>
              <a:graphicData uri="http://schemas.openxmlformats.org/drawingml/2006/picture">
                <pic:pic>
                  <pic:nvPicPr>
                    <pic:cNvPr id="0" name="image12.png"/>
                    <pic:cNvPicPr/>
                  </pic:nvPicPr>
                  <pic:blipFill>
                    <a:blip r:embed="rId19"/>
                    <a:stretch>
                      <a:fillRect/>
                    </a:stretch>
                  </pic:blipFill>
                  <pic:spPr>
                    <a:xfrm>
                      <a:off x="0" y="0"/>
                      <a:ext cx="5220000" cy="2196170"/>
                    </a:xfrm>
                    <a:prstGeom prst="rect"/>
                  </pic:spPr>
                </pic:pic>
              </a:graphicData>
            </a:graphic>
          </wp:inline>
        </w:drawing>
      </w:r>
    </w:p>
    <w:p>
      <w:pPr>
        <w:pStyle w:val="EvidenceCaption"/>
        <w:jc w:val="center"/>
      </w:pPr>
      <w:r>
        <w:t>Evidence 5.2 — pcap_summary.py compilation and offline summary output for core102_http.pcap.</w:t>
      </w:r>
    </w:p>
    <w:p>
      <w:pPr>
        <w:pStyle w:val="Heading1"/>
      </w:pPr>
      <w:r>
        <w:t>5.2 Required analysis questions</w:t>
      </w:r>
    </w:p>
    <w:p>
      <w:r>
        <w:rPr>
          <w:b/>
          <w:color w:val="1F4E78"/>
        </w:rPr>
        <w:t>1. Packet-total comparison:</w:t>
      </w:r>
      <w:r>
        <w:t xml:space="preserve"> The script reports 12 packets. No separate capinfos or Wireshark Statistics result is included in the submitted evidence, so an independent second-source packet-total comparison is not claimed.</w:t>
      </w:r>
    </w:p>
    <w:p>
      <w:r>
        <w:rPr>
          <w:b/>
          <w:color w:val="1F4E78"/>
        </w:rPr>
        <w:t>2. Why both source and destination ports are counted:</w:t>
      </w:r>
      <w:r>
        <w:t xml:space="preserve"> Every TCP segment has both a source and destination port. Counting both captures the communicating endpoints of each segment and allows the ephemeral client port and service port to be identified.</w:t>
      </w:r>
    </w:p>
    <w:p>
      <w:r>
        <w:rPr>
          <w:b/>
          <w:color w:val="1F4E78"/>
        </w:rPr>
        <w:t>3. DNS counter enhancement:</w:t>
      </w:r>
      <w:r>
        <w:t xml:space="preserve"> DNS traffic can be counted by checking UDP or TCP port 53 before the general protocol classification. A suitable enhancement is shown below.</w:t>
      </w:r>
    </w:p>
    <w:p>
      <w:pPr>
        <w:pStyle w:val="Code"/>
        <w:ind w:left="283" w:right="283"/>
      </w:pPr>
      <w:r>
        <w:t>if TCP in packet:</w:t>
        <w:br/>
        <w:t xml:space="preserve">    tcp_ports.update([packet[TCP].sport, packet[TCP].dport])</w:t>
        <w:br/>
        <w:t xml:space="preserve">    if packet[TCP].sport == 53 or packet[TCP].dport == 53:</w:t>
        <w:br/>
        <w:t xml:space="preserve">        protocols['DNS'] += 1</w:t>
        <w:br/>
        <w:t xml:space="preserve">    protocols['TCP'] += 1</w:t>
        <w:br/>
        <w:t>elif UDP in packet:</w:t>
        <w:br/>
        <w:t xml:space="preserve">    if packet[UDP].sport == 53 or packet[UDP].dport == 53:</w:t>
        <w:br/>
        <w:t xml:space="preserve">        protocols['DNS'] += 1</w:t>
        <w:br/>
        <w:t xml:space="preserve">    protocols['UDP'] += 1</w:t>
      </w:r>
    </w:p>
    <w:p>
      <w:r>
        <w:rPr>
          <w:b/>
          <w:color w:val="1F4E78"/>
        </w:rPr>
        <w:t>4. Port-based classification limitation:</w:t>
      </w:r>
      <w:r>
        <w:t xml:space="preserve"> Port numbers are only an indicator. Applications can use non-standard ports, ports can be reused by different services, and encryption can prevent application-layer identification from port information alone.</w:t>
      </w:r>
    </w:p>
    <w:p>
      <w:r>
        <w:br w:type="page"/>
      </w:r>
    </w:p>
    <w:p>
      <w:pPr>
        <w:pStyle w:val="Title"/>
      </w:pPr>
      <w:r>
        <w:t>Part 6 — Integrated Security Challenge</w:t>
      </w:r>
    </w:p>
    <w:p>
      <w:r>
        <w:t>The integrated evidence was reviewed against the required final-state controls. The table below distinguishes what the submitted evidence demonstrates from controls that remain unresolved.</w:t>
      </w:r>
    </w:p>
    <w:tbl>
      <w:tblPr>
        <w:tblW w:type="auto" w:w="0"/>
        <w:tblLook w:firstColumn="1" w:firstRow="1" w:lastColumn="0" w:lastRow="0" w:noHBand="0" w:noVBand="1" w:val="04A0"/>
      </w:tblPr>
      <w:tblGrid>
        <w:gridCol w:w="3362"/>
        <w:gridCol w:w="3362"/>
        <w:gridCol w:w="3362"/>
      </w:tblGrid>
      <w:tr>
        <w:tc>
          <w:tcPr>
            <w:tcW w:type="dxa" w:w="1701"/>
            <w:vAlign w:val="center"/>
            <w:shd w:fill="17365D"/>
          </w:tcPr>
          <w:p>
            <w:pPr>
              <w:spacing w:after="0"/>
            </w:pPr>
            <w:r/>
            <w:r>
              <w:rPr>
                <w:b/>
                <w:color w:val="FFFFFF"/>
                <w:sz w:val="18"/>
              </w:rPr>
              <w:t>Control</w:t>
            </w:r>
          </w:p>
        </w:tc>
        <w:tc>
          <w:tcPr>
            <w:tcW w:type="dxa" w:w="4649"/>
            <w:vAlign w:val="center"/>
            <w:shd w:fill="17365D"/>
          </w:tcPr>
          <w:p>
            <w:pPr>
              <w:spacing w:after="0"/>
            </w:pPr>
            <w:r/>
            <w:r>
              <w:rPr>
                <w:b/>
                <w:color w:val="FFFFFF"/>
                <w:sz w:val="18"/>
              </w:rPr>
              <w:t>Evidence result</w:t>
            </w:r>
          </w:p>
        </w:tc>
        <w:tc>
          <w:tcPr>
            <w:tcW w:type="dxa" w:w="3402"/>
            <w:vAlign w:val="center"/>
            <w:shd w:fill="17365D"/>
          </w:tcPr>
          <w:p>
            <w:pPr>
              <w:spacing w:after="0"/>
            </w:pPr>
            <w:r/>
            <w:r>
              <w:rPr>
                <w:b/>
                <w:color w:val="FFFFFF"/>
                <w:sz w:val="18"/>
              </w:rPr>
              <w:t>Conclusion</w:t>
            </w:r>
          </w:p>
        </w:tc>
      </w:tr>
      <w:tr>
        <w:tc>
          <w:tcPr>
            <w:tcW w:type="dxa" w:w="1701"/>
            <w:vAlign w:val="center"/>
            <w:shd w:fill="F4F7FA"/>
          </w:tcPr>
          <w:p>
            <w:pPr>
              <w:spacing w:after="0"/>
            </w:pPr>
            <w:r/>
            <w:r>
              <w:rPr>
                <w:b w:val="0"/>
                <w:sz w:val="17"/>
              </w:rPr>
              <w:t>Address and route</w:t>
            </w:r>
          </w:p>
        </w:tc>
        <w:tc>
          <w:tcPr>
            <w:tcW w:type="dxa" w:w="4649"/>
            <w:vAlign w:val="center"/>
            <w:shd w:fill="F4F7FA"/>
          </w:tcPr>
          <w:p>
            <w:pPr>
              <w:spacing w:after="0"/>
            </w:pPr>
            <w:r/>
            <w:r>
              <w:rPr>
                <w:b w:val="0"/>
                <w:sz w:val="17"/>
              </w:rPr>
              <w:t>Recorded result: both VMs were assigned within 192.168.56.0/24 and the laboratory host route was valid.</w:t>
            </w:r>
          </w:p>
        </w:tc>
        <w:tc>
          <w:tcPr>
            <w:tcW w:type="dxa" w:w="3402"/>
            <w:vAlign w:val="center"/>
            <w:shd w:fill="F4F7FA"/>
          </w:tcPr>
          <w:p>
            <w:pPr>
              <w:spacing w:after="0"/>
            </w:pPr>
            <w:r/>
            <w:r>
              <w:rPr>
                <w:b w:val="0"/>
                <w:sz w:val="17"/>
              </w:rPr>
              <w:t>Private laboratory topology was documented and scoped.</w:t>
            </w:r>
          </w:p>
        </w:tc>
      </w:tr>
      <w:tr>
        <w:tc>
          <w:tcPr>
            <w:tcW w:type="dxa" w:w="1701"/>
            <w:vAlign w:val="center"/>
          </w:tcPr>
          <w:p>
            <w:pPr>
              <w:spacing w:after="0"/>
            </w:pPr>
            <w:r/>
            <w:r>
              <w:rPr>
                <w:b w:val="0"/>
                <w:sz w:val="17"/>
              </w:rPr>
              <w:t>Firewall policy</w:t>
            </w:r>
          </w:p>
        </w:tc>
        <w:tc>
          <w:tcPr>
            <w:tcW w:type="dxa" w:w="4649"/>
            <w:vAlign w:val="center"/>
          </w:tcPr>
          <w:p>
            <w:pPr>
              <w:spacing w:after="0"/>
            </w:pPr>
            <w:r/>
            <w:r>
              <w:rPr>
                <w:b w:val="0"/>
                <w:sz w:val="17"/>
              </w:rPr>
              <w:t>UFW was active with default deny incoming and allow outgoing. However, the captured rules show 22/tcp ALLOW IN Anywhere and 22/tcp (v6) ALLOW IN Anywhere (v6).</w:t>
            </w:r>
          </w:p>
        </w:tc>
        <w:tc>
          <w:tcPr>
            <w:tcW w:type="dxa" w:w="3402"/>
            <w:vAlign w:val="center"/>
          </w:tcPr>
          <w:p>
            <w:pPr>
              <w:spacing w:after="0"/>
            </w:pPr>
            <w:r/>
            <w:r>
              <w:rPr>
                <w:b w:val="0"/>
                <w:sz w:val="17"/>
              </w:rPr>
              <w:t>The default incoming policy is restrictive, but the required SSH source restriction to 192.168.56.0/24 is not demonstrated by the captured rule set.</w:t>
            </w:r>
          </w:p>
        </w:tc>
      </w:tr>
      <w:tr>
        <w:tc>
          <w:tcPr>
            <w:tcW w:type="dxa" w:w="1701"/>
            <w:vAlign w:val="center"/>
            <w:shd w:fill="F4F7FA"/>
          </w:tcPr>
          <w:p>
            <w:pPr>
              <w:spacing w:after="0"/>
            </w:pPr>
            <w:r/>
            <w:r>
              <w:rPr>
                <w:b w:val="0"/>
                <w:sz w:val="17"/>
              </w:rPr>
              <w:t>SSH key authentication</w:t>
            </w:r>
          </w:p>
        </w:tc>
        <w:tc>
          <w:tcPr>
            <w:tcW w:type="dxa" w:w="4649"/>
            <w:vAlign w:val="center"/>
            <w:shd w:fill="F4F7FA"/>
          </w:tcPr>
          <w:p>
            <w:pPr>
              <w:spacing w:after="0"/>
            </w:pPr>
            <w:r/>
            <w:r>
              <w:rPr>
                <w:b w:val="0"/>
                <w:sz w:val="17"/>
              </w:rPr>
              <w:t>An SSH session to 192.168.56.20 was established. The screenshot also shows: 'Identity file .../.ssh/id_rsa not accessible: No such file or directory'.</w:t>
            </w:r>
          </w:p>
        </w:tc>
        <w:tc>
          <w:tcPr>
            <w:tcW w:type="dxa" w:w="3402"/>
            <w:vAlign w:val="center"/>
            <w:shd w:fill="F4F7FA"/>
          </w:tcPr>
          <w:p>
            <w:pPr>
              <w:spacing w:after="0"/>
            </w:pPr>
            <w:r/>
            <w:r>
              <w:rPr>
                <w:b w:val="0"/>
                <w:sz w:val="17"/>
              </w:rPr>
              <w:t>SSH connectivity is demonstrated, but key-based authentication is not conclusively verified by the supplied evidence.</w:t>
            </w:r>
          </w:p>
        </w:tc>
      </w:tr>
      <w:tr>
        <w:tc>
          <w:tcPr>
            <w:tcW w:type="dxa" w:w="1701"/>
            <w:vAlign w:val="center"/>
          </w:tcPr>
          <w:p>
            <w:pPr>
              <w:spacing w:after="0"/>
            </w:pPr>
            <w:r/>
            <w:r>
              <w:rPr>
                <w:b w:val="0"/>
                <w:sz w:val="17"/>
              </w:rPr>
              <w:t>Listening services</w:t>
            </w:r>
          </w:p>
        </w:tc>
        <w:tc>
          <w:tcPr>
            <w:tcW w:type="dxa" w:w="4649"/>
            <w:vAlign w:val="center"/>
          </w:tcPr>
          <w:p>
            <w:pPr>
              <w:spacing w:after="0"/>
            </w:pPr>
            <w:r/>
            <w:r>
              <w:rPr>
                <w:b w:val="0"/>
                <w:sz w:val="17"/>
              </w:rPr>
              <w:t>ss -tulpn shows TCP listeners on 0.0.0.0:22 and [::]:22.</w:t>
            </w:r>
          </w:p>
        </w:tc>
        <w:tc>
          <w:tcPr>
            <w:tcW w:type="dxa" w:w="3402"/>
            <w:vAlign w:val="center"/>
          </w:tcPr>
          <w:p>
            <w:pPr>
              <w:spacing w:after="0"/>
            </w:pPr>
            <w:r/>
            <w:r>
              <w:rPr>
                <w:b w:val="0"/>
                <w:sz w:val="17"/>
              </w:rPr>
              <w:t>The captured socket evidence supports SSH as the listening service and shows no additional listening TCP service in that output.</w:t>
            </w:r>
          </w:p>
        </w:tc>
      </w:tr>
      <w:tr>
        <w:tc>
          <w:tcPr>
            <w:tcW w:type="dxa" w:w="1701"/>
            <w:vAlign w:val="center"/>
            <w:shd w:fill="F4F7FA"/>
          </w:tcPr>
          <w:p>
            <w:pPr>
              <w:spacing w:after="0"/>
            </w:pPr>
            <w:r/>
            <w:r>
              <w:rPr>
                <w:b w:val="0"/>
                <w:sz w:val="17"/>
              </w:rPr>
              <w:t>Host discovery</w:t>
            </w:r>
          </w:p>
        </w:tc>
        <w:tc>
          <w:tcPr>
            <w:tcW w:type="dxa" w:w="4649"/>
            <w:vAlign w:val="center"/>
            <w:shd w:fill="F4F7FA"/>
          </w:tcPr>
          <w:p>
            <w:pPr>
              <w:spacing w:after="0"/>
            </w:pPr>
            <w:r/>
            <w:r>
              <w:rPr>
                <w:b w:val="0"/>
                <w:sz w:val="17"/>
              </w:rPr>
              <w:t>The authorised sweep returned four responsive hosts: .4, .100, .101 and .102 within 192.168.56.0/24.</w:t>
            </w:r>
          </w:p>
        </w:tc>
        <w:tc>
          <w:tcPr>
            <w:tcW w:type="dxa" w:w="3402"/>
            <w:vAlign w:val="center"/>
            <w:shd w:fill="F4F7FA"/>
          </w:tcPr>
          <w:p>
            <w:pPr>
              <w:spacing w:after="0"/>
            </w:pPr>
            <w:r/>
            <w:r>
              <w:rPr>
                <w:b w:val="0"/>
                <w:sz w:val="17"/>
              </w:rPr>
              <w:t>Controlled host discovery was demonstrated inside the authorised private range.</w:t>
            </w:r>
          </w:p>
        </w:tc>
      </w:tr>
      <w:tr>
        <w:tc>
          <w:tcPr>
            <w:tcW w:type="dxa" w:w="1701"/>
            <w:vAlign w:val="center"/>
          </w:tcPr>
          <w:p>
            <w:pPr>
              <w:spacing w:after="0"/>
            </w:pPr>
            <w:r/>
            <w:r>
              <w:rPr>
                <w:b w:val="0"/>
                <w:sz w:val="17"/>
              </w:rPr>
              <w:t>PCAP summary</w:t>
            </w:r>
          </w:p>
        </w:tc>
        <w:tc>
          <w:tcPr>
            <w:tcW w:type="dxa" w:w="4649"/>
            <w:vAlign w:val="center"/>
          </w:tcPr>
          <w:p>
            <w:pPr>
              <w:spacing w:after="0"/>
            </w:pPr>
            <w:r/>
            <w:r>
              <w:rPr>
                <w:b w:val="0"/>
                <w:sz w:val="17"/>
              </w:rPr>
              <w:t>core102_http.pcap produced 12 TCP packets, with loopback endpoint 127.0.0.1 and ports 35890/8080. The attempted ssh_capture.pcap was not present in the captured workspace.</w:t>
            </w:r>
          </w:p>
        </w:tc>
        <w:tc>
          <w:tcPr>
            <w:tcW w:type="dxa" w:w="3402"/>
            <w:vAlign w:val="center"/>
          </w:tcPr>
          <w:p>
            <w:pPr>
              <w:spacing w:after="0"/>
            </w:pPr>
            <w:r/>
            <w:r>
              <w:rPr>
                <w:b w:val="0"/>
                <w:sz w:val="17"/>
              </w:rPr>
              <w:t>Offline PCAP parsing was demonstrated, but the submitted evidence does not establish the required SSH packet capture.</w:t>
            </w:r>
          </w:p>
        </w:tc>
      </w:tr>
      <w:tr>
        <w:tc>
          <w:tcPr>
            <w:tcW w:type="dxa" w:w="1701"/>
            <w:vAlign w:val="center"/>
            <w:shd w:fill="F4F7FA"/>
          </w:tcPr>
          <w:p>
            <w:pPr>
              <w:spacing w:after="0"/>
            </w:pPr>
            <w:r/>
            <w:r>
              <w:rPr>
                <w:b w:val="0"/>
                <w:sz w:val="17"/>
              </w:rPr>
              <w:t>Cleanup</w:t>
            </w:r>
          </w:p>
        </w:tc>
        <w:tc>
          <w:tcPr>
            <w:tcW w:type="dxa" w:w="4649"/>
            <w:vAlign w:val="center"/>
            <w:shd w:fill="F4F7FA"/>
          </w:tcPr>
          <w:p>
            <w:pPr>
              <w:spacing w:after="0"/>
            </w:pPr>
            <w:r/>
            <w:r>
              <w:rPr>
                <w:b w:val="0"/>
                <w:sz w:val="17"/>
              </w:rPr>
              <w:t>The http.server process was successfully stopped with pkill -f http.server. Subsequent commands intended as file-cleanup commands returned pkill usage errors.</w:t>
            </w:r>
          </w:p>
        </w:tc>
        <w:tc>
          <w:tcPr>
            <w:tcW w:type="dxa" w:w="3402"/>
            <w:vAlign w:val="center"/>
            <w:shd w:fill="F4F7FA"/>
          </w:tcPr>
          <w:p>
            <w:pPr>
              <w:spacing w:after="0"/>
            </w:pPr>
            <w:r/>
            <w:r>
              <w:rPr>
                <w:b w:val="0"/>
                <w:sz w:val="17"/>
              </w:rPr>
              <w:t>The test HTTP service was stopped; complete temporary-file cleanup is not demonstrated by the captured evidence.</w:t>
            </w:r>
          </w:p>
        </w:tc>
      </w:tr>
    </w:tbl>
    <w:p>
      <w:pPr>
        <w:pStyle w:val="Heading1"/>
      </w:pPr>
      <w:r>
        <w:t>6.1 Firewall and SSH evidence</w:t>
      </w:r>
    </w:p>
    <w:p>
      <w:pPr>
        <w:jc w:val="center"/>
      </w:pPr>
      <w:r>
        <w:drawing>
          <wp:inline xmlns:a="http://schemas.openxmlformats.org/drawingml/2006/main" xmlns:pic="http://schemas.openxmlformats.org/drawingml/2006/picture">
            <wp:extent cx="5112000" cy="5816205"/>
            <wp:docPr id="10" name="Picture 10"/>
            <wp:cNvGraphicFramePr>
              <a:graphicFrameLocks noChangeAspect="1"/>
            </wp:cNvGraphicFramePr>
            <a:graphic>
              <a:graphicData uri="http://schemas.openxmlformats.org/drawingml/2006/picture">
                <pic:pic>
                  <pic:nvPicPr>
                    <pic:cNvPr id="0" name="image13.png"/>
                    <pic:cNvPicPr/>
                  </pic:nvPicPr>
                  <pic:blipFill>
                    <a:blip r:embed="rId20"/>
                    <a:stretch>
                      <a:fillRect/>
                    </a:stretch>
                  </pic:blipFill>
                  <pic:spPr>
                    <a:xfrm>
                      <a:off x="0" y="0"/>
                      <a:ext cx="5112000" cy="5816205"/>
                    </a:xfrm>
                    <a:prstGeom prst="rect"/>
                  </pic:spPr>
                </pic:pic>
              </a:graphicData>
            </a:graphic>
          </wp:inline>
        </w:drawing>
      </w:r>
    </w:p>
    <w:p>
      <w:pPr>
        <w:pStyle w:val="EvidenceCaption"/>
        <w:jc w:val="center"/>
      </w:pPr>
      <w:r>
        <w:t>Evidence 6.1 — UFW status and SSH connection attempt/session. The captured UFW rule set is recorded exactly as observed.</w:t>
      </w:r>
    </w:p>
    <w:p>
      <w:pPr>
        <w:pStyle w:val="Heading1"/>
      </w:pPr>
      <w:r>
        <w:t>6.2 Listening services and PCAP evidence</w:t>
      </w:r>
    </w:p>
    <w:p>
      <w:pPr>
        <w:jc w:val="center"/>
      </w:pPr>
      <w:r>
        <w:drawing>
          <wp:inline xmlns:a="http://schemas.openxmlformats.org/drawingml/2006/main" xmlns:pic="http://schemas.openxmlformats.org/drawingml/2006/picture">
            <wp:extent cx="5112000" cy="5428457"/>
            <wp:docPr id="11" name="Picture 11"/>
            <wp:cNvGraphicFramePr>
              <a:graphicFrameLocks noChangeAspect="1"/>
            </wp:cNvGraphicFramePr>
            <a:graphic>
              <a:graphicData uri="http://schemas.openxmlformats.org/drawingml/2006/picture">
                <pic:pic>
                  <pic:nvPicPr>
                    <pic:cNvPr id="0" name="image14.png"/>
                    <pic:cNvPicPr/>
                  </pic:nvPicPr>
                  <pic:blipFill>
                    <a:blip r:embed="rId21"/>
                    <a:stretch>
                      <a:fillRect/>
                    </a:stretch>
                  </pic:blipFill>
                  <pic:spPr>
                    <a:xfrm>
                      <a:off x="0" y="0"/>
                      <a:ext cx="5112000" cy="5428457"/>
                    </a:xfrm>
                    <a:prstGeom prst="rect"/>
                  </pic:spPr>
                </pic:pic>
              </a:graphicData>
            </a:graphic>
          </wp:inline>
        </w:drawing>
      </w:r>
    </w:p>
    <w:p>
      <w:pPr>
        <w:pStyle w:val="EvidenceCaption"/>
        <w:jc w:val="center"/>
      </w:pPr>
      <w:r>
        <w:t>Evidence 6.2 — Listening sockets, inventory execution, scope rejection and the missing ssh_capture.pcap test.</w:t>
      </w:r>
    </w:p>
    <w:p>
      <w:pPr>
        <w:jc w:val="center"/>
      </w:pPr>
      <w:r>
        <w:drawing>
          <wp:inline xmlns:a="http://schemas.openxmlformats.org/drawingml/2006/main" xmlns:pic="http://schemas.openxmlformats.org/drawingml/2006/picture">
            <wp:extent cx="5112000" cy="5428457"/>
            <wp:docPr id="12" name="Picture 12"/>
            <wp:cNvGraphicFramePr>
              <a:graphicFrameLocks noChangeAspect="1"/>
            </wp:cNvGraphicFramePr>
            <a:graphic>
              <a:graphicData uri="http://schemas.openxmlformats.org/drawingml/2006/picture">
                <pic:pic>
                  <pic:nvPicPr>
                    <pic:cNvPr id="0" name="image15.png"/>
                    <pic:cNvPicPr/>
                  </pic:nvPicPr>
                  <pic:blipFill>
                    <a:blip r:embed="rId22"/>
                    <a:stretch>
                      <a:fillRect/>
                    </a:stretch>
                  </pic:blipFill>
                  <pic:spPr>
                    <a:xfrm>
                      <a:off x="0" y="0"/>
                      <a:ext cx="5112000" cy="5428457"/>
                    </a:xfrm>
                    <a:prstGeom prst="rect"/>
                  </pic:spPr>
                </pic:pic>
              </a:graphicData>
            </a:graphic>
          </wp:inline>
        </w:drawing>
      </w:r>
    </w:p>
    <w:p>
      <w:pPr>
        <w:pStyle w:val="EvidenceCaption"/>
        <w:jc w:val="center"/>
      </w:pPr>
      <w:r>
        <w:t>Evidence 6.3 — Successful offline analysis of core102_http.pcap and cleanup commands.</w:t>
      </w:r>
    </w:p>
    <w:p>
      <w:pPr>
        <w:pStyle w:val="Heading1"/>
      </w:pPr>
      <w:r>
        <w:t>6.3 Final network state</w:t>
      </w:r>
    </w:p>
    <w:p>
      <w:r>
        <w:rPr>
          <w:b/>
          <w:color w:val="1F4E78"/>
        </w:rPr>
        <w:t>Verified controls:</w:t>
      </w:r>
      <w:r>
        <w:t xml:space="preserve"> The authorised private subnet, controlled ICMP discovery, bounded TCP service checks, local network inventory, offline PCAP parsing and SSH listening service were evidenced.</w:t>
      </w:r>
    </w:p>
    <w:p>
      <w:r>
        <w:rPr>
          <w:b/>
          <w:color w:val="1F4E78"/>
        </w:rPr>
        <w:t>Unresolved issues:</w:t>
      </w:r>
      <w:r>
        <w:t xml:space="preserve"> The captured UFW rule permits SSH from Anywhere rather than only 192.168.56.0/24; the SSH key file was reported missing during the connection command; and the required ssh_capture.pcap was not available in the captured workspace.</w:t>
      </w:r>
    </w:p>
    <w:p>
      <w:r>
        <w:rPr>
          <w:b/>
          <w:color w:val="1F4E78"/>
        </w:rPr>
        <w:t>Cleanup state:</w:t>
      </w:r>
      <w:r>
        <w:t xml:space="preserve"> The temporary HTTP server was stopped. The evidence does not establish removal of all temporary files, so the retained Lab 5 evidence files should be treated as deliberate submission artefacts rather than proof of complete filesystem cleanup.</w:t>
      </w:r>
    </w:p>
    <w:p>
      <w:r>
        <w:br w:type="page"/>
      </w:r>
    </w:p>
    <w:p>
      <w:pPr>
        <w:pStyle w:val="Title"/>
      </w:pPr>
      <w:r>
        <w:t>Part 7 — Code Review Checklist</w:t>
      </w:r>
    </w:p>
    <w:tbl>
      <w:tblPr>
        <w:tblW w:type="auto" w:w="0"/>
        <w:tblLook w:firstColumn="1" w:firstRow="1" w:lastColumn="0" w:lastRow="0" w:noHBand="0" w:noVBand="1" w:val="04A0"/>
      </w:tblPr>
      <w:tblGrid>
        <w:gridCol w:w="2521"/>
        <w:gridCol w:w="2521"/>
        <w:gridCol w:w="2521"/>
        <w:gridCol w:w="2521"/>
      </w:tblGrid>
      <w:tr>
        <w:tc>
          <w:tcPr>
            <w:tcW w:type="dxa" w:w="2268"/>
            <w:vAlign w:val="center"/>
            <w:shd w:fill="17365D"/>
          </w:tcPr>
          <w:p>
            <w:pPr>
              <w:spacing w:after="0"/>
            </w:pPr>
            <w:r/>
            <w:r>
              <w:rPr>
                <w:b/>
                <w:color w:val="FFFFFF"/>
                <w:sz w:val="18"/>
              </w:rPr>
              <w:t>Script</w:t>
            </w:r>
          </w:p>
        </w:tc>
        <w:tc>
          <w:tcPr>
            <w:tcW w:type="dxa" w:w="1701"/>
            <w:vAlign w:val="center"/>
            <w:shd w:fill="17365D"/>
          </w:tcPr>
          <w:p>
            <w:pPr>
              <w:spacing w:after="0"/>
            </w:pPr>
            <w:r/>
            <w:r>
              <w:rPr>
                <w:b/>
                <w:color w:val="FFFFFF"/>
                <w:sz w:val="18"/>
              </w:rPr>
              <w:t>Interpreter</w:t>
            </w:r>
          </w:p>
        </w:tc>
        <w:tc>
          <w:tcPr>
            <w:tcW w:type="dxa" w:w="3402"/>
            <w:vAlign w:val="center"/>
            <w:shd w:fill="17365D"/>
          </w:tcPr>
          <w:p>
            <w:pPr>
              <w:spacing w:after="0"/>
            </w:pPr>
            <w:r/>
            <w:r>
              <w:rPr>
                <w:b/>
                <w:color w:val="FFFFFF"/>
                <w:sz w:val="18"/>
              </w:rPr>
              <w:t>Scope bounding</w:t>
            </w:r>
          </w:p>
        </w:tc>
        <w:tc>
          <w:tcPr>
            <w:tcW w:type="dxa" w:w="2551"/>
            <w:vAlign w:val="center"/>
            <w:shd w:fill="17365D"/>
          </w:tcPr>
          <w:p>
            <w:pPr>
              <w:spacing w:after="0"/>
            </w:pPr>
            <w:r/>
            <w:r>
              <w:rPr>
                <w:b/>
                <w:color w:val="FFFFFF"/>
                <w:sz w:val="18"/>
              </w:rPr>
              <w:t>Syntax verification</w:t>
            </w:r>
          </w:p>
        </w:tc>
      </w:tr>
      <w:tr>
        <w:tc>
          <w:tcPr>
            <w:tcW w:type="dxa" w:w="2268"/>
            <w:vAlign w:val="center"/>
            <w:shd w:fill="F4F7FA"/>
          </w:tcPr>
          <w:p>
            <w:pPr>
              <w:spacing w:after="0"/>
            </w:pPr>
            <w:r/>
            <w:r>
              <w:rPr>
                <w:b w:val="0"/>
                <w:sz w:val="17"/>
              </w:rPr>
              <w:t>network_inventory.sh</w:t>
            </w:r>
          </w:p>
        </w:tc>
        <w:tc>
          <w:tcPr>
            <w:tcW w:type="dxa" w:w="1701"/>
            <w:vAlign w:val="center"/>
            <w:shd w:fill="F4F7FA"/>
          </w:tcPr>
          <w:p>
            <w:pPr>
              <w:spacing w:after="0"/>
            </w:pPr>
            <w:r/>
            <w:r>
              <w:rPr>
                <w:b w:val="0"/>
                <w:sz w:val="17"/>
              </w:rPr>
              <w:t>#!/usr/bin/env bash</w:t>
            </w:r>
          </w:p>
        </w:tc>
        <w:tc>
          <w:tcPr>
            <w:tcW w:type="dxa" w:w="3402"/>
            <w:vAlign w:val="center"/>
            <w:shd w:fill="F4F7FA"/>
          </w:tcPr>
          <w:p>
            <w:pPr>
              <w:spacing w:after="0"/>
            </w:pPr>
            <w:r/>
            <w:r>
              <w:rPr>
                <w:b w:val="0"/>
                <w:sz w:val="17"/>
              </w:rPr>
              <w:t>Local host / interface state; no remote target input</w:t>
            </w:r>
          </w:p>
        </w:tc>
        <w:tc>
          <w:tcPr>
            <w:tcW w:type="dxa" w:w="2551"/>
            <w:vAlign w:val="center"/>
            <w:shd w:fill="F4F7FA"/>
          </w:tcPr>
          <w:p>
            <w:pPr>
              <w:spacing w:after="0"/>
            </w:pPr>
            <w:r/>
            <w:r>
              <w:rPr>
                <w:b w:val="0"/>
                <w:sz w:val="17"/>
              </w:rPr>
              <w:t>bash -n network_inventory.sh</w:t>
            </w:r>
          </w:p>
        </w:tc>
      </w:tr>
      <w:tr>
        <w:tc>
          <w:tcPr>
            <w:tcW w:type="dxa" w:w="2268"/>
            <w:vAlign w:val="center"/>
          </w:tcPr>
          <w:p>
            <w:pPr>
              <w:spacing w:after="0"/>
            </w:pPr>
            <w:r/>
            <w:r>
              <w:rPr>
                <w:b w:val="0"/>
                <w:sz w:val="17"/>
              </w:rPr>
              <w:t>authorised_ping_sweep.sh</w:t>
            </w:r>
          </w:p>
        </w:tc>
        <w:tc>
          <w:tcPr>
            <w:tcW w:type="dxa" w:w="1701"/>
            <w:vAlign w:val="center"/>
          </w:tcPr>
          <w:p>
            <w:pPr>
              <w:spacing w:after="0"/>
            </w:pPr>
            <w:r/>
            <w:r>
              <w:rPr>
                <w:b w:val="0"/>
                <w:sz w:val="17"/>
              </w:rPr>
              <w:t>#!/usr/bin/env bash</w:t>
            </w:r>
          </w:p>
        </w:tc>
        <w:tc>
          <w:tcPr>
            <w:tcW w:type="dxa" w:w="3402"/>
            <w:vAlign w:val="center"/>
          </w:tcPr>
          <w:p>
            <w:pPr>
              <w:spacing w:after="0"/>
            </w:pPr>
            <w:r/>
            <w:r>
              <w:rPr>
                <w:b w:val="0"/>
                <w:sz w:val="17"/>
              </w:rPr>
              <w:t>Fixed 192.168.56 prefix check</w:t>
            </w:r>
          </w:p>
        </w:tc>
        <w:tc>
          <w:tcPr>
            <w:tcW w:type="dxa" w:w="2551"/>
            <w:vAlign w:val="center"/>
          </w:tcPr>
          <w:p>
            <w:pPr>
              <w:spacing w:after="0"/>
            </w:pPr>
            <w:r/>
            <w:r>
              <w:rPr>
                <w:b w:val="0"/>
                <w:sz w:val="17"/>
              </w:rPr>
              <w:t>bash -n authorised_ping_sweep.sh</w:t>
            </w:r>
          </w:p>
        </w:tc>
      </w:tr>
      <w:tr>
        <w:tc>
          <w:tcPr>
            <w:tcW w:type="dxa" w:w="2268"/>
            <w:vAlign w:val="center"/>
            <w:shd w:fill="F4F7FA"/>
          </w:tcPr>
          <w:p>
            <w:pPr>
              <w:spacing w:after="0"/>
            </w:pPr>
            <w:r/>
            <w:r>
              <w:rPr>
                <w:b w:val="0"/>
                <w:sz w:val="17"/>
              </w:rPr>
              <w:t>service_check.py</w:t>
            </w:r>
          </w:p>
        </w:tc>
        <w:tc>
          <w:tcPr>
            <w:tcW w:type="dxa" w:w="1701"/>
            <w:vAlign w:val="center"/>
            <w:shd w:fill="F4F7FA"/>
          </w:tcPr>
          <w:p>
            <w:pPr>
              <w:spacing w:after="0"/>
            </w:pPr>
            <w:r/>
            <w:r>
              <w:rPr>
                <w:b w:val="0"/>
                <w:sz w:val="17"/>
              </w:rPr>
              <w:t>#!/usr/bin/env python3</w:t>
            </w:r>
          </w:p>
        </w:tc>
        <w:tc>
          <w:tcPr>
            <w:tcW w:type="dxa" w:w="3402"/>
            <w:vAlign w:val="center"/>
            <w:shd w:fill="F4F7FA"/>
          </w:tcPr>
          <w:p>
            <w:pPr>
              <w:spacing w:after="0"/>
            </w:pPr>
            <w:r/>
            <w:r>
              <w:rPr>
                <w:b w:val="0"/>
                <w:sz w:val="17"/>
              </w:rPr>
              <w:t>ipaddress membership check for 192.168.56.0/24</w:t>
            </w:r>
          </w:p>
        </w:tc>
        <w:tc>
          <w:tcPr>
            <w:tcW w:type="dxa" w:w="2551"/>
            <w:vAlign w:val="center"/>
            <w:shd w:fill="F4F7FA"/>
          </w:tcPr>
          <w:p>
            <w:pPr>
              <w:spacing w:after="0"/>
            </w:pPr>
            <w:r/>
            <w:r>
              <w:rPr>
                <w:b w:val="0"/>
                <w:sz w:val="17"/>
              </w:rPr>
              <w:t>python3 -m py_compile service_check.py</w:t>
            </w:r>
          </w:p>
        </w:tc>
      </w:tr>
      <w:tr>
        <w:tc>
          <w:tcPr>
            <w:tcW w:type="dxa" w:w="2268"/>
            <w:vAlign w:val="center"/>
          </w:tcPr>
          <w:p>
            <w:pPr>
              <w:spacing w:after="0"/>
            </w:pPr>
            <w:r/>
            <w:r>
              <w:rPr>
                <w:b w:val="0"/>
                <w:sz w:val="17"/>
              </w:rPr>
              <w:t>pcap_summary.py</w:t>
            </w:r>
          </w:p>
        </w:tc>
        <w:tc>
          <w:tcPr>
            <w:tcW w:type="dxa" w:w="1701"/>
            <w:vAlign w:val="center"/>
          </w:tcPr>
          <w:p>
            <w:pPr>
              <w:spacing w:after="0"/>
            </w:pPr>
            <w:r/>
            <w:r>
              <w:rPr>
                <w:b w:val="0"/>
                <w:sz w:val="17"/>
              </w:rPr>
              <w:t>#!/usr/bin/env python3</w:t>
            </w:r>
          </w:p>
        </w:tc>
        <w:tc>
          <w:tcPr>
            <w:tcW w:type="dxa" w:w="3402"/>
            <w:vAlign w:val="center"/>
          </w:tcPr>
          <w:p>
            <w:pPr>
              <w:spacing w:after="0"/>
            </w:pPr>
            <w:r/>
            <w:r>
              <w:rPr>
                <w:b w:val="0"/>
                <w:sz w:val="17"/>
              </w:rPr>
              <w:t>Offline file and extension validation; Scapy packet parsing</w:t>
            </w:r>
          </w:p>
        </w:tc>
        <w:tc>
          <w:tcPr>
            <w:tcW w:type="dxa" w:w="2551"/>
            <w:vAlign w:val="center"/>
          </w:tcPr>
          <w:p>
            <w:pPr>
              <w:spacing w:after="0"/>
            </w:pPr>
            <w:r/>
            <w:r>
              <w:rPr>
                <w:b w:val="0"/>
                <w:sz w:val="17"/>
              </w:rPr>
              <w:t>python3 -m py_compile pcap_summary.py</w:t>
            </w:r>
          </w:p>
        </w:tc>
      </w:tr>
    </w:tbl>
    <w:p>
      <w:pPr>
        <w:pStyle w:val="Heading1"/>
      </w:pPr>
      <w:r>
        <w:t>Code review findings</w:t>
      </w:r>
    </w:p>
    <w:p>
      <w:pPr>
        <w:pStyle w:val="ListBullet"/>
      </w:pPr>
      <w:r>
        <w:t>Each submitted script uses an appropriate interpreter line.</w:t>
      </w:r>
    </w:p>
    <w:p>
      <w:pPr>
        <w:pStyle w:val="ListBullet"/>
      </w:pPr>
      <w:r>
        <w:t>Inputs are validated before the corresponding network action or file parse begins.</w:t>
      </w:r>
    </w:p>
    <w:p>
      <w:pPr>
        <w:pStyle w:val="ListBullet"/>
      </w:pPr>
      <w:r>
        <w:t>The authorised address scope is explicit in the ping sweep and service checker.</w:t>
      </w:r>
    </w:p>
    <w:p>
      <w:pPr>
        <w:pStyle w:val="ListBullet"/>
      </w:pPr>
      <w:r>
        <w:t>Network operations use bounded packet counts or connection timeouts.</w:t>
      </w:r>
    </w:p>
    <w:p>
      <w:pPr>
        <w:pStyle w:val="ListBullet"/>
      </w:pPr>
      <w:r>
        <w:t>Outputs include timestamps for the network inventory and service checker; the PCAP summary identifies its input file.</w:t>
      </w:r>
    </w:p>
    <w:p>
      <w:pPr>
        <w:pStyle w:val="ListBullet"/>
      </w:pPr>
      <w:r>
        <w:t>Error messages explain rejected scope or invalid input.</w:t>
      </w:r>
    </w:p>
    <w:p>
      <w:pPr>
        <w:pStyle w:val="ListBullet"/>
      </w:pPr>
      <w:r>
        <w:t>No passwords, private keys or tokens are included in the supplied scripts or report text.</w:t>
      </w:r>
    </w:p>
    <w:p>
      <w:r>
        <w:br w:type="page"/>
      </w:r>
    </w:p>
    <w:p>
      <w:pPr>
        <w:pStyle w:val="Title"/>
      </w:pPr>
      <w:r>
        <w:t>Operational Summary</w:t>
      </w:r>
    </w:p>
    <w:p>
      <w:r>
        <w:t>The Lab 5 exercise produced a repeatable set of network-automation checks for the authorised 192.168.56.0/24 laboratory environment. The Bash inventory generated timestamped local network evidence and was extended to record the route toward the laboratory address. The controlled ICMP sweep rejected an out-of-scope prefix before probing and identified four responsive hosts inside the authorised range.</w:t>
      </w:r>
    </w:p>
    <w:p>
      <w:r>
        <w:t>The Python service checker validated IPv4 input and network scope and used one-second socket timeouts. The temporary HTTP service on TCP 8080 was observed as OPEN while running and CLOSED OR FILTERED after termination, demonstrating service-change detection. The Scapy utility successfully parsed the supplied core102_http.pcap offline and reported 12 TCP packets, loopback endpoint activity and ports 35890/8080.</w:t>
      </w:r>
    </w:p>
    <w:p>
      <w:r>
        <w:t>The integrated evidence also identified controls requiring correction before the environment can be described as fully compliant with the challenge requirements. The captured UFW rules allow SSH from Anywhere rather than only 192.168.56.0/24. The SSH command reported that the specified private-key file was not accessible, so key-based authentication is not independently established by the evidence. In addition, the requested SSH PCAP was not present; the available PCAP evidence is the earlier HTTP test capture. These points are recorded as unresolved rather than being represented as verified controls.</w:t>
      </w:r>
    </w:p>
    <w:p>
      <w:r>
        <w:t>The final evidence therefore separates observed results from conclusions and avoids treating an unsuccessful or incomplete test as proof of a successful security control.</w:t>
      </w:r>
    </w:p>
    <w:p>
      <w:r>
        <w:br w:type="page"/>
      </w:r>
    </w:p>
    <w:p>
      <w:pPr>
        <w:pStyle w:val="Title"/>
      </w:pPr>
      <w:r>
        <w:t>Reflection Questions</w:t>
      </w:r>
    </w:p>
    <w:p>
      <w:r>
        <w:rPr>
          <w:b/>
          <w:color w:val="1F4E78"/>
        </w:rPr>
        <w:t>1. Which validation control most effectively prevented an out-of-scope action?</w:t>
      </w:r>
      <w:r>
        <w:t xml:space="preserve"> The fixed authorised-prefix gate in authorised_ping_sweep.sh is the clearest preventive control because it checks the supplied prefix before the host loop begins. A non-authorised prefix returns exit status 2 and no ICMP sweep is started.</w:t>
      </w:r>
    </w:p>
    <w:p>
      <w:r>
        <w:rPr>
          <w:b/>
          <w:color w:val="1F4E78"/>
        </w:rPr>
        <w:t>2. What can a service checker conclude, and what can it not conclude, from a timeout?</w:t>
      </w:r>
      <w:r>
        <w:t xml:space="preserve"> It can conclude that a TCP connection was not successfully established within the configured one-second timeout. It cannot by itself conclude that the service is definitely closed: packet filtering, host firewall rules, routing problems, congestion or temporary unavailability can also produce a timeout. The script therefore reports the state as CLOSED OR FILTERED.</w:t>
      </w:r>
    </w:p>
    <w:p>
      <w:r>
        <w:rPr>
          <w:b/>
          <w:color w:val="1F4E78"/>
        </w:rPr>
        <w:t>3. How did automation improve repeatability compared with running commands manually?</w:t>
      </w:r>
      <w:r>
        <w:t xml:space="preserve"> The scripts standardised the scope, validation sequence, timeout values, output format and evidence generation. The same commands can be repeated with less variation, while timestamps and saved reports provide a consistent record for comparison.</w:t>
      </w:r>
    </w:p>
    <w:p>
      <w:r>
        <w:rPr>
          <w:b/>
          <w:color w:val="1F4E78"/>
        </w:rPr>
        <w:t>4. Which additional control would you add before these scripts could support a larger authorised environment?</w:t>
      </w:r>
      <w:r>
        <w:t xml:space="preserve"> I would add a centrally maintained allowlist of approved CIDRs/hosts with explicit change control and audit logging. The scripts should validate every target against that allowlist, record the operator, target, timestamp and result, and retain the evidence for review. This would reduce the risk of accidental expansion of the testing scope as the environment grows.</w:t>
      </w:r>
    </w:p>
    <w:p>
      <w:r>
        <w:br w:type="page"/>
      </w:r>
    </w:p>
    <w:p>
      <w:pPr>
        <w:pStyle w:val="Title"/>
      </w:pPr>
      <w:r>
        <w:t>Evidence and Submission Checklist</w:t>
      </w:r>
    </w:p>
    <w:tbl>
      <w:tblPr>
        <w:tblW w:type="auto" w:w="0"/>
        <w:tblLook w:firstColumn="1" w:firstRow="1" w:lastColumn="0" w:lastRow="0" w:noHBand="0" w:noVBand="1" w:val="04A0"/>
      </w:tblPr>
      <w:tblGrid>
        <w:gridCol w:w="3362"/>
        <w:gridCol w:w="3362"/>
        <w:gridCol w:w="3362"/>
      </w:tblGrid>
      <w:tr>
        <w:tc>
          <w:tcPr>
            <w:tcW w:type="dxa" w:w="2381"/>
            <w:vAlign w:val="center"/>
            <w:shd w:fill="17365D"/>
          </w:tcPr>
          <w:p>
            <w:pPr>
              <w:spacing w:after="0"/>
            </w:pPr>
            <w:r/>
            <w:r>
              <w:rPr>
                <w:b/>
                <w:color w:val="FFFFFF"/>
                <w:sz w:val="18"/>
              </w:rPr>
              <w:t>Assessment item</w:t>
            </w:r>
          </w:p>
        </w:tc>
        <w:tc>
          <w:tcPr>
            <w:tcW w:type="dxa" w:w="5953"/>
            <w:vAlign w:val="center"/>
            <w:shd w:fill="17365D"/>
          </w:tcPr>
          <w:p>
            <w:pPr>
              <w:spacing w:after="0"/>
            </w:pPr>
            <w:r/>
            <w:r>
              <w:rPr>
                <w:b/>
                <w:color w:val="FFFFFF"/>
                <w:sz w:val="18"/>
              </w:rPr>
              <w:t>Evidence / answer</w:t>
            </w:r>
          </w:p>
        </w:tc>
        <w:tc>
          <w:tcPr>
            <w:tcW w:type="dxa" w:w="1701"/>
            <w:vAlign w:val="center"/>
            <w:shd w:fill="17365D"/>
          </w:tcPr>
          <w:p>
            <w:pPr>
              <w:spacing w:after="0"/>
            </w:pPr>
            <w:r/>
            <w:r>
              <w:rPr>
                <w:b/>
                <w:color w:val="FFFFFF"/>
                <w:sz w:val="18"/>
              </w:rPr>
              <w:t>Status</w:t>
            </w:r>
          </w:p>
        </w:tc>
      </w:tr>
      <w:tr>
        <w:tc>
          <w:tcPr>
            <w:tcW w:type="dxa" w:w="2381"/>
            <w:vAlign w:val="center"/>
            <w:shd w:fill="F4F7FA"/>
          </w:tcPr>
          <w:p>
            <w:pPr>
              <w:spacing w:after="0"/>
            </w:pPr>
            <w:r/>
            <w:r>
              <w:rPr>
                <w:b w:val="0"/>
                <w:sz w:val="17"/>
              </w:rPr>
              <w:t>Student identity</w:t>
            </w:r>
          </w:p>
        </w:tc>
        <w:tc>
          <w:tcPr>
            <w:tcW w:type="dxa" w:w="5953"/>
            <w:vAlign w:val="center"/>
            <w:shd w:fill="F4F7FA"/>
          </w:tcPr>
          <w:p>
            <w:pPr>
              <w:spacing w:after="0"/>
            </w:pPr>
            <w:r/>
            <w:r>
              <w:rPr>
                <w:b w:val="0"/>
                <w:sz w:val="17"/>
              </w:rPr>
              <w:t>Clement Eneji and C11_26_OCO_17773 included</w:t>
            </w:r>
          </w:p>
        </w:tc>
        <w:tc>
          <w:tcPr>
            <w:tcW w:type="dxa" w:w="1701"/>
            <w:vAlign w:val="center"/>
            <w:shd w:fill="F4F7FA"/>
          </w:tcPr>
          <w:p>
            <w:pPr>
              <w:spacing w:after="0"/>
            </w:pPr>
            <w:r/>
            <w:r>
              <w:rPr>
                <w:b w:val="0"/>
                <w:sz w:val="17"/>
              </w:rPr>
              <w:t>Complete</w:t>
            </w:r>
          </w:p>
        </w:tc>
      </w:tr>
      <w:tr>
        <w:tc>
          <w:tcPr>
            <w:tcW w:type="dxa" w:w="2381"/>
            <w:vAlign w:val="center"/>
          </w:tcPr>
          <w:p>
            <w:pPr>
              <w:spacing w:after="0"/>
            </w:pPr>
            <w:r/>
            <w:r>
              <w:rPr>
                <w:b w:val="0"/>
                <w:sz w:val="17"/>
              </w:rPr>
              <w:t>Automation plan</w:t>
            </w:r>
          </w:p>
        </w:tc>
        <w:tc>
          <w:tcPr>
            <w:tcW w:type="dxa" w:w="5953"/>
            <w:vAlign w:val="center"/>
          </w:tcPr>
          <w:p>
            <w:pPr>
              <w:spacing w:after="0"/>
            </w:pPr>
            <w:r/>
            <w:r>
              <w:rPr>
                <w:b w:val="0"/>
                <w:sz w:val="17"/>
              </w:rPr>
              <w:t>Scope, inputs, outputs, limits and failure behaviour documented</w:t>
            </w:r>
          </w:p>
        </w:tc>
        <w:tc>
          <w:tcPr>
            <w:tcW w:type="dxa" w:w="1701"/>
            <w:vAlign w:val="center"/>
          </w:tcPr>
          <w:p>
            <w:pPr>
              <w:spacing w:after="0"/>
            </w:pPr>
            <w:r/>
            <w:r>
              <w:rPr>
                <w:b w:val="0"/>
                <w:sz w:val="17"/>
              </w:rPr>
              <w:t>Complete</w:t>
            </w:r>
          </w:p>
        </w:tc>
      </w:tr>
      <w:tr>
        <w:tc>
          <w:tcPr>
            <w:tcW w:type="dxa" w:w="2381"/>
            <w:vAlign w:val="center"/>
            <w:shd w:fill="F4F7FA"/>
          </w:tcPr>
          <w:p>
            <w:pPr>
              <w:spacing w:after="0"/>
            </w:pPr>
            <w:r/>
            <w:r>
              <w:rPr>
                <w:b w:val="0"/>
                <w:sz w:val="17"/>
              </w:rPr>
              <w:t>Network inventory</w:t>
            </w:r>
          </w:p>
        </w:tc>
        <w:tc>
          <w:tcPr>
            <w:tcW w:type="dxa" w:w="5953"/>
            <w:vAlign w:val="center"/>
            <w:shd w:fill="F4F7FA"/>
          </w:tcPr>
          <w:p>
            <w:pPr>
              <w:spacing w:after="0"/>
            </w:pPr>
            <w:r/>
            <w:r>
              <w:rPr>
                <w:b w:val="0"/>
                <w:sz w:val="17"/>
              </w:rPr>
              <w:t>Syntax, execution, timestamped report and route enhancement evidenced</w:t>
            </w:r>
          </w:p>
        </w:tc>
        <w:tc>
          <w:tcPr>
            <w:tcW w:type="dxa" w:w="1701"/>
            <w:vAlign w:val="center"/>
            <w:shd w:fill="F4F7FA"/>
          </w:tcPr>
          <w:p>
            <w:pPr>
              <w:spacing w:after="0"/>
            </w:pPr>
            <w:r/>
            <w:r>
              <w:rPr>
                <w:b w:val="0"/>
                <w:sz w:val="17"/>
              </w:rPr>
              <w:t>Complete</w:t>
            </w:r>
          </w:p>
        </w:tc>
      </w:tr>
      <w:tr>
        <w:tc>
          <w:tcPr>
            <w:tcW w:type="dxa" w:w="2381"/>
            <w:vAlign w:val="center"/>
          </w:tcPr>
          <w:p>
            <w:pPr>
              <w:spacing w:after="0"/>
            </w:pPr>
            <w:r/>
            <w:r>
              <w:rPr>
                <w:b w:val="0"/>
                <w:sz w:val="17"/>
              </w:rPr>
              <w:t>Ping sweep</w:t>
            </w:r>
          </w:p>
        </w:tc>
        <w:tc>
          <w:tcPr>
            <w:tcW w:type="dxa" w:w="5953"/>
            <w:vAlign w:val="center"/>
          </w:tcPr>
          <w:p>
            <w:pPr>
              <w:spacing w:after="0"/>
            </w:pPr>
            <w:r/>
            <w:r>
              <w:rPr>
                <w:b w:val="0"/>
                <w:sz w:val="17"/>
              </w:rPr>
              <w:t>Out-of-scope rejection, authorised results and ICMP limitation explained</w:t>
            </w:r>
          </w:p>
        </w:tc>
        <w:tc>
          <w:tcPr>
            <w:tcW w:type="dxa" w:w="1701"/>
            <w:vAlign w:val="center"/>
          </w:tcPr>
          <w:p>
            <w:pPr>
              <w:spacing w:after="0"/>
            </w:pPr>
            <w:r/>
            <w:r>
              <w:rPr>
                <w:b w:val="0"/>
                <w:sz w:val="17"/>
              </w:rPr>
              <w:t>Complete</w:t>
            </w:r>
          </w:p>
        </w:tc>
      </w:tr>
      <w:tr>
        <w:tc>
          <w:tcPr>
            <w:tcW w:type="dxa" w:w="2381"/>
            <w:vAlign w:val="center"/>
            <w:shd w:fill="F4F7FA"/>
          </w:tcPr>
          <w:p>
            <w:pPr>
              <w:spacing w:after="0"/>
            </w:pPr>
            <w:r/>
            <w:r>
              <w:rPr>
                <w:b w:val="0"/>
                <w:sz w:val="17"/>
              </w:rPr>
              <w:t>Service checker</w:t>
            </w:r>
          </w:p>
        </w:tc>
        <w:tc>
          <w:tcPr>
            <w:tcW w:type="dxa" w:w="5953"/>
            <w:vAlign w:val="center"/>
            <w:shd w:fill="F4F7FA"/>
          </w:tcPr>
          <w:p>
            <w:pPr>
              <w:spacing w:after="0"/>
            </w:pPr>
            <w:r/>
            <w:r>
              <w:rPr>
                <w:b w:val="0"/>
                <w:sz w:val="17"/>
              </w:rPr>
              <w:t>Invalid/out-of-scope validation and 8080 change detection evidenced</w:t>
            </w:r>
          </w:p>
        </w:tc>
        <w:tc>
          <w:tcPr>
            <w:tcW w:type="dxa" w:w="1701"/>
            <w:vAlign w:val="center"/>
            <w:shd w:fill="F4F7FA"/>
          </w:tcPr>
          <w:p>
            <w:pPr>
              <w:spacing w:after="0"/>
            </w:pPr>
            <w:r/>
            <w:r>
              <w:rPr>
                <w:b w:val="0"/>
                <w:sz w:val="17"/>
              </w:rPr>
              <w:t>Complete</w:t>
            </w:r>
          </w:p>
        </w:tc>
      </w:tr>
      <w:tr>
        <w:tc>
          <w:tcPr>
            <w:tcW w:type="dxa" w:w="2381"/>
            <w:vAlign w:val="center"/>
          </w:tcPr>
          <w:p>
            <w:pPr>
              <w:spacing w:after="0"/>
            </w:pPr>
            <w:r/>
            <w:r>
              <w:rPr>
                <w:b w:val="0"/>
                <w:sz w:val="17"/>
              </w:rPr>
              <w:t>PCAP summary</w:t>
            </w:r>
          </w:p>
        </w:tc>
        <w:tc>
          <w:tcPr>
            <w:tcW w:type="dxa" w:w="5953"/>
            <w:vAlign w:val="center"/>
          </w:tcPr>
          <w:p>
            <w:pPr>
              <w:spacing w:after="0"/>
            </w:pPr>
            <w:r/>
            <w:r>
              <w:rPr>
                <w:b w:val="0"/>
                <w:sz w:val="17"/>
              </w:rPr>
              <w:t>Offline parse, 12-packet result and protocol/endpoint/port interpretation evidenced</w:t>
            </w:r>
          </w:p>
        </w:tc>
        <w:tc>
          <w:tcPr>
            <w:tcW w:type="dxa" w:w="1701"/>
            <w:vAlign w:val="center"/>
          </w:tcPr>
          <w:p>
            <w:pPr>
              <w:spacing w:after="0"/>
            </w:pPr>
            <w:r/>
            <w:r>
              <w:rPr>
                <w:b w:val="0"/>
                <w:sz w:val="17"/>
              </w:rPr>
              <w:t>Complete</w:t>
            </w:r>
          </w:p>
        </w:tc>
      </w:tr>
      <w:tr>
        <w:tc>
          <w:tcPr>
            <w:tcW w:type="dxa" w:w="2381"/>
            <w:vAlign w:val="center"/>
            <w:shd w:fill="F4F7FA"/>
          </w:tcPr>
          <w:p>
            <w:pPr>
              <w:spacing w:after="0"/>
            </w:pPr>
            <w:r/>
            <w:r>
              <w:rPr>
                <w:b w:val="0"/>
                <w:sz w:val="17"/>
              </w:rPr>
              <w:t>Integrated challenge</w:t>
            </w:r>
          </w:p>
        </w:tc>
        <w:tc>
          <w:tcPr>
            <w:tcW w:type="dxa" w:w="5953"/>
            <w:vAlign w:val="center"/>
            <w:shd w:fill="F4F7FA"/>
          </w:tcPr>
          <w:p>
            <w:pPr>
              <w:spacing w:after="0"/>
            </w:pPr>
            <w:r/>
            <w:r>
              <w:rPr>
                <w:b w:val="0"/>
                <w:sz w:val="17"/>
              </w:rPr>
              <w:t>Addressing, firewall, SSH, services, discovery and PCAP evidence reviewed</w:t>
            </w:r>
          </w:p>
        </w:tc>
        <w:tc>
          <w:tcPr>
            <w:tcW w:type="dxa" w:w="1701"/>
            <w:vAlign w:val="center"/>
            <w:shd w:fill="F4F7FA"/>
          </w:tcPr>
          <w:p>
            <w:pPr>
              <w:spacing w:after="0"/>
            </w:pPr>
            <w:r/>
            <w:r>
              <w:rPr>
                <w:b w:val="0"/>
                <w:sz w:val="17"/>
              </w:rPr>
              <w:t>Partial — unresolved controls explicitly identified</w:t>
            </w:r>
          </w:p>
        </w:tc>
      </w:tr>
      <w:tr>
        <w:tc>
          <w:tcPr>
            <w:tcW w:type="dxa" w:w="2381"/>
            <w:vAlign w:val="center"/>
          </w:tcPr>
          <w:p>
            <w:pPr>
              <w:spacing w:after="0"/>
            </w:pPr>
            <w:r/>
            <w:r>
              <w:rPr>
                <w:b w:val="0"/>
                <w:sz w:val="17"/>
              </w:rPr>
              <w:t>Code review</w:t>
            </w:r>
          </w:p>
        </w:tc>
        <w:tc>
          <w:tcPr>
            <w:tcW w:type="dxa" w:w="5953"/>
            <w:vAlign w:val="center"/>
          </w:tcPr>
          <w:p>
            <w:pPr>
              <w:spacing w:after="0"/>
            </w:pPr>
            <w:r/>
            <w:r>
              <w:rPr>
                <w:b w:val="0"/>
                <w:sz w:val="17"/>
              </w:rPr>
              <w:t>Interpreter, scope, bounded operations and syntax checks documented</w:t>
            </w:r>
          </w:p>
        </w:tc>
        <w:tc>
          <w:tcPr>
            <w:tcW w:type="dxa" w:w="1701"/>
            <w:vAlign w:val="center"/>
          </w:tcPr>
          <w:p>
            <w:pPr>
              <w:spacing w:after="0"/>
            </w:pPr>
            <w:r/>
            <w:r>
              <w:rPr>
                <w:b w:val="0"/>
                <w:sz w:val="17"/>
              </w:rPr>
              <w:t>Complete</w:t>
            </w:r>
          </w:p>
        </w:tc>
      </w:tr>
      <w:tr>
        <w:tc>
          <w:tcPr>
            <w:tcW w:type="dxa" w:w="2381"/>
            <w:vAlign w:val="center"/>
            <w:shd w:fill="F4F7FA"/>
          </w:tcPr>
          <w:p>
            <w:pPr>
              <w:spacing w:after="0"/>
            </w:pPr>
            <w:r/>
            <w:r>
              <w:rPr>
                <w:b w:val="0"/>
                <w:sz w:val="17"/>
              </w:rPr>
              <w:t>Operational summary</w:t>
            </w:r>
          </w:p>
        </w:tc>
        <w:tc>
          <w:tcPr>
            <w:tcW w:type="dxa" w:w="5953"/>
            <w:vAlign w:val="center"/>
            <w:shd w:fill="F4F7FA"/>
          </w:tcPr>
          <w:p>
            <w:pPr>
              <w:spacing w:after="0"/>
            </w:pPr>
            <w:r/>
            <w:r>
              <w:rPr>
                <w:b w:val="0"/>
                <w:sz w:val="17"/>
              </w:rPr>
              <w:t>Findings, limitations and cleanup state documented</w:t>
            </w:r>
          </w:p>
        </w:tc>
        <w:tc>
          <w:tcPr>
            <w:tcW w:type="dxa" w:w="1701"/>
            <w:vAlign w:val="center"/>
            <w:shd w:fill="F4F7FA"/>
          </w:tcPr>
          <w:p>
            <w:pPr>
              <w:spacing w:after="0"/>
            </w:pPr>
            <w:r/>
            <w:r>
              <w:rPr>
                <w:b w:val="0"/>
                <w:sz w:val="17"/>
              </w:rPr>
              <w:t>Complete</w:t>
            </w:r>
          </w:p>
        </w:tc>
      </w:tr>
      <w:tr>
        <w:tc>
          <w:tcPr>
            <w:tcW w:type="dxa" w:w="2381"/>
            <w:vAlign w:val="center"/>
          </w:tcPr>
          <w:p>
            <w:pPr>
              <w:spacing w:after="0"/>
            </w:pPr>
            <w:r/>
            <w:r>
              <w:rPr>
                <w:b w:val="0"/>
                <w:sz w:val="17"/>
              </w:rPr>
              <w:t>Reflection</w:t>
            </w:r>
          </w:p>
        </w:tc>
        <w:tc>
          <w:tcPr>
            <w:tcW w:type="dxa" w:w="5953"/>
            <w:vAlign w:val="center"/>
          </w:tcPr>
          <w:p>
            <w:pPr>
              <w:spacing w:after="0"/>
            </w:pPr>
            <w:r/>
            <w:r>
              <w:rPr>
                <w:b w:val="0"/>
                <w:sz w:val="17"/>
              </w:rPr>
              <w:t>All four required questions answered</w:t>
            </w:r>
          </w:p>
        </w:tc>
        <w:tc>
          <w:tcPr>
            <w:tcW w:type="dxa" w:w="1701"/>
            <w:vAlign w:val="center"/>
          </w:tcPr>
          <w:p>
            <w:pPr>
              <w:spacing w:after="0"/>
            </w:pPr>
            <w:r/>
            <w:r>
              <w:rPr>
                <w:b w:val="0"/>
                <w:sz w:val="17"/>
              </w:rPr>
              <w:t>Complete</w:t>
            </w:r>
          </w:p>
        </w:tc>
      </w:tr>
    </w:tbl>
    <w:p/>
    <w:p>
      <w:pPr>
        <w:jc w:val="center"/>
      </w:pPr>
      <w:r>
        <w:rPr>
          <w:b/>
          <w:color w:val="17365D"/>
        </w:rPr>
        <w:t>End of report</w:t>
      </w:r>
    </w:p>
    <w:sectPr w:rsidR="00FC693F" w:rsidRPr="0006063C" w:rsidSect="00034616">
      <w:headerReference w:type="default" r:id="rId9"/>
      <w:foot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Clement Eneji  •  C11_26_OCO_17773  •  Network Automation and Integrated Security Challenge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ICDFA  |  CORE102  |  Laboratory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rPr>
      <w:rFonts w:ascii="Aptos" w:hAnsi="Aptos"/>
      <w:b/>
      <w:color w:val="666666"/>
      <w:sz w:val="19"/>
    </w:rPr>
  </w:style>
  <w:style w:type="paragraph" w:customStyle="1" w:styleId="Code">
    <w:name w:val="Code"/>
    <w:rPr>
      <w:rFonts w:ascii="Consolas" w:hAnsi="Consolas"/>
      <w:sz w:val="17"/>
    </w:rPr>
  </w:style>
  <w:style w:type="paragraph" w:customStyle="1" w:styleId="Note">
    <w:name w:val="Note"/>
    <w:rPr>
      <w:rFonts w:ascii="Aptos" w:hAnsi="Aptos"/>
      <w:color w:val="666666"/>
      <w:sz w:val="19"/>
    </w:rPr>
  </w:style>
  <w:style w:type="paragraph" w:customStyle="1" w:styleId="Answer">
    <w:name w:val="Answe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