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Assets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Ring normal, supra et supra chargé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Zone de froids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Mur : normal / Ferromagnétique / Supra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 de charge et décharge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