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22FB" w14:textId="77777777" w:rsidR="00897A5C" w:rsidRDefault="00000000">
      <w:pPr>
        <w:pStyle w:val="Titre"/>
      </w:pPr>
      <w:r>
        <w:t>Épreuve pratique 2026 - Sujet 0 - Codage RLE d’images</w:t>
      </w:r>
    </w:p>
    <w:p w14:paraId="3392822D" w14:textId="51F1B03A" w:rsidR="00E254A6" w:rsidRPr="00E254A6" w:rsidRDefault="00E254A6" w:rsidP="00E254A6">
      <w:pPr>
        <w:pStyle w:val="FirstParagraph"/>
        <w:pBdr>
          <w:top w:val="single" w:sz="4" w:space="1" w:color="auto"/>
          <w:left w:val="single" w:sz="4" w:space="4" w:color="auto"/>
          <w:bottom w:val="single" w:sz="4" w:space="1" w:color="auto"/>
          <w:right w:val="single" w:sz="4" w:space="4" w:color="auto"/>
        </w:pBdr>
        <w:ind w:left="851" w:right="862"/>
        <w:rPr>
          <w:sz w:val="22"/>
          <w:szCs w:val="22"/>
          <w:lang w:eastAsia="ja-JP"/>
        </w:rPr>
      </w:pPr>
      <w:r w:rsidRPr="00E254A6">
        <w:rPr>
          <w:sz w:val="22"/>
          <w:szCs w:val="22"/>
          <w:lang w:eastAsia="ja-JP"/>
        </w:rPr>
        <w:t xml:space="preserve">Cette situation d’évaluation comporte </w:t>
      </w:r>
      <w:r w:rsidRPr="00E254A6">
        <w:rPr>
          <w:rFonts w:hint="eastAsia"/>
          <w:sz w:val="22"/>
          <w:szCs w:val="22"/>
          <w:lang w:eastAsia="ja-JP"/>
        </w:rPr>
        <w:t>ce document ainsi que des fichiers de codes et de données présents sur l</w:t>
      </w:r>
      <w:r w:rsidRPr="00E254A6">
        <w:rPr>
          <w:sz w:val="22"/>
          <w:szCs w:val="22"/>
          <w:lang w:eastAsia="ja-JP"/>
        </w:rPr>
        <w:t>’</w:t>
      </w:r>
      <w:r w:rsidRPr="00E254A6">
        <w:rPr>
          <w:rFonts w:hint="eastAsia"/>
          <w:sz w:val="22"/>
          <w:szCs w:val="22"/>
          <w:lang w:eastAsia="ja-JP"/>
        </w:rPr>
        <w:t>ordinateur à la disposition du candidat.</w:t>
      </w:r>
      <w:r w:rsidRPr="00E254A6">
        <w:rPr>
          <w:sz w:val="22"/>
          <w:szCs w:val="22"/>
          <w:lang w:eastAsia="ja-JP"/>
        </w:rPr>
        <w:br/>
        <w:t>Le candidat doit restituer ce document avant de sortir de la salle d'examen.</w:t>
      </w:r>
      <w:r w:rsidRPr="00E254A6">
        <w:rPr>
          <w:sz w:val="22"/>
          <w:szCs w:val="22"/>
          <w:lang w:eastAsia="ja-JP"/>
        </w:rPr>
        <w:br/>
        <w:t>Le candidat doit agir en autonomie et faire preuve d’initiative tout au long de l’épreuve.</w:t>
      </w:r>
      <w:r w:rsidRPr="00E254A6">
        <w:rPr>
          <w:sz w:val="22"/>
          <w:szCs w:val="22"/>
          <w:lang w:eastAsia="ja-JP"/>
        </w:rPr>
        <w:br/>
        <w:t>En cas de difficulté, le candidat peut solliciter l’examinateur afin de lui permettre de continuer la tâche.</w:t>
      </w:r>
      <w:r w:rsidRPr="00E254A6">
        <w:rPr>
          <w:rFonts w:hint="eastAsia"/>
          <w:sz w:val="22"/>
          <w:szCs w:val="22"/>
          <w:lang w:eastAsia="ja-JP"/>
        </w:rPr>
        <w:t xml:space="preserve"> Des moments privilégiés pour solliciter l</w:t>
      </w:r>
      <w:r w:rsidRPr="00E254A6">
        <w:rPr>
          <w:sz w:val="22"/>
          <w:szCs w:val="22"/>
          <w:lang w:eastAsia="ja-JP"/>
        </w:rPr>
        <w:t>’</w:t>
      </w:r>
      <w:r w:rsidRPr="00E254A6">
        <w:rPr>
          <w:rFonts w:hint="eastAsia"/>
          <w:sz w:val="22"/>
          <w:szCs w:val="22"/>
          <w:lang w:eastAsia="ja-JP"/>
        </w:rPr>
        <w:t>examinateur sont indiqués dans le document sous la forme d</w:t>
      </w:r>
      <w:r w:rsidRPr="00E254A6">
        <w:rPr>
          <w:sz w:val="22"/>
          <w:szCs w:val="22"/>
          <w:lang w:eastAsia="ja-JP"/>
        </w:rPr>
        <w:t>’</w:t>
      </w:r>
      <w:r w:rsidRPr="00E254A6">
        <w:rPr>
          <w:rFonts w:hint="eastAsia"/>
          <w:sz w:val="22"/>
          <w:szCs w:val="22"/>
          <w:lang w:eastAsia="ja-JP"/>
        </w:rPr>
        <w:t>appels professeur.</w:t>
      </w:r>
      <w:r w:rsidRPr="00E254A6">
        <w:rPr>
          <w:sz w:val="22"/>
          <w:szCs w:val="22"/>
          <w:lang w:eastAsia="ja-JP"/>
        </w:rPr>
        <w:br/>
        <w:t>L’examinateur peut intervenir à tout moment, s’il le juge utile.</w:t>
      </w:r>
    </w:p>
    <w:p w14:paraId="40A8CB54" w14:textId="10B96634" w:rsidR="00897A5C" w:rsidRDefault="00000000" w:rsidP="001963AD">
      <w:pPr>
        <w:pStyle w:val="FirstParagraph"/>
        <w:jc w:val="both"/>
      </w:pPr>
      <w:r>
        <w:t xml:space="preserve">On considère dans ce sujet des images en niveaux de gris, c’est-à-dire composées de pixels décrits par une valeur entre 0 et 255 </w:t>
      </w:r>
      <w:proofErr w:type="gramStart"/>
      <w:r>
        <w:t>représentant</w:t>
      </w:r>
      <w:proofErr w:type="gramEnd"/>
      <w:r>
        <w:t xml:space="preserve"> l’intensité du niveau de gris, allant de noir pour la valeur 0 à blanc pour la valeur 255. Une image est alors vue comme une liste de valeurs entre 0 et 255 données par les valeurs des pixels ligne par ligne.</w:t>
      </w:r>
    </w:p>
    <w:p w14:paraId="268D2EAF" w14:textId="77777777" w:rsidR="00897A5C" w:rsidRDefault="00000000">
      <w:pPr>
        <w:pStyle w:val="CaptionedFigure"/>
      </w:pPr>
      <w:r>
        <w:rPr>
          <w:noProof/>
        </w:rPr>
        <w:drawing>
          <wp:inline distT="0" distB="0" distL="0" distR="0" wp14:anchorId="3A526451" wp14:editId="05DF3F10">
            <wp:extent cx="2798155" cy="870130"/>
            <wp:effectExtent l="0" t="0" r="0" b="0"/>
            <wp:docPr id="13" name="Picture" descr="Exemple d’image en niveaux de gris et sa représentation en tableau de valeurs qui, une fois aplatie, devient [0, 128, 128, 255, 64, 255, 128, 128, 255, 255, 128, 128, 0, 0, 64, 255, 0, 0, 0, 0] et de laquelle on peut retrouver l’image en connaissant sa largeur."/>
            <wp:cNvGraphicFramePr/>
            <a:graphic xmlns:a="http://schemas.openxmlformats.org/drawingml/2006/main">
              <a:graphicData uri="http://schemas.openxmlformats.org/drawingml/2006/picture">
                <pic:pic xmlns:pic="http://schemas.openxmlformats.org/drawingml/2006/picture">
                  <pic:nvPicPr>
                    <pic:cNvPr id="14" name="Picture" descr="fig_image.png"/>
                    <pic:cNvPicPr>
                      <a:picLocks noChangeAspect="1" noChangeArrowheads="1"/>
                    </pic:cNvPicPr>
                  </pic:nvPicPr>
                  <pic:blipFill>
                    <a:blip r:embed="rId7"/>
                    <a:stretch>
                      <a:fillRect/>
                    </a:stretch>
                  </pic:blipFill>
                  <pic:spPr bwMode="auto">
                    <a:xfrm>
                      <a:off x="0" y="0"/>
                      <a:ext cx="2798155" cy="870130"/>
                    </a:xfrm>
                    <a:prstGeom prst="rect">
                      <a:avLst/>
                    </a:prstGeom>
                    <a:noFill/>
                    <a:ln w="9525">
                      <a:noFill/>
                      <a:headEnd/>
                      <a:tailEnd/>
                    </a:ln>
                  </pic:spPr>
                </pic:pic>
              </a:graphicData>
            </a:graphic>
          </wp:inline>
        </w:drawing>
      </w:r>
    </w:p>
    <w:p w14:paraId="1144A8E6" w14:textId="77777777" w:rsidR="00897A5C" w:rsidRDefault="00000000">
      <w:pPr>
        <w:pStyle w:val="ImageCaption"/>
      </w:pPr>
      <w:r>
        <w:t xml:space="preserve">Figure 1. Exemple d’image en niveaux de gris et sa représentation en tableau de valeurs qui, une fois aplatie, devient </w:t>
      </w:r>
      <w:r>
        <w:rPr>
          <w:rStyle w:val="VerbatimChar"/>
        </w:rPr>
        <w:t>[0, 128, 128, 255, 64, 255, 128, 128, 255, 255, 128, 128, 0, 0, 64, 255, 0, 0, 0, 0]</w:t>
      </w:r>
      <w:r>
        <w:t xml:space="preserve"> et de laquelle on peut retrouver l’image en connaissant sa largeur.</w:t>
      </w:r>
    </w:p>
    <w:p w14:paraId="1210314F" w14:textId="7F637221" w:rsidR="00897A5C" w:rsidRDefault="00000000" w:rsidP="001963AD">
      <w:pPr>
        <w:pStyle w:val="Corpsdetexte"/>
        <w:jc w:val="both"/>
      </w:pPr>
      <w:r>
        <w:t xml:space="preserve">Les images manipulées sont des dessins ou </w:t>
      </w:r>
      <w:r w:rsidR="001963AD">
        <w:t>des schémas</w:t>
      </w:r>
      <w:r>
        <w:t xml:space="preserve"> présentant de grandes zones d’un même gris, l’objectif de ce problème est d’étudier une manière de les représenter efficacement en tirant </w:t>
      </w:r>
      <w:r w:rsidR="001963AD">
        <w:t>parti</w:t>
      </w:r>
      <w:r>
        <w:t xml:space="preserve"> de cette information. Pour cela, on remarque que les aplats font apparaître des valeurs qui se répètent dans les niveaux de gris des pixels, on va donc remplacer chaque suite de valeurs identiques par un couple (compte, valeur) indiquant le nombre de fois qu’une valeur est répétée ainsi que cette valeur. La liste de couples est elle-même aplatie, c’est-à-dire représentée par une liste de longueur paire </w:t>
      </w:r>
      <w:r>
        <w:rPr>
          <w:rStyle w:val="VerbatimChar"/>
        </w:rPr>
        <w:t>[compte1, valeur1, compte2, valeur2, ...]</w:t>
      </w:r>
      <w:r>
        <w:t xml:space="preserve">. On appelle codage RLE de l’image cette nouvelle liste, cela vient de l’anglais </w:t>
      </w:r>
      <w:r>
        <w:rPr>
          <w:i/>
          <w:iCs/>
        </w:rPr>
        <w:t>run-length encoding</w:t>
      </w:r>
      <w:r>
        <w:t xml:space="preserve">, car une suite de valeur identique est appelée </w:t>
      </w:r>
      <w:r>
        <w:rPr>
          <w:i/>
          <w:iCs/>
        </w:rPr>
        <w:t>run</w:t>
      </w:r>
      <w:r>
        <w:t>.</w:t>
      </w:r>
    </w:p>
    <w:p w14:paraId="12406E8E" w14:textId="1AECC8DA" w:rsidR="00897A5C" w:rsidRDefault="00000000" w:rsidP="001963AD">
      <w:pPr>
        <w:pStyle w:val="Corpsdetexte"/>
        <w:jc w:val="both"/>
      </w:pPr>
      <w:proofErr w:type="gramStart"/>
      <w:r>
        <w:rPr>
          <w:b/>
          <w:bCs/>
        </w:rPr>
        <w:t>Exemple:</w:t>
      </w:r>
      <w:proofErr w:type="gramEnd"/>
      <w:r w:rsidR="00E254A6">
        <w:rPr>
          <w:rFonts w:hint="eastAsia"/>
          <w:b/>
          <w:bCs/>
          <w:lang w:eastAsia="ja-JP"/>
        </w:rPr>
        <w:t xml:space="preserve"> </w:t>
      </w:r>
      <w:r>
        <w:t xml:space="preserve">La liste </w:t>
      </w:r>
      <w:r>
        <w:rPr>
          <w:rStyle w:val="VerbatimChar"/>
        </w:rPr>
        <w:t>[4, 4, 4, 0, 5, 5]</w:t>
      </w:r>
      <w:r>
        <w:t xml:space="preserve"> présente trois fois de suite la valeur </w:t>
      </w:r>
      <w:r>
        <w:rPr>
          <w:rStyle w:val="VerbatimChar"/>
        </w:rPr>
        <w:t>4</w:t>
      </w:r>
      <w:r>
        <w:t xml:space="preserve">, ce qui correspond au couple </w:t>
      </w:r>
      <w:r>
        <w:rPr>
          <w:rStyle w:val="VerbatimChar"/>
        </w:rPr>
        <w:t>(3, 4)</w:t>
      </w:r>
      <w:r>
        <w:t xml:space="preserve">, une fois la valeur </w:t>
      </w:r>
      <w:r>
        <w:rPr>
          <w:rStyle w:val="VerbatimChar"/>
        </w:rPr>
        <w:t>0</w:t>
      </w:r>
      <w:r>
        <w:t xml:space="preserve"> donc le couple </w:t>
      </w:r>
      <w:r>
        <w:rPr>
          <w:rStyle w:val="VerbatimChar"/>
        </w:rPr>
        <w:t>(1, 0)</w:t>
      </w:r>
      <w:r>
        <w:t xml:space="preserve"> et enfin deux fois la valeur </w:t>
      </w:r>
      <w:r>
        <w:rPr>
          <w:rStyle w:val="VerbatimChar"/>
        </w:rPr>
        <w:t>5</w:t>
      </w:r>
      <w:r>
        <w:t xml:space="preserve">, donc le couple </w:t>
      </w:r>
      <w:r>
        <w:rPr>
          <w:rStyle w:val="VerbatimChar"/>
        </w:rPr>
        <w:t>(2, 5)</w:t>
      </w:r>
      <w:r>
        <w:t xml:space="preserve">. La liste admet alors pour codage RLE la nouvelle liste </w:t>
      </w:r>
      <w:r>
        <w:rPr>
          <w:rStyle w:val="VerbatimChar"/>
        </w:rPr>
        <w:t>[3, 4, 1, 0, 2, 5]</w:t>
      </w:r>
      <w:r>
        <w:t xml:space="preserve">. Ici, les deux listes sont de même longueur, </w:t>
      </w:r>
      <w:r>
        <w:lastRenderedPageBreak/>
        <w:t xml:space="preserve">mais si la liste initiale était </w:t>
      </w:r>
      <w:r>
        <w:rPr>
          <w:rStyle w:val="VerbatimChar"/>
        </w:rPr>
        <w:t>[0, 0, 0, 0, 0]</w:t>
      </w:r>
      <w:r>
        <w:t xml:space="preserve"> on aurait obtenu la liste </w:t>
      </w:r>
      <w:r>
        <w:rPr>
          <w:rStyle w:val="VerbatimChar"/>
        </w:rPr>
        <w:t>[5, 0]</w:t>
      </w:r>
      <w:r>
        <w:t xml:space="preserve"> plus courte.</w:t>
      </w:r>
    </w:p>
    <w:p w14:paraId="6B8065EF" w14:textId="2BF01FCC" w:rsidR="00E254A6" w:rsidRDefault="005C5B8B" w:rsidP="001963AD">
      <w:pPr>
        <w:numPr>
          <w:ilvl w:val="0"/>
          <w:numId w:val="9"/>
        </w:numPr>
        <w:jc w:val="both"/>
      </w:pPr>
      <w:r>
        <w:rPr>
          <w:rFonts w:hint="eastAsia"/>
          <w:lang w:eastAsia="ja-JP"/>
        </w:rPr>
        <w:t>Déterminer si l</w:t>
      </w:r>
      <w:r>
        <w:t>a liste obtenue par codage RLE est forcément de longueur inférieure ou égale à la liste de départ</w:t>
      </w:r>
      <w:r>
        <w:rPr>
          <w:rFonts w:hint="eastAsia"/>
          <w:lang w:eastAsia="ja-JP"/>
        </w:rPr>
        <w:t>.</w:t>
      </w:r>
    </w:p>
    <w:tbl>
      <w:tblPr>
        <w:tblStyle w:val="Grilledutableau"/>
        <w:tblW w:w="0" w:type="auto"/>
        <w:tblInd w:w="360" w:type="dxa"/>
        <w:tblLook w:val="04A0" w:firstRow="1" w:lastRow="0" w:firstColumn="1" w:lastColumn="0" w:noHBand="0" w:noVBand="1"/>
      </w:tblPr>
      <w:tblGrid>
        <w:gridCol w:w="1300"/>
        <w:gridCol w:w="7414"/>
      </w:tblGrid>
      <w:tr w:rsidR="00E254A6" w14:paraId="754899AB" w14:textId="77777777" w:rsidTr="00581F02">
        <w:tc>
          <w:tcPr>
            <w:tcW w:w="1308" w:type="dxa"/>
            <w:vAlign w:val="center"/>
          </w:tcPr>
          <w:p w14:paraId="53EBE4C7" w14:textId="77777777" w:rsidR="00E254A6" w:rsidRPr="00E254A6" w:rsidRDefault="00E254A6" w:rsidP="00581F02">
            <w:pPr>
              <w:jc w:val="center"/>
              <w:rPr>
                <w:sz w:val="22"/>
                <w:szCs w:val="22"/>
                <w:lang w:eastAsia="ja-JP"/>
              </w:rPr>
            </w:pPr>
            <w:r w:rsidRPr="00E254A6">
              <w:rPr>
                <w:rFonts w:hint="eastAsia"/>
                <w:b/>
                <w:bCs/>
                <w:lang w:eastAsia="ja-JP"/>
              </w:rPr>
              <w:t>Appel</w:t>
            </w:r>
            <w:r w:rsidRPr="00E254A6">
              <w:rPr>
                <w:b/>
                <w:bCs/>
                <w:lang w:eastAsia="ja-JP"/>
              </w:rPr>
              <w:t> </w:t>
            </w:r>
            <w:r w:rsidRPr="00E254A6">
              <w:rPr>
                <w:rFonts w:hint="eastAsia"/>
                <w:b/>
                <w:bCs/>
                <w:lang w:eastAsia="ja-JP"/>
              </w:rPr>
              <w:t>1</w:t>
            </w:r>
          </w:p>
        </w:tc>
        <w:tc>
          <w:tcPr>
            <w:tcW w:w="7632" w:type="dxa"/>
            <w:vAlign w:val="center"/>
          </w:tcPr>
          <w:p w14:paraId="1BB47711" w14:textId="1D77DBD7" w:rsidR="00E254A6" w:rsidRPr="00E254A6" w:rsidRDefault="00E254A6" w:rsidP="00581F02">
            <w:pPr>
              <w:jc w:val="center"/>
              <w:rPr>
                <w:lang w:eastAsia="ja-JP"/>
              </w:rPr>
            </w:pPr>
            <w:r w:rsidRPr="00E254A6">
              <w:rPr>
                <w:rFonts w:hint="eastAsia"/>
                <w:lang w:eastAsia="ja-JP"/>
              </w:rPr>
              <w:t xml:space="preserve">Appeler le professeur </w:t>
            </w:r>
            <w:r>
              <w:rPr>
                <w:rFonts w:hint="eastAsia"/>
                <w:lang w:eastAsia="ja-JP"/>
              </w:rPr>
              <w:t>en cas de difficulté de compréhension du codage.</w:t>
            </w:r>
          </w:p>
        </w:tc>
      </w:tr>
    </w:tbl>
    <w:p w14:paraId="7C194617" w14:textId="77777777" w:rsidR="00897A5C" w:rsidRDefault="00000000" w:rsidP="001963AD">
      <w:pPr>
        <w:numPr>
          <w:ilvl w:val="0"/>
          <w:numId w:val="10"/>
        </w:numPr>
        <w:jc w:val="both"/>
      </w:pPr>
      <w:r>
        <w:t xml:space="preserve">En étudiant bien la fonction </w:t>
      </w:r>
      <w:r>
        <w:rPr>
          <w:rStyle w:val="VerbatimChar"/>
        </w:rPr>
        <w:t>codage_rle</w:t>
      </w:r>
      <w:r>
        <w:t xml:space="preserve"> qui réalise le codage, écrire le corps de la fonction </w:t>
      </w:r>
      <w:r>
        <w:rPr>
          <w:rStyle w:val="VerbatimChar"/>
        </w:rPr>
        <w:t>decodage_rle</w:t>
      </w:r>
      <w:r>
        <w:t xml:space="preserve"> qui réalise le décodage d’une liste. Des tests sont fournis dans la fonction </w:t>
      </w:r>
      <w:r>
        <w:rPr>
          <w:rStyle w:val="VerbatimChar"/>
        </w:rPr>
        <w:t>test_</w:t>
      </w:r>
      <w:proofErr w:type="gramStart"/>
      <w:r>
        <w:rPr>
          <w:rStyle w:val="VerbatimChar"/>
        </w:rPr>
        <w:t>codage(</w:t>
      </w:r>
      <w:proofErr w:type="gramEnd"/>
      <w:r>
        <w:rPr>
          <w:rStyle w:val="VerbatimChar"/>
        </w:rPr>
        <w:t>)</w:t>
      </w:r>
      <w:r>
        <w:t>, on pourra les compléter.</w:t>
      </w:r>
    </w:p>
    <w:tbl>
      <w:tblPr>
        <w:tblStyle w:val="Grilledutableau"/>
        <w:tblW w:w="0" w:type="auto"/>
        <w:tblInd w:w="360" w:type="dxa"/>
        <w:tblLook w:val="04A0" w:firstRow="1" w:lastRow="0" w:firstColumn="1" w:lastColumn="0" w:noHBand="0" w:noVBand="1"/>
      </w:tblPr>
      <w:tblGrid>
        <w:gridCol w:w="1300"/>
        <w:gridCol w:w="7414"/>
      </w:tblGrid>
      <w:tr w:rsidR="00E254A6" w14:paraId="2D841A2D" w14:textId="77777777" w:rsidTr="00E254A6">
        <w:tc>
          <w:tcPr>
            <w:tcW w:w="1308" w:type="dxa"/>
            <w:vAlign w:val="center"/>
          </w:tcPr>
          <w:p w14:paraId="4CE15B1F" w14:textId="2BCCC488" w:rsidR="00E254A6" w:rsidRPr="00E254A6" w:rsidRDefault="00E254A6" w:rsidP="00E254A6">
            <w:pPr>
              <w:jc w:val="center"/>
              <w:rPr>
                <w:sz w:val="22"/>
                <w:szCs w:val="22"/>
                <w:lang w:eastAsia="ja-JP"/>
              </w:rPr>
            </w:pPr>
            <w:r w:rsidRPr="00E254A6">
              <w:rPr>
                <w:rFonts w:hint="eastAsia"/>
                <w:b/>
                <w:bCs/>
                <w:lang w:eastAsia="ja-JP"/>
              </w:rPr>
              <w:t>Appel</w:t>
            </w:r>
            <w:r w:rsidRPr="00E254A6">
              <w:rPr>
                <w:b/>
                <w:bCs/>
                <w:lang w:eastAsia="ja-JP"/>
              </w:rPr>
              <w:t> </w:t>
            </w:r>
            <w:r>
              <w:rPr>
                <w:rFonts w:hint="eastAsia"/>
                <w:b/>
                <w:bCs/>
                <w:lang w:eastAsia="ja-JP"/>
              </w:rPr>
              <w:t>2</w:t>
            </w:r>
          </w:p>
        </w:tc>
        <w:tc>
          <w:tcPr>
            <w:tcW w:w="7632" w:type="dxa"/>
            <w:vAlign w:val="center"/>
          </w:tcPr>
          <w:p w14:paraId="33F08752" w14:textId="617E348E" w:rsidR="00E254A6" w:rsidRPr="00E254A6" w:rsidRDefault="00E254A6" w:rsidP="00E254A6">
            <w:pPr>
              <w:jc w:val="center"/>
              <w:rPr>
                <w:lang w:eastAsia="ja-JP"/>
              </w:rPr>
            </w:pPr>
            <w:r w:rsidRPr="00E254A6">
              <w:rPr>
                <w:rFonts w:hint="eastAsia"/>
                <w:lang w:eastAsia="ja-JP"/>
              </w:rPr>
              <w:t>Appeler le professeur pour lui présenter votre fonction et son fonctionnement ou en cas de difficultés.</w:t>
            </w:r>
          </w:p>
        </w:tc>
      </w:tr>
    </w:tbl>
    <w:p w14:paraId="70A2D6BD" w14:textId="75EB2B2E" w:rsidR="00897A5C" w:rsidRDefault="00000000" w:rsidP="001963AD">
      <w:pPr>
        <w:numPr>
          <w:ilvl w:val="0"/>
          <w:numId w:val="11"/>
        </w:numPr>
        <w:jc w:val="both"/>
      </w:pPr>
      <w:r>
        <w:t xml:space="preserve">Pour tester le codage sur une image, on peut utiliser la fonction fournie </w:t>
      </w:r>
      <w:r>
        <w:rPr>
          <w:rStyle w:val="VerbatimChar"/>
        </w:rPr>
        <w:t>encoder_decoder_image</w:t>
      </w:r>
      <w:r>
        <w:t xml:space="preserve"> qui effectue le codage puis le décodage d’une image pour l’enregistrer à nouveau dans un fichier. Utilise</w:t>
      </w:r>
      <w:r w:rsidR="005C5B8B">
        <w:rPr>
          <w:rFonts w:hint="eastAsia"/>
          <w:lang w:eastAsia="ja-JP"/>
        </w:rPr>
        <w:t>r</w:t>
      </w:r>
      <w:r>
        <w:t xml:space="preserve"> cette fonction sur les images </w:t>
      </w:r>
      <w:r>
        <w:rPr>
          <w:rStyle w:val="VerbatimChar"/>
        </w:rPr>
        <w:t>bac_nsi_32.png</w:t>
      </w:r>
      <w:r>
        <w:t xml:space="preserve"> et </w:t>
      </w:r>
      <w:r>
        <w:rPr>
          <w:rStyle w:val="VerbatimChar"/>
        </w:rPr>
        <w:t>bac_nsi_256.png</w:t>
      </w:r>
      <w:r w:rsidR="005C5B8B">
        <w:rPr>
          <w:rFonts w:hint="eastAsia"/>
          <w:lang w:eastAsia="ja-JP"/>
        </w:rPr>
        <w:t xml:space="preserve"> et</w:t>
      </w:r>
      <w:r>
        <w:t xml:space="preserve"> </w:t>
      </w:r>
      <w:r w:rsidR="005C5B8B">
        <w:rPr>
          <w:rFonts w:hint="eastAsia"/>
          <w:lang w:eastAsia="ja-JP"/>
        </w:rPr>
        <w:t>observer la différence de comportement.</w:t>
      </w:r>
    </w:p>
    <w:p w14:paraId="32151090" w14:textId="2F5D717B" w:rsidR="00897A5C" w:rsidRDefault="00000000" w:rsidP="001963AD">
      <w:pPr>
        <w:numPr>
          <w:ilvl w:val="0"/>
          <w:numId w:val="12"/>
        </w:numPr>
        <w:jc w:val="both"/>
      </w:pPr>
      <w:r>
        <w:t>Le problème précédent est lié au fait que sur des grandes images, il est possible d’avoir plus de 255 pixels de la même couleur. Propose</w:t>
      </w:r>
      <w:r w:rsidR="005C5B8B">
        <w:rPr>
          <w:rFonts w:hint="eastAsia"/>
          <w:lang w:eastAsia="ja-JP"/>
        </w:rPr>
        <w:t>r</w:t>
      </w:r>
      <w:r>
        <w:t xml:space="preserve"> une démarche de résolution de ce problème qui modifie les fonctions d’encodage et de décodage, puis l’implémenter.</w:t>
      </w:r>
    </w:p>
    <w:tbl>
      <w:tblPr>
        <w:tblStyle w:val="Grilledutableau"/>
        <w:tblW w:w="0" w:type="auto"/>
        <w:tblInd w:w="360" w:type="dxa"/>
        <w:tblLook w:val="04A0" w:firstRow="1" w:lastRow="0" w:firstColumn="1" w:lastColumn="0" w:noHBand="0" w:noVBand="1"/>
      </w:tblPr>
      <w:tblGrid>
        <w:gridCol w:w="1300"/>
        <w:gridCol w:w="7414"/>
      </w:tblGrid>
      <w:tr w:rsidR="00E254A6" w14:paraId="37E26EE0" w14:textId="77777777" w:rsidTr="00581F02">
        <w:tc>
          <w:tcPr>
            <w:tcW w:w="1308" w:type="dxa"/>
            <w:vAlign w:val="center"/>
          </w:tcPr>
          <w:p w14:paraId="314B5F76" w14:textId="314AB6B9" w:rsidR="00E254A6" w:rsidRPr="00E254A6" w:rsidRDefault="00E254A6" w:rsidP="00581F02">
            <w:pPr>
              <w:jc w:val="center"/>
              <w:rPr>
                <w:sz w:val="22"/>
                <w:szCs w:val="22"/>
                <w:lang w:eastAsia="ja-JP"/>
              </w:rPr>
            </w:pPr>
            <w:r w:rsidRPr="00E254A6">
              <w:rPr>
                <w:rFonts w:hint="eastAsia"/>
                <w:b/>
                <w:bCs/>
                <w:lang w:eastAsia="ja-JP"/>
              </w:rPr>
              <w:t>Appel</w:t>
            </w:r>
            <w:r w:rsidRPr="00E254A6">
              <w:rPr>
                <w:b/>
                <w:bCs/>
                <w:lang w:eastAsia="ja-JP"/>
              </w:rPr>
              <w:t> </w:t>
            </w:r>
            <w:r>
              <w:rPr>
                <w:rFonts w:hint="eastAsia"/>
                <w:b/>
                <w:bCs/>
                <w:lang w:eastAsia="ja-JP"/>
              </w:rPr>
              <w:t>3</w:t>
            </w:r>
          </w:p>
        </w:tc>
        <w:tc>
          <w:tcPr>
            <w:tcW w:w="7632" w:type="dxa"/>
            <w:vAlign w:val="center"/>
          </w:tcPr>
          <w:p w14:paraId="339A0C9B" w14:textId="18BB1344" w:rsidR="00E254A6" w:rsidRPr="00E254A6" w:rsidRDefault="00E254A6" w:rsidP="00581F02">
            <w:pPr>
              <w:jc w:val="center"/>
              <w:rPr>
                <w:lang w:eastAsia="ja-JP"/>
              </w:rPr>
            </w:pPr>
            <w:r w:rsidRPr="00E254A6">
              <w:rPr>
                <w:rFonts w:hint="eastAsia"/>
                <w:lang w:eastAsia="ja-JP"/>
              </w:rPr>
              <w:t xml:space="preserve">Appeler le professeur pour lui présenter votre </w:t>
            </w:r>
            <w:r>
              <w:rPr>
                <w:rFonts w:hint="eastAsia"/>
                <w:lang w:eastAsia="ja-JP"/>
              </w:rPr>
              <w:t>démarche</w:t>
            </w:r>
            <w:r w:rsidRPr="00E254A6">
              <w:rPr>
                <w:rFonts w:hint="eastAsia"/>
                <w:lang w:eastAsia="ja-JP"/>
              </w:rPr>
              <w:t xml:space="preserve"> ou en cas de difficultés.</w:t>
            </w:r>
          </w:p>
        </w:tc>
      </w:tr>
    </w:tbl>
    <w:p w14:paraId="6D29408C" w14:textId="77777777" w:rsidR="00897A5C" w:rsidRDefault="00000000">
      <w:pPr>
        <w:pStyle w:val="Titre1"/>
      </w:pPr>
      <w:bookmarkStart w:id="0" w:name="description-du-dossier"/>
      <w:r>
        <w:t>Description du dossier</w:t>
      </w:r>
    </w:p>
    <w:p w14:paraId="629E2BB3" w14:textId="77777777" w:rsidR="00897A5C" w:rsidRDefault="00000000">
      <w:pPr>
        <w:pStyle w:val="FirstParagraph"/>
      </w:pPr>
      <w:r>
        <w:t>Le dossier fourni au candidat sur l’ordinateur comporte les éléments suivants :</w:t>
      </w:r>
    </w:p>
    <w:p w14:paraId="68FF60FE" w14:textId="77777777" w:rsidR="00897A5C" w:rsidRDefault="00000000">
      <w:pPr>
        <w:pStyle w:val="Compact"/>
        <w:numPr>
          <w:ilvl w:val="0"/>
          <w:numId w:val="13"/>
        </w:numPr>
      </w:pPr>
      <w:r>
        <w:t>une version PDF de l’énoncé ;</w:t>
      </w:r>
    </w:p>
    <w:p w14:paraId="2838F0DA" w14:textId="77777777" w:rsidR="00897A5C" w:rsidRDefault="00000000">
      <w:pPr>
        <w:pStyle w:val="Compact"/>
        <w:numPr>
          <w:ilvl w:val="0"/>
          <w:numId w:val="13"/>
        </w:numPr>
      </w:pPr>
      <w:r>
        <w:t xml:space="preserve">un code source de départ </w:t>
      </w:r>
      <w:r>
        <w:rPr>
          <w:rStyle w:val="VerbatimChar"/>
        </w:rPr>
        <w:t>rle.py</w:t>
      </w:r>
      <w:r>
        <w:t xml:space="preserve"> ;</w:t>
      </w:r>
    </w:p>
    <w:p w14:paraId="2B7CA959" w14:textId="77777777" w:rsidR="00897A5C" w:rsidRDefault="00000000">
      <w:pPr>
        <w:pStyle w:val="Compact"/>
        <w:numPr>
          <w:ilvl w:val="0"/>
          <w:numId w:val="13"/>
        </w:numPr>
      </w:pPr>
      <w:r>
        <w:t xml:space="preserve">des images au format </w:t>
      </w:r>
      <w:r>
        <w:rPr>
          <w:rStyle w:val="VerbatimChar"/>
        </w:rPr>
        <w:t>png</w:t>
      </w:r>
      <w:r>
        <w:t xml:space="preserve"> en niveaux de gris auquel le sujet fait référence.</w:t>
      </w:r>
    </w:p>
    <w:p w14:paraId="6879801D" w14:textId="77777777" w:rsidR="00897A5C" w:rsidRDefault="00000000">
      <w:pPr>
        <w:pStyle w:val="Titre2"/>
      </w:pPr>
      <w:bookmarkStart w:id="1" w:name="préparation-de-lenvironnement"/>
      <w:r>
        <w:t>Préparation de l’environnement</w:t>
      </w:r>
    </w:p>
    <w:p w14:paraId="515EBBAB" w14:textId="3B6AD230" w:rsidR="00897A5C" w:rsidRDefault="00000000" w:rsidP="00E254A6">
      <w:pPr>
        <w:pStyle w:val="FirstParagraph"/>
        <w:rPr>
          <w:lang w:eastAsia="ja-JP"/>
        </w:rPr>
      </w:pPr>
      <w:r>
        <w:t xml:space="preserve">Pour faire fonctionner le code fourni dans le dossier, les bibliothèques suivantes doivent être présentes : </w:t>
      </w:r>
      <w:r>
        <w:rPr>
          <w:rStyle w:val="VerbatimChar"/>
        </w:rPr>
        <w:t>pillow</w:t>
      </w:r>
      <w:r>
        <w:t>.</w:t>
      </w:r>
      <w:bookmarkStart w:id="2" w:name="consignes-dévaluation"/>
      <w:bookmarkEnd w:id="0"/>
      <w:bookmarkEnd w:id="1"/>
      <w:bookmarkEnd w:id="2"/>
    </w:p>
    <w:sectPr w:rsidR="00897A5C">
      <w:footerReference w:type="default" r:id="rId8"/>
      <w:pgSz w:w="11906" w:h="16838"/>
      <w:pgMar w:top="1411" w:right="1411" w:bottom="1470" w:left="1411" w:header="0" w:footer="706"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979F9" w14:textId="77777777" w:rsidR="008C219F" w:rsidRDefault="008C219F">
      <w:pPr>
        <w:spacing w:before="0" w:after="0"/>
      </w:pPr>
      <w:r>
        <w:separator/>
      </w:r>
    </w:p>
  </w:endnote>
  <w:endnote w:type="continuationSeparator" w:id="0">
    <w:p w14:paraId="6AACB88A" w14:textId="77777777" w:rsidR="008C219F" w:rsidRDefault="008C21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Segoe UI Symbol"/>
    <w:panose1 w:val="020B0604020202020204"/>
    <w:charset w:val="01"/>
    <w:family w:val="auto"/>
    <w:pitch w:val="variable"/>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iberation Mono">
    <w:panose1 w:val="020B0604020202020204"/>
    <w:charset w:val="00"/>
    <w:family w:val="modern"/>
    <w:pitch w:val="fixed"/>
    <w:sig w:usb0="E0000AFF" w:usb1="400078FF" w:usb2="00000001" w:usb3="00000000" w:csb0="000001BF" w:csb1="00000000"/>
  </w:font>
  <w:font w:name="Liberation Sans">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AF3C" w14:textId="77777777" w:rsidR="00897A5C" w:rsidRDefault="00000000">
    <w:pPr>
      <w:pStyle w:val="FooterLeft"/>
      <w:spacing w:before="0" w:after="200"/>
    </w:pPr>
    <w:r>
      <w:tab/>
    </w:r>
    <w:r>
      <w:tab/>
      <w:t xml:space="preserve">Page : </w:t>
    </w:r>
    <w:r>
      <w:fldChar w:fldCharType="begin"/>
    </w:r>
    <w:r>
      <w:instrText xml:space="preserve"> PAGE </w:instrText>
    </w:r>
    <w:r>
      <w:fldChar w:fldCharType="separate"/>
    </w:r>
    <w:r>
      <w:t>4</w:t>
    </w:r>
    <w:r>
      <w:fldChar w:fldCharType="end"/>
    </w:r>
    <w:r>
      <w:t xml:space="preserve"> / </w:t>
    </w:r>
    <w:fldSimple w:instr=" NUMPAGES ">
      <w:r w:rsidR="00897A5C">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1DEC" w14:textId="77777777" w:rsidR="008C219F" w:rsidRDefault="008C219F">
      <w:pPr>
        <w:spacing w:before="0" w:after="0"/>
      </w:pPr>
      <w:r>
        <w:separator/>
      </w:r>
    </w:p>
  </w:footnote>
  <w:footnote w:type="continuationSeparator" w:id="0">
    <w:p w14:paraId="4600A87B" w14:textId="77777777" w:rsidR="008C219F" w:rsidRDefault="008C219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5CE4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6ECA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2063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05092B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8F8CD7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1E44633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16752C9B"/>
    <w:multiLevelType w:val="multilevel"/>
    <w:tmpl w:val="FC2E2DCC"/>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B607FC"/>
    <w:multiLevelType w:val="multilevel"/>
    <w:tmpl w:val="DCD220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5393685"/>
    <w:multiLevelType w:val="multilevel"/>
    <w:tmpl w:val="80968106"/>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0073F2C"/>
    <w:multiLevelType w:val="multilevel"/>
    <w:tmpl w:val="5B5C35FE"/>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Symbol" w:hAnsi="Symbol" w:cs="Symbol" w:hint="default"/>
      </w:rPr>
    </w:lvl>
    <w:lvl w:ilvl="2">
      <w:start w:val="1"/>
      <w:numFmt w:val="bullet"/>
      <w:lvlText w:val=""/>
      <w:lvlJc w:val="left"/>
      <w:pPr>
        <w:tabs>
          <w:tab w:val="num" w:pos="1080"/>
        </w:tabs>
        <w:ind w:left="108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04441D3"/>
    <w:multiLevelType w:val="multilevel"/>
    <w:tmpl w:val="E44CC57A"/>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94367166">
    <w:abstractNumId w:val="9"/>
  </w:num>
  <w:num w:numId="2" w16cid:durableId="604390362">
    <w:abstractNumId w:val="6"/>
  </w:num>
  <w:num w:numId="3" w16cid:durableId="238179107">
    <w:abstractNumId w:val="10"/>
  </w:num>
  <w:num w:numId="4" w16cid:durableId="343358975">
    <w:abstractNumId w:val="8"/>
  </w:num>
  <w:num w:numId="5" w16cid:durableId="736054403">
    <w:abstractNumId w:val="7"/>
  </w:num>
  <w:num w:numId="6" w16cid:durableId="389114905">
    <w:abstractNumId w:val="6"/>
  </w:num>
  <w:num w:numId="7" w16cid:durableId="761875227">
    <w:abstractNumId w:val="6"/>
  </w:num>
  <w:num w:numId="8" w16cid:durableId="1135442279">
    <w:abstractNumId w:val="0"/>
  </w:num>
  <w:num w:numId="9" w16cid:durableId="1407338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136663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44677363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18682348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698772207">
    <w:abstractNumId w:val="1"/>
  </w:num>
  <w:num w:numId="14" w16cid:durableId="2039962662">
    <w:abstractNumId w:val="1"/>
  </w:num>
  <w:num w:numId="15" w16cid:durableId="1148283975">
    <w:abstractNumId w:val="1"/>
  </w:num>
  <w:num w:numId="16" w16cid:durableId="1360861717">
    <w:abstractNumId w:val="1"/>
  </w:num>
  <w:num w:numId="17" w16cid:durableId="270478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removePersonalInformation/>
  <w:removeDateAndTim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643"/>
  <w:autoHyphenation/>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5C"/>
    <w:rsid w:val="00127CA5"/>
    <w:rsid w:val="001963AD"/>
    <w:rsid w:val="005C5B8B"/>
    <w:rsid w:val="00745FB1"/>
    <w:rsid w:val="00897A5C"/>
    <w:rsid w:val="008C219F"/>
    <w:rsid w:val="009D764F"/>
    <w:rsid w:val="00A3285E"/>
    <w:rsid w:val="00A63665"/>
    <w:rsid w:val="00CA0B1F"/>
    <w:rsid w:val="00E254A6"/>
    <w:rsid w:val="00FF736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9EA1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fr"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202" w:after="202"/>
    </w:pPr>
    <w:rPr>
      <w:rFonts w:eastAsiaTheme="minorHAnsi"/>
    </w:rPr>
  </w:style>
  <w:style w:type="paragraph" w:styleId="Titre1">
    <w:name w:val="heading 1"/>
    <w:basedOn w:val="Normal"/>
    <w:next w:val="Corpsdetexte"/>
    <w:uiPriority w:val="9"/>
    <w:qFormat/>
    <w:pPr>
      <w:keepNext/>
      <w:keepLines/>
      <w:spacing w:before="475" w:after="288"/>
      <w:jc w:val="center"/>
      <w:outlineLvl w:val="0"/>
    </w:pPr>
    <w:rPr>
      <w:rFonts w:ascii="Arial" w:eastAsiaTheme="majorEastAsia" w:hAnsi="Arial" w:cstheme="majorBidi"/>
      <w:b/>
      <w:bCs/>
      <w:color w:val="000000"/>
      <w:sz w:val="28"/>
      <w:szCs w:val="32"/>
    </w:rPr>
  </w:style>
  <w:style w:type="paragraph" w:styleId="Titre2">
    <w:name w:val="heading 2"/>
    <w:basedOn w:val="Normal"/>
    <w:next w:val="Corpsdetexte"/>
    <w:uiPriority w:val="9"/>
    <w:unhideWhenUsed/>
    <w:qFormat/>
    <w:pPr>
      <w:keepNext/>
      <w:keepLines/>
      <w:outlineLvl w:val="1"/>
    </w:pPr>
    <w:rPr>
      <w:rFonts w:ascii="Arial" w:eastAsiaTheme="majorEastAsia" w:hAnsi="Arial" w:cstheme="majorBidi"/>
      <w:b/>
      <w:bCs/>
      <w:color w:val="000000"/>
      <w:sz w:val="26"/>
      <w:szCs w:val="28"/>
    </w:rPr>
  </w:style>
  <w:style w:type="paragraph" w:styleId="Titre3">
    <w:name w:val="heading 3"/>
    <w:basedOn w:val="Normal"/>
    <w:next w:val="Corpsdetexte"/>
    <w:uiPriority w:val="9"/>
    <w:unhideWhenUsed/>
    <w:qFormat/>
    <w:pPr>
      <w:keepNext/>
      <w:keepLines/>
      <w:spacing w:before="200" w:after="0"/>
      <w:outlineLvl w:val="2"/>
    </w:pPr>
    <w:rPr>
      <w:rFonts w:ascii="Arial" w:eastAsiaTheme="majorEastAsia" w:hAnsi="Arial" w:cstheme="majorBidi"/>
      <w:b/>
      <w:bCs/>
      <w:color w:val="000000"/>
      <w:sz w:val="20"/>
    </w:rPr>
  </w:style>
  <w:style w:type="paragraph" w:styleId="Titre4">
    <w:name w:val="heading 4"/>
    <w:basedOn w:val="Normal"/>
    <w:next w:val="Corpsdetexte"/>
    <w:uiPriority w:val="9"/>
    <w:unhideWhenUsed/>
    <w:qFormat/>
    <w:pPr>
      <w:keepNext/>
      <w:keepLines/>
      <w:spacing w:after="0"/>
      <w:jc w:val="center"/>
      <w:outlineLvl w:val="3"/>
    </w:pPr>
    <w:rPr>
      <w:rFonts w:ascii="Arial" w:eastAsiaTheme="majorEastAsia" w:hAnsi="Arial" w:cstheme="majorBidi"/>
      <w:bCs/>
      <w:color w:val="000000"/>
      <w:sz w:val="40"/>
    </w:rPr>
  </w:style>
  <w:style w:type="paragraph" w:styleId="Titre5">
    <w:name w:val="heading 5"/>
    <w:basedOn w:val="Normal"/>
    <w:next w:val="Corpsdetexte"/>
    <w:uiPriority w:val="9"/>
    <w:unhideWhenUsed/>
    <w:qFormat/>
    <w:pPr>
      <w:keepLines/>
      <w:spacing w:before="200" w:after="0"/>
      <w:jc w:val="center"/>
      <w:outlineLvl w:val="4"/>
    </w:pPr>
    <w:rPr>
      <w:rFonts w:ascii="Arial" w:eastAsiaTheme="majorEastAsia" w:hAnsi="Arial" w:cstheme="majorBidi"/>
      <w:iCs/>
      <w:color w:val="000000"/>
      <w:sz w:val="22"/>
    </w:rPr>
  </w:style>
  <w:style w:type="paragraph" w:styleId="Titre6">
    <w:name w:val="heading 6"/>
    <w:basedOn w:val="Normal"/>
    <w:next w:val="Corpsdetexte"/>
    <w:uiPriority w:val="9"/>
    <w:unhideWhenUsed/>
    <w:qFormat/>
    <w:pPr>
      <w:keepNext/>
      <w:keepLines/>
      <w:spacing w:before="200" w:after="0"/>
      <w:jc w:val="center"/>
      <w:outlineLvl w:val="5"/>
    </w:pPr>
    <w:rPr>
      <w:rFonts w:ascii="Arial" w:eastAsiaTheme="majorEastAsia" w:hAnsi="Arial" w:cstheme="majorBidi"/>
      <w:color w:val="000000"/>
      <w:sz w:val="28"/>
    </w:rPr>
  </w:style>
  <w:style w:type="paragraph" w:styleId="Titre7">
    <w:name w:val="heading 7"/>
    <w:basedOn w:val="Normal"/>
    <w:next w:val="Corpsdetexte"/>
    <w:uiPriority w:val="9"/>
    <w:unhideWhenUsed/>
    <w:qFormat/>
    <w:pPr>
      <w:keepLines/>
      <w:spacing w:before="200" w:after="0"/>
      <w:jc w:val="center"/>
      <w:outlineLvl w:val="6"/>
    </w:pPr>
    <w:rPr>
      <w:rFonts w:ascii="Arial" w:eastAsiaTheme="majorEastAsia" w:hAnsi="Arial" w:cstheme="majorBidi"/>
      <w:color w:val="000000"/>
      <w:sz w:val="30"/>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Arial" w:eastAsiaTheme="majorEastAsia" w:hAnsi="Arial" w:cstheme="majorBidi"/>
      <w:b/>
      <w:color w:val="158466"/>
      <w:sz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urier New" w:hAnsi="Courier New"/>
      <w:sz w:val="24"/>
    </w:rPr>
  </w:style>
  <w:style w:type="character" w:customStyle="1" w:styleId="SectionNumber">
    <w:name w:val="Section Number"/>
    <w:basedOn w:val="LgendeCar"/>
    <w:qFormat/>
  </w:style>
  <w:style w:type="character" w:customStyle="1" w:styleId="FootnoteCharacters">
    <w:name w:val="Footnote Characters"/>
    <w:qFormat/>
    <w:rPr>
      <w:vertAlign w:val="superscript"/>
    </w:rPr>
  </w:style>
  <w:style w:type="character" w:styleId="Appelnotedebasdep">
    <w:name w:val="footnote reference"/>
    <w:rPr>
      <w:vertAlign w:val="superscript"/>
    </w:rPr>
  </w:style>
  <w:style w:type="character" w:styleId="Lienhypertexte">
    <w:name w:val="Hyperlink"/>
    <w:basedOn w:val="LgendeCar"/>
    <w:rPr>
      <w:color w:val="4F81BD" w:themeColor="accent1"/>
    </w:rPr>
  </w:style>
  <w:style w:type="character" w:customStyle="1" w:styleId="KeywordTok">
    <w:name w:val="KeywordTok"/>
    <w:basedOn w:val="VerbatimChar"/>
    <w:qFormat/>
    <w:rPr>
      <w:rFonts w:ascii="Courier New" w:hAnsi="Courier New"/>
      <w:b/>
      <w:color w:val="007020"/>
      <w:sz w:val="24"/>
    </w:rPr>
  </w:style>
  <w:style w:type="character" w:customStyle="1" w:styleId="DataTypeTok">
    <w:name w:val="DataTypeTok"/>
    <w:basedOn w:val="VerbatimChar"/>
    <w:qFormat/>
    <w:rPr>
      <w:rFonts w:ascii="Courier New" w:hAnsi="Courier New"/>
      <w:color w:val="902000"/>
      <w:sz w:val="24"/>
    </w:rPr>
  </w:style>
  <w:style w:type="character" w:customStyle="1" w:styleId="DecValTok">
    <w:name w:val="DecValTok"/>
    <w:basedOn w:val="VerbatimChar"/>
    <w:qFormat/>
    <w:rPr>
      <w:rFonts w:ascii="Courier New" w:hAnsi="Courier New"/>
      <w:color w:val="40A070"/>
      <w:sz w:val="24"/>
    </w:rPr>
  </w:style>
  <w:style w:type="character" w:customStyle="1" w:styleId="BaseNTok">
    <w:name w:val="BaseNTok"/>
    <w:basedOn w:val="VerbatimChar"/>
    <w:qFormat/>
    <w:rPr>
      <w:rFonts w:ascii="Courier New" w:hAnsi="Courier New"/>
      <w:color w:val="40A070"/>
      <w:sz w:val="24"/>
    </w:rPr>
  </w:style>
  <w:style w:type="character" w:customStyle="1" w:styleId="FloatTok">
    <w:name w:val="FloatTok"/>
    <w:basedOn w:val="VerbatimChar"/>
    <w:qFormat/>
    <w:rPr>
      <w:rFonts w:ascii="Courier New" w:hAnsi="Courier New"/>
      <w:color w:val="40A070"/>
      <w:sz w:val="24"/>
    </w:rPr>
  </w:style>
  <w:style w:type="character" w:customStyle="1" w:styleId="ConstantTok">
    <w:name w:val="ConstantTok"/>
    <w:basedOn w:val="VerbatimChar"/>
    <w:qFormat/>
    <w:rPr>
      <w:rFonts w:ascii="Courier New" w:hAnsi="Courier New"/>
      <w:color w:val="880000"/>
      <w:sz w:val="24"/>
    </w:rPr>
  </w:style>
  <w:style w:type="character" w:customStyle="1" w:styleId="CharTok">
    <w:name w:val="CharTok"/>
    <w:basedOn w:val="VerbatimChar"/>
    <w:qFormat/>
    <w:rPr>
      <w:rFonts w:ascii="Courier New" w:hAnsi="Courier New"/>
      <w:color w:val="4070A0"/>
      <w:sz w:val="24"/>
    </w:rPr>
  </w:style>
  <w:style w:type="character" w:customStyle="1" w:styleId="SpecialCharTok">
    <w:name w:val="SpecialCharTok"/>
    <w:basedOn w:val="VerbatimChar"/>
    <w:qFormat/>
    <w:rPr>
      <w:rFonts w:ascii="Courier New" w:hAnsi="Courier New"/>
      <w:color w:val="4070A0"/>
      <w:sz w:val="24"/>
    </w:rPr>
  </w:style>
  <w:style w:type="character" w:customStyle="1" w:styleId="StringTok">
    <w:name w:val="StringTok"/>
    <w:basedOn w:val="VerbatimChar"/>
    <w:qFormat/>
    <w:rPr>
      <w:rFonts w:ascii="Courier New" w:hAnsi="Courier New"/>
      <w:color w:val="4070A0"/>
      <w:sz w:val="24"/>
    </w:rPr>
  </w:style>
  <w:style w:type="character" w:customStyle="1" w:styleId="VerbatimStringTok">
    <w:name w:val="VerbatimStringTok"/>
    <w:basedOn w:val="VerbatimChar"/>
    <w:qFormat/>
    <w:rPr>
      <w:rFonts w:ascii="Courier New" w:hAnsi="Courier New"/>
      <w:color w:val="4070A0"/>
      <w:sz w:val="24"/>
    </w:rPr>
  </w:style>
  <w:style w:type="character" w:customStyle="1" w:styleId="SpecialStringTok">
    <w:name w:val="SpecialStringTok"/>
    <w:basedOn w:val="VerbatimChar"/>
    <w:qFormat/>
    <w:rPr>
      <w:rFonts w:ascii="Courier New" w:hAnsi="Courier New"/>
      <w:color w:val="BB6688"/>
      <w:sz w:val="24"/>
    </w:rPr>
  </w:style>
  <w:style w:type="character" w:customStyle="1" w:styleId="ImportTok">
    <w:name w:val="ImportTok"/>
    <w:basedOn w:val="VerbatimChar"/>
    <w:qFormat/>
    <w:rPr>
      <w:rFonts w:ascii="Courier New" w:hAnsi="Courier New"/>
      <w:b/>
      <w:color w:val="008000"/>
      <w:sz w:val="24"/>
    </w:rPr>
  </w:style>
  <w:style w:type="character" w:customStyle="1" w:styleId="CommentTok">
    <w:name w:val="CommentTok"/>
    <w:basedOn w:val="VerbatimChar"/>
    <w:qFormat/>
    <w:rPr>
      <w:rFonts w:ascii="Courier New" w:hAnsi="Courier New"/>
      <w:i/>
      <w:color w:val="60A0B0"/>
      <w:sz w:val="24"/>
    </w:rPr>
  </w:style>
  <w:style w:type="character" w:customStyle="1" w:styleId="DocumentationTok">
    <w:name w:val="DocumentationTok"/>
    <w:basedOn w:val="VerbatimChar"/>
    <w:qFormat/>
    <w:rPr>
      <w:rFonts w:ascii="Courier New" w:hAnsi="Courier New"/>
      <w:i/>
      <w:color w:val="BA2121"/>
      <w:sz w:val="24"/>
    </w:rPr>
  </w:style>
  <w:style w:type="character" w:customStyle="1" w:styleId="AnnotationTok">
    <w:name w:val="AnnotationTok"/>
    <w:basedOn w:val="VerbatimChar"/>
    <w:qFormat/>
    <w:rPr>
      <w:rFonts w:ascii="Courier New" w:hAnsi="Courier New"/>
      <w:b/>
      <w:i/>
      <w:color w:val="60A0B0"/>
      <w:sz w:val="24"/>
    </w:rPr>
  </w:style>
  <w:style w:type="character" w:customStyle="1" w:styleId="CommentVarTok">
    <w:name w:val="CommentVarTok"/>
    <w:basedOn w:val="VerbatimChar"/>
    <w:qFormat/>
    <w:rPr>
      <w:rFonts w:ascii="Courier New" w:hAnsi="Courier New"/>
      <w:b/>
      <w:i/>
      <w:color w:val="60A0B0"/>
      <w:sz w:val="24"/>
    </w:rPr>
  </w:style>
  <w:style w:type="character" w:customStyle="1" w:styleId="OtherTok">
    <w:name w:val="OtherTok"/>
    <w:basedOn w:val="VerbatimChar"/>
    <w:qFormat/>
    <w:rPr>
      <w:rFonts w:ascii="Courier New" w:hAnsi="Courier New"/>
      <w:color w:val="007020"/>
      <w:sz w:val="24"/>
    </w:rPr>
  </w:style>
  <w:style w:type="character" w:customStyle="1" w:styleId="FunctionTok">
    <w:name w:val="FunctionTok"/>
    <w:basedOn w:val="VerbatimChar"/>
    <w:qFormat/>
    <w:rPr>
      <w:rFonts w:ascii="Courier New" w:hAnsi="Courier New"/>
      <w:color w:val="06287E"/>
      <w:sz w:val="24"/>
    </w:rPr>
  </w:style>
  <w:style w:type="character" w:customStyle="1" w:styleId="VariableTok">
    <w:name w:val="VariableTok"/>
    <w:basedOn w:val="VerbatimChar"/>
    <w:qFormat/>
    <w:rPr>
      <w:rFonts w:ascii="Courier New" w:hAnsi="Courier New"/>
      <w:color w:val="19177C"/>
      <w:sz w:val="24"/>
    </w:rPr>
  </w:style>
  <w:style w:type="character" w:customStyle="1" w:styleId="ControlFlowTok">
    <w:name w:val="ControlFlowTok"/>
    <w:basedOn w:val="VerbatimChar"/>
    <w:qFormat/>
    <w:rPr>
      <w:rFonts w:ascii="Courier New" w:hAnsi="Courier New"/>
      <w:b/>
      <w:color w:val="007020"/>
      <w:sz w:val="24"/>
    </w:rPr>
  </w:style>
  <w:style w:type="character" w:customStyle="1" w:styleId="OperatorTok">
    <w:name w:val="OperatorTok"/>
    <w:basedOn w:val="VerbatimChar"/>
    <w:qFormat/>
    <w:rPr>
      <w:rFonts w:ascii="Courier New" w:hAnsi="Courier New"/>
      <w:color w:val="666666"/>
      <w:sz w:val="24"/>
    </w:rPr>
  </w:style>
  <w:style w:type="character" w:customStyle="1" w:styleId="BuiltInTok">
    <w:name w:val="BuiltInTok"/>
    <w:basedOn w:val="VerbatimChar"/>
    <w:qFormat/>
    <w:rPr>
      <w:rFonts w:ascii="Courier New" w:hAnsi="Courier New"/>
      <w:color w:val="008000"/>
      <w:sz w:val="24"/>
    </w:rPr>
  </w:style>
  <w:style w:type="character" w:customStyle="1" w:styleId="ExtensionTok">
    <w:name w:val="ExtensionTok"/>
    <w:basedOn w:val="VerbatimChar"/>
    <w:qFormat/>
    <w:rPr>
      <w:rFonts w:ascii="Courier New" w:hAnsi="Courier New"/>
      <w:sz w:val="24"/>
    </w:rPr>
  </w:style>
  <w:style w:type="character" w:customStyle="1" w:styleId="PreprocessorTok">
    <w:name w:val="PreprocessorTok"/>
    <w:basedOn w:val="VerbatimChar"/>
    <w:qFormat/>
    <w:rPr>
      <w:rFonts w:ascii="Courier New" w:hAnsi="Courier New"/>
      <w:color w:val="BC7A00"/>
      <w:sz w:val="24"/>
    </w:rPr>
  </w:style>
  <w:style w:type="character" w:customStyle="1" w:styleId="AttributeTok">
    <w:name w:val="AttributeTok"/>
    <w:basedOn w:val="VerbatimChar"/>
    <w:qFormat/>
    <w:rPr>
      <w:rFonts w:ascii="Courier New" w:hAnsi="Courier New"/>
      <w:color w:val="7D9029"/>
      <w:sz w:val="24"/>
    </w:rPr>
  </w:style>
  <w:style w:type="character" w:customStyle="1" w:styleId="RegionMarkerTok">
    <w:name w:val="RegionMarkerTok"/>
    <w:basedOn w:val="VerbatimChar"/>
    <w:qFormat/>
    <w:rPr>
      <w:rFonts w:ascii="Courier New" w:hAnsi="Courier New"/>
      <w:sz w:val="24"/>
    </w:rPr>
  </w:style>
  <w:style w:type="character" w:customStyle="1" w:styleId="InformationTok">
    <w:name w:val="InformationTok"/>
    <w:basedOn w:val="VerbatimChar"/>
    <w:qFormat/>
    <w:rPr>
      <w:rFonts w:ascii="Courier New" w:hAnsi="Courier New"/>
      <w:b/>
      <w:i/>
      <w:color w:val="60A0B0"/>
      <w:sz w:val="24"/>
    </w:rPr>
  </w:style>
  <w:style w:type="character" w:customStyle="1" w:styleId="WarningTok">
    <w:name w:val="WarningTok"/>
    <w:basedOn w:val="VerbatimChar"/>
    <w:qFormat/>
    <w:rPr>
      <w:rFonts w:ascii="Courier New" w:hAnsi="Courier New"/>
      <w:b/>
      <w:i/>
      <w:color w:val="60A0B0"/>
      <w:sz w:val="24"/>
    </w:rPr>
  </w:style>
  <w:style w:type="character" w:customStyle="1" w:styleId="AlertTok">
    <w:name w:val="AlertTok"/>
    <w:basedOn w:val="VerbatimChar"/>
    <w:qFormat/>
    <w:rPr>
      <w:rFonts w:ascii="Courier New" w:hAnsi="Courier New"/>
      <w:b/>
      <w:color w:val="FF0000"/>
      <w:sz w:val="24"/>
    </w:rPr>
  </w:style>
  <w:style w:type="character" w:customStyle="1" w:styleId="ErrorTok">
    <w:name w:val="ErrorTok"/>
    <w:basedOn w:val="VerbatimChar"/>
    <w:qFormat/>
    <w:rPr>
      <w:rFonts w:ascii="Courier New" w:hAnsi="Courier New"/>
      <w:b/>
      <w:color w:val="FF0000"/>
      <w:sz w:val="24"/>
    </w:rPr>
  </w:style>
  <w:style w:type="character" w:customStyle="1" w:styleId="NormalTok">
    <w:name w:val="NormalTok"/>
    <w:basedOn w:val="VerbatimChar"/>
    <w:qFormat/>
    <w:rPr>
      <w:rFonts w:ascii="Courier New" w:hAnsi="Courier New"/>
      <w:sz w:val="24"/>
    </w:rPr>
  </w:style>
  <w:style w:type="character" w:customStyle="1" w:styleId="SourceText">
    <w:name w:val="Source Text"/>
    <w:qFormat/>
    <w:rPr>
      <w:rFonts w:ascii="Liberation Mono" w:eastAsia="Liberation Mono" w:hAnsi="Liberation Mono" w:cs="Liberation Mono"/>
    </w:rPr>
  </w:style>
  <w:style w:type="character" w:styleId="Numrodeligne">
    <w:name w:val="line numbe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sdetexte"/>
    <w:qFormat/>
    <w:pPr>
      <w:keepNext/>
      <w:spacing w:before="240" w:after="120"/>
    </w:pPr>
    <w:rPr>
      <w:rFonts w:ascii="Liberation Sans" w:eastAsia="PingFang SC" w:hAnsi="Liberation Sans" w:cs="Arial Unicode MS"/>
      <w:sz w:val="28"/>
      <w:szCs w:val="28"/>
    </w:rPr>
  </w:style>
  <w:style w:type="paragraph" w:styleId="Corpsdetexte">
    <w:name w:val="Body Text"/>
    <w:basedOn w:val="Normal"/>
    <w:qFormat/>
    <w:pPr>
      <w:spacing w:line="276" w:lineRule="auto"/>
    </w:pPr>
    <w:rPr>
      <w:rFonts w:ascii="Arial" w:hAnsi="Arial"/>
    </w:rPr>
  </w:style>
  <w:style w:type="paragraph" w:styleId="Liste">
    <w:name w:val="List"/>
    <w:basedOn w:val="Corpsdetexte"/>
    <w:rPr>
      <w:rFonts w:cs="Arial Unicode MS"/>
    </w:rPr>
  </w:style>
  <w:style w:type="paragraph" w:styleId="Lgende">
    <w:name w:val="caption"/>
    <w:basedOn w:val="Normal"/>
    <w:link w:val="LgendeCar"/>
    <w:qFormat/>
    <w:pPr>
      <w:spacing w:before="0" w:after="120"/>
    </w:pPr>
  </w:style>
  <w:style w:type="paragraph" w:customStyle="1" w:styleId="Index">
    <w:name w:val="Index"/>
    <w:basedOn w:val="Normal"/>
    <w:qFormat/>
    <w:pPr>
      <w:suppressLineNumbers/>
    </w:pPr>
    <w:rPr>
      <w:rFonts w:cs="Arial Unicode MS"/>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72" w:after="72"/>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spacing w:after="200"/>
      <w:jc w:val="center"/>
    </w:pPr>
    <w:rPr>
      <w:rFonts w:eastAsiaTheme="minorHAnsi"/>
    </w:rPr>
  </w:style>
  <w:style w:type="paragraph" w:styleId="Date">
    <w:name w:val="Date"/>
    <w:next w:val="Corpsdetexte"/>
    <w:qFormat/>
    <w:pPr>
      <w:keepNext/>
      <w:keepLines/>
      <w:spacing w:after="200"/>
      <w:jc w:val="center"/>
    </w:pPr>
    <w:rPr>
      <w:rFonts w:eastAsiaTheme="minorHAns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DefinitionTerm">
    <w:name w:val="Definition Term"/>
    <w:basedOn w:val="Normal"/>
    <w:next w:val="Definition"/>
    <w:qFormat/>
    <w:pPr>
      <w:keepNext/>
      <w:keepLines/>
      <w:spacing w:before="0" w:after="0"/>
    </w:pPr>
    <w:rPr>
      <w:b/>
    </w:rPr>
  </w:style>
  <w:style w:type="paragraph" w:customStyle="1" w:styleId="Definition">
    <w:name w:val="Definition"/>
    <w:basedOn w:val="Normal"/>
    <w:qFormat/>
  </w:style>
  <w:style w:type="paragraph" w:customStyle="1" w:styleId="TableCaption">
    <w:name w:val="Table Caption"/>
    <w:basedOn w:val="Lgende"/>
    <w:qFormat/>
    <w:pPr>
      <w:keepNext/>
    </w:pPr>
  </w:style>
  <w:style w:type="paragraph" w:customStyle="1" w:styleId="ImageCaption">
    <w:name w:val="Image Caption"/>
    <w:basedOn w:val="Lgende"/>
    <w:qFormat/>
    <w:pPr>
      <w:jc w:val="center"/>
    </w:pPr>
  </w:style>
  <w:style w:type="paragraph" w:customStyle="1" w:styleId="Figure">
    <w:name w:val="Figure"/>
    <w:basedOn w:val="Normal"/>
    <w:qFormat/>
  </w:style>
  <w:style w:type="paragraph" w:customStyle="1" w:styleId="CaptionedFigure">
    <w:name w:val="Captioned Figure"/>
    <w:basedOn w:val="Figure"/>
    <w:qFormat/>
    <w:pPr>
      <w:keepNext/>
      <w:jc w:val="center"/>
    </w:pPr>
  </w:style>
  <w:style w:type="paragraph" w:styleId="Titreindex">
    <w:name w:val="index heading"/>
    <w:basedOn w:val="Heading"/>
  </w:style>
  <w:style w:type="paragraph" w:styleId="En-ttedetabledesmatires">
    <w:name w:val="TOC Heading"/>
    <w:basedOn w:val="Titre1"/>
    <w:next w:val="Corpsdetexte"/>
    <w:uiPriority w:val="39"/>
    <w:unhideWhenUsed/>
    <w:qFormat/>
    <w:pPr>
      <w:spacing w:before="240" w:after="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qFormat/>
    <w:pPr>
      <w:keepNext/>
      <w:spacing w:before="144" w:after="144"/>
    </w:pPr>
    <w:rPr>
      <w:rFonts w:ascii="Courier New" w:hAnsi="Courier New"/>
    </w:rPr>
  </w:style>
  <w:style w:type="paragraph" w:customStyle="1" w:styleId="HeaderandFooter">
    <w:name w:val="Header and Footer"/>
    <w:basedOn w:val="Normal"/>
    <w:qFormat/>
    <w:pPr>
      <w:suppressLineNumbers/>
      <w:tabs>
        <w:tab w:val="center" w:pos="4680"/>
        <w:tab w:val="right" w:pos="9360"/>
      </w:tabs>
    </w:pPr>
  </w:style>
  <w:style w:type="paragraph" w:styleId="Pieddepage">
    <w:name w:val="footer"/>
    <w:basedOn w:val="HeaderandFooter"/>
  </w:style>
  <w:style w:type="paragraph" w:customStyle="1" w:styleId="FooterLeft">
    <w:name w:val="Footer Left"/>
    <w:basedOn w:val="Pieddepage"/>
    <w:qFormat/>
  </w:style>
  <w:style w:type="paragraph" w:customStyle="1" w:styleId="FooterRight">
    <w:name w:val="Footer Right"/>
    <w:basedOn w:val="Pieddepage"/>
    <w:qFormat/>
    <w:pPr>
      <w:jc w:val="right"/>
    </w:pPr>
  </w:style>
  <w:style w:type="paragraph" w:customStyle="1" w:styleId="TableContents">
    <w:name w:val="Table Contents"/>
    <w:basedOn w:val="Normal"/>
    <w:qFormat/>
    <w:pPr>
      <w:widowControl w:val="0"/>
      <w:suppressLineNumbers/>
    </w:pPr>
  </w:style>
  <w:style w:type="paragraph" w:customStyle="1" w:styleId="SourceCodeBoxed">
    <w:name w:val="Source Code Boxed"/>
    <w:basedOn w:val="SourceCode"/>
    <w:qFormat/>
    <w:pPr>
      <w:pBdr>
        <w:top w:val="single" w:sz="2" w:space="1" w:color="000000"/>
        <w:left w:val="single" w:sz="2" w:space="1" w:color="000000"/>
        <w:bottom w:val="single" w:sz="2" w:space="1" w:color="000000"/>
        <w:right w:val="single" w:sz="2" w:space="1" w:color="000000"/>
      </w:pBdr>
    </w:pPr>
  </w:style>
  <w:style w:type="paragraph" w:styleId="En-tte">
    <w:name w:val="header"/>
    <w:basedOn w:val="HeaderandFooter"/>
    <w:pPr>
      <w:tabs>
        <w:tab w:val="clear" w:pos="4680"/>
        <w:tab w:val="clear" w:pos="9360"/>
        <w:tab w:val="center" w:pos="4709"/>
        <w:tab w:val="right" w:pos="9418"/>
      </w:tabs>
    </w:pPr>
  </w:style>
  <w:style w:type="paragraph" w:customStyle="1" w:styleId="TableHeading">
    <w:name w:val="Table Heading"/>
    <w:basedOn w:val="TableContents"/>
    <w:qFormat/>
    <w:pPr>
      <w:jc w:val="center"/>
    </w:pPr>
    <w:rPr>
      <w:b/>
      <w:bCs/>
    </w:rPr>
  </w:style>
  <w:style w:type="paragraph" w:customStyle="1" w:styleId="Ressources">
    <w:name w:val="Ressources"/>
    <w:basedOn w:val="Normal"/>
    <w:qFormat/>
    <w:pPr>
      <w:jc w:val="right"/>
    </w:pPr>
    <w:rPr>
      <w:i/>
    </w:rPr>
  </w:style>
  <w:style w:type="paragraph" w:customStyle="1" w:styleId="Citations">
    <w:name w:val="Citations"/>
    <w:basedOn w:val="Corpsdetexte"/>
    <w:qFormat/>
    <w:pPr>
      <w:pBdr>
        <w:top w:val="single" w:sz="2" w:space="1" w:color="000000"/>
        <w:left w:val="single" w:sz="2" w:space="1" w:color="000000"/>
        <w:bottom w:val="single" w:sz="2" w:space="1" w:color="000000"/>
        <w:right w:val="single" w:sz="2" w:space="1" w:color="000000"/>
      </w:pBdr>
    </w:pPr>
    <w:rPr>
      <w:i/>
    </w:rPr>
  </w:style>
  <w:style w:type="numbering" w:customStyle="1" w:styleId="Numbering123">
    <w:name w:val="Numbering 123"/>
    <w:qFormat/>
  </w:style>
  <w:style w:type="numbering" w:customStyle="1" w:styleId="Bullet">
    <w:name w:val="Bullet –"/>
    <w:qFormat/>
  </w:style>
  <w:style w:type="numbering" w:customStyle="1" w:styleId="Bullet0">
    <w:name w:val="Bullet •"/>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Grilledutableau">
    <w:name w:val="Table Grid"/>
    <w:basedOn w:val="TableauNormal"/>
    <w:rsid w:val="00E25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Arial"/>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690</Words>
  <Characters>3412</Characters>
  <Application>Microsoft Office Word</Application>
  <DocSecurity>0</DocSecurity>
  <Lines>68</Lines>
  <Paragraphs>23</Paragraphs>
  <ScaleCrop>false</ScaleCrop>
  <HeadingPairs>
    <vt:vector size="2" baseType="variant">
      <vt:variant>
        <vt:lpstr>Titre</vt:lpstr>
      </vt:variant>
      <vt:variant>
        <vt:i4>1</vt:i4>
      </vt:variant>
    </vt:vector>
  </HeadingPairs>
  <TitlesOfParts>
    <vt:vector size="1" baseType="lpstr">
      <vt:lpstr>Épreuve pratique 2026 - Sujet 0 - Codage RLE d’images</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Épreuve pratique 2026 - Sujet 0 - Codage RLE d’images</dc:title>
  <dc:creator/>
  <cp:keywords/>
  <cp:lastModifiedBy/>
  <cp:revision>4</cp:revision>
  <dcterms:created xsi:type="dcterms:W3CDTF">2025-09-18T06:27:00Z</dcterms:created>
  <dcterms:modified xsi:type="dcterms:W3CDTF">2025-11-22T16:42:00Z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repertoire">
    <vt:lpwstr/>
  </property>
</Properties>
</file>