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p>
      <w:pPr>
        <w:pStyle w:val="Heading1"/>
      </w:pPr>
      <w:r>
        <w:t>Partie 4 – Réseaux</w:t>
      </w:r>
    </w:p>
    <w:p>
      <w:r>
        <w:t>La pile applicative repose sur le réseau bridge nommé app-network. Les conteneurs communiquent entre eux par leurs noms de service sans exposer inutilement de ports sur la machine hôte.</w:t>
      </w:r>
    </w:p>
    <w:p>
      <w:pPr>
        <w:pStyle w:val="Heading2"/>
      </w:pPr>
      <w:r>
        <w:t>1. Topologie et inspection du réseau</w:t>
      </w:r>
    </w:p>
    <w:p>
      <w:r>
        <w:t>docker network ls liste app-network avec le pilote bridge et un périmètre local. La commande docker network inspect app-network détaille le sous-réseau IPv4 alloué (172.26.0.0/16), la passerelle (172.26.0.1) et les adresses attribuées à chaque conteneur au démarrage.</w:t>
      </w:r>
    </w:p>
    <w:tbl>
      <w:tblPr>
        <w:tblW w:type="auto" w:w="0"/>
        <w:tblLook w:firstColumn="1" w:firstRow="1" w:lastColumn="0" w:lastRow="0" w:noHBand="0" w:noVBand="1" w:val="04A0"/>
      </w:tblPr>
      <w:tblGrid>
        <w:gridCol w:w="2409"/>
        <w:gridCol w:w="2409"/>
        <w:gridCol w:w="2409"/>
        <w:gridCol w:w="2409"/>
      </w:tblGrid>
      <w:tr>
        <w:tc>
          <w:tcPr>
            <w:tcW w:type="dxa" w:w="2409"/>
          </w:tcPr>
          <w:p>
            <w:r>
              <w:t>Conteneur</w:t>
            </w:r>
          </w:p>
        </w:tc>
        <w:tc>
          <w:tcPr>
            <w:tcW w:type="dxa" w:w="2409"/>
          </w:tcPr>
          <w:p>
            <w:r>
              <w:t>Adresse IP</w:t>
            </w:r>
          </w:p>
        </w:tc>
        <w:tc>
          <w:tcPr>
            <w:tcW w:type="dxa" w:w="2409"/>
          </w:tcPr>
          <w:p>
            <w:r>
              <w:t>Ports internes</w:t>
            </w:r>
          </w:p>
        </w:tc>
        <w:tc>
          <w:tcPr>
            <w:tcW w:type="dxa" w:w="2409"/>
          </w:tcPr>
          <w:p>
            <w:r>
              <w:t>Publication hôte</w:t>
            </w:r>
          </w:p>
        </w:tc>
      </w:tr>
      <w:tr>
        <w:tc>
          <w:tcPr>
            <w:tcW w:type="dxa" w:w="2409"/>
          </w:tcPr>
          <w:p>
            <w:r>
              <w:t>db</w:t>
            </w:r>
          </w:p>
        </w:tc>
        <w:tc>
          <w:tcPr>
            <w:tcW w:type="dxa" w:w="2409"/>
          </w:tcPr>
          <w:p>
            <w:r>
              <w:t>172.26.0.2</w:t>
            </w:r>
          </w:p>
        </w:tc>
        <w:tc>
          <w:tcPr>
            <w:tcW w:type="dxa" w:w="2409"/>
          </w:tcPr>
          <w:p>
            <w:r>
              <w:t>3306/tcp, 33060/tcp</w:t>
            </w:r>
          </w:p>
        </w:tc>
        <w:tc>
          <w:tcPr>
            <w:tcW w:type="dxa" w:w="2409"/>
          </w:tcPr>
          <w:p>
            <w:r>
              <w:t>Aucun (interne au réseau)</w:t>
            </w:r>
          </w:p>
        </w:tc>
      </w:tr>
      <w:tr>
        <w:tc>
          <w:tcPr>
            <w:tcW w:type="dxa" w:w="2409"/>
          </w:tcPr>
          <w:p>
            <w:r>
              <w:t>web</w:t>
            </w:r>
          </w:p>
        </w:tc>
        <w:tc>
          <w:tcPr>
            <w:tcW w:type="dxa" w:w="2409"/>
          </w:tcPr>
          <w:p>
            <w:r>
              <w:t>172.26.0.3</w:t>
            </w:r>
          </w:p>
        </w:tc>
        <w:tc>
          <w:tcPr>
            <w:tcW w:type="dxa" w:w="2409"/>
          </w:tcPr>
          <w:p>
            <w:r>
              <w:t>80/tcp</w:t>
            </w:r>
          </w:p>
        </w:tc>
        <w:tc>
          <w:tcPr>
            <w:tcW w:type="dxa" w:w="2409"/>
          </w:tcPr>
          <w:p>
            <w:r>
              <w:t>127.0.0.1:8080 vers le port 80</w:t>
            </w:r>
          </w:p>
        </w:tc>
      </w:tr>
      <w:tr>
        <w:tc>
          <w:tcPr>
            <w:tcW w:type="dxa" w:w="2409"/>
          </w:tcPr>
          <w:p>
            <w:r>
              <w:t>adminer</w:t>
            </w:r>
          </w:p>
        </w:tc>
        <w:tc>
          <w:tcPr>
            <w:tcW w:type="dxa" w:w="2409"/>
          </w:tcPr>
          <w:p>
            <w:r>
              <w:t>172.26.0.4</w:t>
            </w:r>
          </w:p>
        </w:tc>
        <w:tc>
          <w:tcPr>
            <w:tcW w:type="dxa" w:w="2409"/>
          </w:tcPr>
          <w:p>
            <w:r>
              <w:t>8080/tcp</w:t>
            </w:r>
          </w:p>
        </w:tc>
        <w:tc>
          <w:tcPr>
            <w:tcW w:type="dxa" w:w="2409"/>
          </w:tcPr>
          <w:p>
            <w:r>
              <w:t>127.0.0.1:8081 vers le port 8080</w:t>
            </w:r>
          </w:p>
        </w:tc>
      </w:tr>
    </w:tbl>
    <w:p>
      <w:pPr>
        <w:pStyle w:val="Heading2"/>
      </w:pPr>
      <w:r>
        <w:t>2. Résolution DNS et connectivité inter-conteneurs</w:t>
      </w:r>
    </w:p>
    <w:p>
      <w:r>
        <w:t>Sur les réseaux bridge personnalisés, Docker intègre un résolveur DNS interne (127.0.0.11). Chaque conteneur résout dynamiquement les autres par leur nom de service Compose, sans recourir à des adresses IP fixes. La commande getent hosts db exécutée dans web confirme la résolution de db en 172.26.0.2. C'est ce mécanisme qui permet à db-config.php de joindre MySQL avec DB_HOST=db.</w:t>
      </w:r>
    </w:p>
    <w:p>
      <w:r>
        <w:t>Deux tests complémentaires valident la liaison entre web et db :</w:t>
      </w:r>
    </w:p>
    <w:tbl>
      <w:tblPr>
        <w:tblW w:type="auto" w:w="0"/>
        <w:tblLook w:firstColumn="1" w:firstRow="1" w:lastColumn="0" w:lastRow="0" w:noHBand="0" w:noVBand="1" w:val="04A0"/>
      </w:tblPr>
      <w:tblGrid>
        <w:gridCol w:w="3213"/>
        <w:gridCol w:w="3213"/>
        <w:gridCol w:w="3213"/>
      </w:tblGrid>
      <w:tr>
        <w:tc>
          <w:tcPr>
            <w:tcW w:type="dxa" w:w="3213"/>
          </w:tcPr>
          <w:p>
            <w:r>
              <w:t>Test</w:t>
            </w:r>
          </w:p>
        </w:tc>
        <w:tc>
          <w:tcPr>
            <w:tcW w:type="dxa" w:w="3213"/>
          </w:tcPr>
          <w:p>
            <w:r>
              <w:t>Commande exécutée</w:t>
            </w:r>
          </w:p>
        </w:tc>
        <w:tc>
          <w:tcPr>
            <w:tcW w:type="dxa" w:w="3213"/>
          </w:tcPr>
          <w:p>
            <w:r>
              <w:t>Résultat et interprétation</w:t>
            </w:r>
          </w:p>
        </w:tc>
      </w:tr>
      <w:tr>
        <w:tc>
          <w:tcPr>
            <w:tcW w:type="dxa" w:w="3213"/>
          </w:tcPr>
          <w:p>
            <w:r>
              <w:t>Connectivité niveau 3 (ICMP)</w:t>
            </w:r>
          </w:p>
        </w:tc>
        <w:tc>
          <w:tcPr>
            <w:tcW w:type="dxa" w:w="3213"/>
          </w:tcPr>
          <w:p>
            <w:r>
              <w:t>docker exec web ping -c 3 db</w:t>
            </w:r>
          </w:p>
        </w:tc>
        <w:tc>
          <w:tcPr>
            <w:tcW w:type="dxa" w:w="3213"/>
          </w:tcPr>
          <w:p>
            <w:r>
              <w:t>3 paquets transmis et reçus sans aucune perte, avec une latence moyenne de 0,5 ms. Le paquet iputils-ping a été ajouté au Dockerfile web pour autoriser ce diagnostic sans alourdir l'image (191 Ko).</w:t>
            </w:r>
          </w:p>
        </w:tc>
      </w:tr>
      <w:tr>
        <w:tc>
          <w:tcPr>
            <w:tcW w:type="dxa" w:w="3213"/>
          </w:tcPr>
          <w:p>
            <w:r>
              <w:t>Connectivité niveau 4/7 (TCP)</w:t>
            </w:r>
          </w:p>
        </w:tc>
        <w:tc>
          <w:tcPr>
            <w:tcW w:type="dxa" w:w="3213"/>
          </w:tcPr>
          <w:p>
            <w:r>
              <w:t>docker exec web curl -v http://db:3306</w:t>
            </w:r>
          </w:p>
        </w:tc>
        <w:tc>
          <w:tcPr>
            <w:tcW w:type="dxa" w:w="3213"/>
          </w:tcPr>
          <w:p>
            <w:r>
              <w:t>curl résout db en 172.26.0.2 et ouvre la connexion TCP sur le port 3306 (Connected to db (172.26.0.2) port 3306). Le message Received HTTP/0.9 when not allowed provient du handshake binaire émis par MySQL en réponse à une requête HTTP, confirmant que le démon écoute et répond.</w:t>
            </w:r>
          </w:p>
        </w:tc>
      </w:tr>
    </w:tbl>
    <w:p>
      <w:pPr>
        <w:pStyle w:val="Heading2"/>
      </w:pPr>
      <w:r>
        <w:t>3. Isolation et intérêt du bridge personnalisé</w:t>
      </w:r>
    </w:p>
    <w:p>
      <w:r>
        <w:t>L'utilisation d'un réseau bridge utilisateur apporte trois garanties essentielles par rapport au bridge par défaut de Docker :</w:t>
      </w:r>
    </w:p>
    <w:tbl>
      <w:tblPr>
        <w:tblW w:type="auto" w:w="0"/>
        <w:tblLook w:firstColumn="1" w:firstRow="1" w:lastColumn="0" w:lastRow="0" w:noHBand="0" w:noVBand="1" w:val="04A0"/>
      </w:tblPr>
      <w:tblGrid>
        <w:gridCol w:w="4819"/>
        <w:gridCol w:w="4819"/>
      </w:tblGrid>
      <w:tr>
        <w:tc>
          <w:tcPr>
            <w:tcW w:type="dxa" w:w="4819"/>
          </w:tcPr>
          <w:p>
            <w:r>
              <w:t>Propriété</w:t>
            </w:r>
          </w:p>
        </w:tc>
        <w:tc>
          <w:tcPr>
            <w:tcW w:type="dxa" w:w="4819"/>
          </w:tcPr>
          <w:p>
            <w:r>
              <w:t>Bénéfice technique et sécurité</w:t>
            </w:r>
          </w:p>
        </w:tc>
      </w:tr>
      <w:tr>
        <w:tc>
          <w:tcPr>
            <w:tcW w:type="dxa" w:w="4819"/>
          </w:tcPr>
          <w:p>
            <w:r>
              <w:t>Résolution DNS native</w:t>
            </w:r>
          </w:p>
        </w:tc>
        <w:tc>
          <w:tcPr>
            <w:tcW w:type="dxa" w:w="4819"/>
          </w:tcPr>
          <w:p>
            <w:r>
              <w:t>Les conteneurs sur app-network s'adressent par nom de service. Le réseau bridge par défaut impose des liaisons manuelles (--link, dépréciées) ou des adresses IP fixes instables.</w:t>
            </w:r>
          </w:p>
        </w:tc>
      </w:tr>
      <w:tr>
        <w:tc>
          <w:tcPr>
            <w:tcW w:type="dxa" w:w="4819"/>
          </w:tcPr>
          <w:p>
            <w:r>
              <w:t>Étanchéité et cloisonnement</w:t>
            </w:r>
          </w:p>
        </w:tc>
        <w:tc>
          <w:tcPr>
            <w:tcW w:type="dxa" w:w="4819"/>
          </w:tcPr>
          <w:p>
            <w:r>
              <w:t>Les conteneurs lancés hors de ce Compose ou sur le bridge par défaut ne peuvent ni voir ni interroger db. Une compromission sur un conteneur tiers ne donne aucun accès réseau à cette base.</w:t>
            </w:r>
          </w:p>
        </w:tc>
      </w:tr>
      <w:tr>
        <w:tc>
          <w:tcPr>
            <w:tcW w:type="dxa" w:w="4819"/>
          </w:tcPr>
          <w:p>
            <w:r>
              <w:t>Protection du port 3306</w:t>
            </w:r>
          </w:p>
        </w:tc>
        <w:tc>
          <w:tcPr>
            <w:tcW w:type="dxa" w:w="4819"/>
          </w:tcPr>
          <w:p>
            <w:r>
              <w:t>Aucun port MySQL n'est publié sur la machine hôte. Seuls web et adminer, placés sur app-network, peuvent envoyer des requêtes vers 3306. La surface d'exposition de l'hôte reste limitée à 8080 et 8081.</w:t>
            </w:r>
          </w:p>
        </w:tc>
      </w:tr>
    </w:tbl>
    <w:p>
      <w:pPr>
        <w:pStyle w:val="Heading1"/>
      </w:pPr>
      <w:r>
        <w:t>Partie 5 – Sécurité</w:t>
      </w:r>
    </w:p>
    <w:p>
      <w:r>
        <w:t>La sécurité de la pile est appliquée selon le principe de défense en profondeur : audit des vulnérabilités statiques, étanchéité de la gestion des secrets, restriction radicale des privilèges à l'exécution et interdiction stricte de permissions permissives.</w:t>
      </w:r>
    </w:p>
    <w:p>
      <w:pPr>
        <w:pStyle w:val="Heading2"/>
      </w:pPr>
      <w:r>
        <w:t>1. Scans de vulnérabilités (Trivy)</w:t>
      </w:r>
    </w:p>
    <w:p>
      <w:r>
        <w:t>Les deux images produites ont été soumises à un scan statique de vulnérabilités avec Trivy (aquasec/trivy) ciblant les sévérités HIGH et CRITICAL.</w:t>
      </w:r>
    </w:p>
    <w:tbl>
      <w:tblPr>
        <w:tblW w:type="auto" w:w="0"/>
        <w:tblLook w:firstColumn="1" w:firstRow="1" w:lastColumn="0" w:lastRow="0" w:noHBand="0" w:noVBand="1" w:val="04A0"/>
      </w:tblPr>
      <w:tblGrid>
        <w:gridCol w:w="2409"/>
        <w:gridCol w:w="2409"/>
        <w:gridCol w:w="2409"/>
        <w:gridCol w:w="2409"/>
      </w:tblGrid>
      <w:tr>
        <w:tc>
          <w:tcPr>
            <w:tcW w:type="dxa" w:w="2409"/>
          </w:tcPr>
          <w:p>
            <w:r>
              <w:t>Image scannée</w:t>
            </w:r>
          </w:p>
        </w:tc>
        <w:tc>
          <w:tcPr>
            <w:tcW w:type="dxa" w:w="2409"/>
          </w:tcPr>
          <w:p>
            <w:r>
              <w:t>Base OS</w:t>
            </w:r>
          </w:p>
        </w:tc>
        <w:tc>
          <w:tcPr>
            <w:tcW w:type="dxa" w:w="2409"/>
          </w:tcPr>
          <w:p>
            <w:r>
              <w:t>Vulnérabilités détectées</w:t>
            </w:r>
          </w:p>
        </w:tc>
        <w:tc>
          <w:tcPr>
            <w:tcW w:type="dxa" w:w="2409"/>
          </w:tcPr>
          <w:p>
            <w:r>
              <w:t>Failles critiques et analyse</w:t>
            </w:r>
          </w:p>
        </w:tc>
      </w:tr>
      <w:tr>
        <w:tc>
          <w:tcPr>
            <w:tcW w:type="dxa" w:w="2409"/>
          </w:tcPr>
          <w:p>
            <w:r>
              <w:t>articles-web:dev</w:t>
            </w:r>
          </w:p>
        </w:tc>
        <w:tc>
          <w:tcPr>
            <w:tcW w:type="dxa" w:w="2409"/>
          </w:tcPr>
          <w:p>
            <w:r>
              <w:t>Debian 13 (Trixie)</w:t>
            </w:r>
          </w:p>
        </w:tc>
        <w:tc>
          <w:tcPr>
            <w:tcW w:type="dxa" w:w="2409"/>
          </w:tcPr>
          <w:p>
            <w:r>
              <w:t>120 (117 HIGH, 3 CRITICAL)</w:t>
            </w:r>
          </w:p>
        </w:tc>
        <w:tc>
          <w:tcPr>
            <w:tcW w:type="dxa" w:w="2409"/>
          </w:tcPr>
          <w:p>
            <w:r>
              <w:t>libxml2 (CVE-2026-6653) et linux-libc-dev (CVE-2026-93221). Ces failles sont héritées de l'image de base Debian. Pour une mise en production, une base Alpine réduirait drastiquement ce volume.</w:t>
            </w:r>
          </w:p>
        </w:tc>
      </w:tr>
      <w:tr>
        <w:tc>
          <w:tcPr>
            <w:tcW w:type="dxa" w:w="2409"/>
          </w:tcPr>
          <w:p>
            <w:r>
              <w:t>articles-db:dev</w:t>
            </w:r>
          </w:p>
        </w:tc>
        <w:tc>
          <w:tcPr>
            <w:tcW w:type="dxa" w:w="2409"/>
          </w:tcPr>
          <w:p>
            <w:r>
              <w:t>Oracle Linux / MySQL 8.4</w:t>
            </w:r>
          </w:p>
        </w:tc>
        <w:tc>
          <w:tcPr>
            <w:tcW w:type="dxa" w:w="2409"/>
          </w:tcPr>
          <w:p>
            <w:r>
              <w:t>35 (33 HIGH, 2 CRITICAL)</w:t>
            </w:r>
          </w:p>
        </w:tc>
        <w:tc>
          <w:tcPr>
            <w:tcW w:type="dxa" w:w="2409"/>
          </w:tcPr>
          <w:p>
            <w:r>
              <w:t>certifi (GHSA-6q48-6c7w-9gw2) et gosu (CVE-2025-68121). L'image officielle isole le processus mysqld avec l'utilisateur mysql après initialisation.</w:t>
            </w:r>
          </w:p>
        </w:tc>
      </w:tr>
    </w:tbl>
    <w:p>
      <w:pPr>
        <w:pStyle w:val="Heading2"/>
      </w:pPr>
      <w:r>
        <w:t>2. Gestion des secrets</w:t>
      </w:r>
    </w:p>
    <w:p>
      <w:r>
        <w:t>Aucun mot de passe ni identifiant sensible n'est consigné dans les Dockerfiles ou le fichier docker-compose.yml. Les secrets sont centralisés dans le fichier .env, qui est exclu du versionnement par .gitignore. Le fichier .dockerignore garantit également qu'un COPY large n'embarque jamais le fichier .env dans une image.</w:t>
      </w:r>
    </w:p>
    <w:p>
      <w:r>
        <w:t>Dans docker-compose.yml, l'interpolation obligatoire (${DB_PASS:?Definir DB_PASS dans .env} et ${MYSQL_ROOT_PASSWORD:?...}) bloque immédiatement le démarrage de la pile si les secrets ne sont pas définis.</w:t>
      </w:r>
    </w:p>
    <w:p>
      <w:pPr>
        <w:pStyle w:val="Heading2"/>
      </w:pPr>
      <w:r>
        <w:t>3. Limitation des privilèges et durcissement à l'exécution</w:t>
      </w:r>
    </w:p>
    <w:p>
      <w:r>
        <w:t>Le service web a fait l'objet d'un durcissement poussé dans docker-compose.yml afin de confiner strictement le conteneur en cas d'exploitation d'une faille applicative PHP :</w:t>
      </w:r>
    </w:p>
    <w:tbl>
      <w:tblPr>
        <w:tblW w:type="auto" w:w="0"/>
        <w:tblLook w:firstColumn="1" w:firstRow="1" w:lastColumn="0" w:lastRow="0" w:noHBand="0" w:noVBand="1" w:val="04A0"/>
      </w:tblPr>
      <w:tblGrid>
        <w:gridCol w:w="4819"/>
        <w:gridCol w:w="4819"/>
      </w:tblGrid>
      <w:tr>
        <w:tc>
          <w:tcPr>
            <w:tcW w:type="dxa" w:w="4819"/>
          </w:tcPr>
          <w:p>
            <w:r>
              <w:t>Paramètre de sécurité</w:t>
            </w:r>
          </w:p>
        </w:tc>
        <w:tc>
          <w:tcPr>
            <w:tcW w:type="dxa" w:w="4819"/>
          </w:tcPr>
          <w:p>
            <w:r>
              <w:t>Mécanisme et justification</w:t>
            </w:r>
          </w:p>
        </w:tc>
      </w:tr>
      <w:tr>
        <w:tc>
          <w:tcPr>
            <w:tcW w:type="dxa" w:w="4819"/>
          </w:tcPr>
          <w:p>
            <w:r>
              <w:t>USER www-data (UID 33)</w:t>
            </w:r>
          </w:p>
        </w:tc>
        <w:tc>
          <w:tcPr>
            <w:tcW w:type="dxa" w:w="4819"/>
          </w:tcPr>
          <w:p>
            <w:r>
              <w:t>Le conteneur web n'exécute aucun processus en root. La compromission d'Apache ne donne aucun accès root sur l'hôte.</w:t>
            </w:r>
          </w:p>
        </w:tc>
      </w:tr>
      <w:tr>
        <w:tc>
          <w:tcPr>
            <w:tcW w:type="dxa" w:w="4819"/>
          </w:tcPr>
          <w:p>
            <w:r>
              <w:t>read_only: true</w:t>
            </w:r>
          </w:p>
        </w:tc>
        <w:tc>
          <w:tcPr>
            <w:tcW w:type="dxa" w:w="4819"/>
          </w:tcPr>
          <w:p>
            <w:r>
              <w:t>Le système de fichiers racine du conteneur est monté en lecture seule. Un attaquant ne peut ni modifier index.php ni déposer de webshell. Une commande touch /var/www/html/test.txt renvoie l'erreur 'Read-only file system'.</w:t>
            </w:r>
          </w:p>
        </w:tc>
      </w:tr>
      <w:tr>
        <w:tc>
          <w:tcPr>
            <w:tcW w:type="dxa" w:w="4819"/>
          </w:tcPr>
          <w:p>
            <w:r>
              <w:t>security_opt: no-new-privileges</w:t>
            </w:r>
          </w:p>
        </w:tc>
        <w:tc>
          <w:tcPr>
            <w:tcW w:type="dxa" w:w="4819"/>
          </w:tcPr>
          <w:p>
            <w:r>
              <w:t>Interdit formellement aux processus du conteneur d'acquérir de nouveaux privilèges via des binaires setuid/setgid.</w:t>
            </w:r>
          </w:p>
        </w:tc>
      </w:tr>
      <w:tr>
        <w:tc>
          <w:tcPr>
            <w:tcW w:type="dxa" w:w="4819"/>
          </w:tcPr>
          <w:p>
            <w:r>
              <w:t>cap_drop: ALL / cap_add: NET_BIND_SERVICE</w:t>
            </w:r>
          </w:p>
        </w:tc>
        <w:tc>
          <w:tcPr>
            <w:tcW w:type="dxa" w:w="4819"/>
          </w:tcPr>
          <w:p>
            <w:r>
              <w:t>Toutes les Linux Capabilities sont retirées. Seule NET_BIND_SERVICE est accordée pour qu'Apache (non-root) puisse ouvrir le port 80.</w:t>
            </w:r>
          </w:p>
        </w:tc>
      </w:tr>
      <w:tr>
        <w:tc>
          <w:tcPr>
            <w:tcW w:type="dxa" w:w="4819"/>
          </w:tcPr>
          <w:p>
            <w:r>
              <w:t>tmpfs (volumes volatils en RAM)</w:t>
            </w:r>
          </w:p>
        </w:tc>
        <w:tc>
          <w:tcPr>
            <w:tcW w:type="dxa" w:w="4819"/>
          </w:tcPr>
          <w:p>
            <w:r>
              <w:t>Des montages temporaires en RAM avec les options noexec,nosuid sont alloués à /var/run/apache2, /var/lock/apache2, /var/log/apache2 et /tmp pour permettre à Apache de consigner son PID et ses logs sans compromettre l'immuabilité du système de fichiers.</w:t>
            </w:r>
          </w:p>
        </w:tc>
      </w:tr>
    </w:tbl>
    <w:p>
      <w:pPr>
        <w:pStyle w:val="Heading2"/>
      </w:pPr>
      <w:r>
        <w:t>4. Bannissement du mode chmod 777</w:t>
      </w:r>
    </w:p>
    <w:p>
      <w:r>
        <w:t>L'utilisation d'un chmod 777 constitue une faille de sécurité majeure car elle octroie les droits de lecture, écriture et exécution à tous les utilisateurs du système. Un attaquant exploitant une vulnérabilité pourrait écraser le code source ou y insérer des portes dérobées.</w:t>
      </w:r>
    </w:p>
    <w:p>
      <w:r>
        <w:t>L'application ne gérant aucun téléversement de fichier, les sources appartiennent à www-data:www-data avec des permissions de lecture stricte (fichiers 644, répertoires 755), protégeant l'intégrité du code.</w:t>
      </w:r>
    </w:p>
    <w:p>
      <w:pPr>
        <w:pStyle w:val="Heading1"/>
      </w:pPr>
      <w:r>
        <w:t>Partie 6 – Optimisation</w:t>
      </w:r>
    </w:p>
    <w:p>
      <w:r>
        <w:t>L'optimisation des conteneurs réduit l'empreinte disque, accélère les temps de transfert réseau et diminue la surface d'attaque en écartant tout fichier ou paquet superflu.</w:t>
      </w:r>
    </w:p>
    <w:p>
      <w:pPr>
        <w:pStyle w:val="Heading2"/>
      </w:pPr>
      <w:r>
        <w:t>1. Comparatif de taille des images</w:t>
      </w:r>
    </w:p>
    <w:p>
      <w:r>
        <w:t>Les mesures effectuées sur les images locales et sur des alternatives légères mettent en évidence les gains d'optimisation potentiels :</w:t>
      </w:r>
    </w:p>
    <w:tbl>
      <w:tblPr>
        <w:tblW w:type="auto" w:w="0"/>
        <w:tblLook w:firstColumn="1" w:firstRow="1" w:lastColumn="0" w:lastRow="0" w:noHBand="0" w:noVBand="1" w:val="04A0"/>
      </w:tblPr>
      <w:tblGrid>
        <w:gridCol w:w="2409"/>
        <w:gridCol w:w="2409"/>
        <w:gridCol w:w="2409"/>
        <w:gridCol w:w="2409"/>
      </w:tblGrid>
      <w:tr>
        <w:tc>
          <w:tcPr>
            <w:tcW w:type="dxa" w:w="2409"/>
          </w:tcPr>
          <w:p>
            <w:r>
              <w:t>Service</w:t>
            </w:r>
          </w:p>
        </w:tc>
        <w:tc>
          <w:tcPr>
            <w:tcW w:type="dxa" w:w="2409"/>
          </w:tcPr>
          <w:p>
            <w:r>
              <w:t>Image actuelle</w:t>
            </w:r>
          </w:p>
        </w:tc>
        <w:tc>
          <w:tcPr>
            <w:tcW w:type="dxa" w:w="2409"/>
          </w:tcPr>
          <w:p>
            <w:r>
              <w:t>Variante allégée</w:t>
            </w:r>
          </w:p>
        </w:tc>
        <w:tc>
          <w:tcPr>
            <w:tcW w:type="dxa" w:w="2409"/>
          </w:tcPr>
          <w:p>
            <w:r>
              <w:t>Gain d'espace mesuré</w:t>
            </w:r>
          </w:p>
        </w:tc>
      </w:tr>
      <w:tr>
        <w:tc>
          <w:tcPr>
            <w:tcW w:type="dxa" w:w="2409"/>
          </w:tcPr>
          <w:p>
            <w:r>
              <w:t>Service Web (PHP/Apache)</w:t>
            </w:r>
          </w:p>
        </w:tc>
        <w:tc>
          <w:tcPr>
            <w:tcW w:type="dxa" w:w="2409"/>
          </w:tcPr>
          <w:p>
            <w:r>
              <w:t>articles-web:dev (711 Mo)</w:t>
            </w:r>
          </w:p>
        </w:tc>
        <w:tc>
          <w:tcPr>
            <w:tcW w:type="dxa" w:w="2409"/>
          </w:tcPr>
          <w:p>
            <w:r>
              <w:t>php:8.2-fpm-alpine (118 Mo)</w:t>
            </w:r>
          </w:p>
        </w:tc>
        <w:tc>
          <w:tcPr>
            <w:tcW w:type="dxa" w:w="2409"/>
          </w:tcPr>
          <w:p>
            <w:r>
              <w:t>- 83,4 % d'empreinte disque (gain de 593 Mo). Alpine élimine tout l'espace utilisateur Debian.</w:t>
            </w:r>
          </w:p>
        </w:tc>
      </w:tr>
      <w:tr>
        <w:tc>
          <w:tcPr>
            <w:tcW w:type="dxa" w:w="2409"/>
          </w:tcPr>
          <w:p>
            <w:r>
              <w:t>Service Base (SQL)</w:t>
            </w:r>
          </w:p>
        </w:tc>
        <w:tc>
          <w:tcPr>
            <w:tcW w:type="dxa" w:w="2409"/>
          </w:tcPr>
          <w:p>
            <w:r>
              <w:t>articles-db:dev (1,1 Go)</w:t>
            </w:r>
          </w:p>
        </w:tc>
        <w:tc>
          <w:tcPr>
            <w:tcW w:type="dxa" w:w="2409"/>
          </w:tcPr>
          <w:p>
            <w:r>
              <w:t>mariadb:lts (460 Mo)</w:t>
            </w:r>
          </w:p>
        </w:tc>
        <w:tc>
          <w:tcPr>
            <w:tcW w:type="dxa" w:w="2409"/>
          </w:tcPr>
          <w:p>
            <w:r>
              <w:t>- 58,2 % d'empreinte disque (gain de 640 Mo). MariaDB allège le runtime par rapport à MySQL 8.4.</w:t>
            </w:r>
          </w:p>
        </w:tc>
      </w:tr>
      <w:tr>
        <w:tc>
          <w:tcPr>
            <w:tcW w:type="dxa" w:w="2409"/>
          </w:tcPr>
          <w:p>
            <w:r>
              <w:t>Contexte de build Docker</w:t>
            </w:r>
          </w:p>
        </w:tc>
        <w:tc>
          <w:tcPr>
            <w:tcW w:type="dxa" w:w="2409"/>
          </w:tcPr>
          <w:p>
            <w:r>
              <w:t>Contexte brut (~3,5 Mo)</w:t>
            </w:r>
          </w:p>
        </w:tc>
        <w:tc>
          <w:tcPr>
            <w:tcW w:type="dxa" w:w="2409"/>
          </w:tcPr>
          <w:p>
            <w:r>
              <w:t>Contexte épuré (6,65 Ko)</w:t>
            </w:r>
          </w:p>
        </w:tc>
        <w:tc>
          <w:tcPr>
            <w:tcW w:type="dxa" w:w="2409"/>
          </w:tcPr>
          <w:p>
            <w:r>
              <w:t>- 99,8 % de données transférées au démon lors du docker build grâce au .dockerignore.</w:t>
            </w:r>
          </w:p>
        </w:tc>
      </w:tr>
    </w:tbl>
    <w:p>
      <w:pPr>
        <w:pStyle w:val="Heading2"/>
      </w:pPr>
      <w:r>
        <w:t>2. Nettoyage des couches (Layers)</w:t>
      </w:r>
    </w:p>
    <w:p>
      <w:r>
        <w:t>Dans le Dockerfile du service web, la création de couches intermédiaires a été strictement contenue :</w:t>
      </w:r>
    </w:p>
    <w:p>
      <w:pPr>
        <w:pStyle w:val="ListBullet"/>
      </w:pPr>
      <w:r>
        <w:rPr>
          <w:b/>
        </w:rPr>
        <w:t xml:space="preserve">Chaînage des commandes : </w:t>
      </w:r>
      <w:r>
        <w:t>L'ensemble des opérations apt, l'installation des extensions PHP, la pose de la capacité cap_net_bind_service et le nettoyage sont regroupés dans un unique RUN relié par des &amp;&amp;. Cela produit une seule couche applicative de 2,02 Mo au-dessus de l'image de base.</w:t>
      </w:r>
    </w:p>
    <w:p>
      <w:pPr>
        <w:pStyle w:val="ListBullet"/>
      </w:pPr>
      <w:r>
        <w:rPr>
          <w:b/>
        </w:rPr>
        <w:t xml:space="preserve">Option --no-install-recommends : </w:t>
      </w:r>
      <w:r>
        <w:t>Bloque l'installation des dépendances suggérées et des documentations superflues.</w:t>
      </w:r>
    </w:p>
    <w:p>
      <w:pPr>
        <w:pStyle w:val="ListBullet"/>
      </w:pPr>
      <w:r>
        <w:rPr>
          <w:b/>
        </w:rPr>
        <w:t xml:space="preserve">Suppression immédiate du cache apt : </w:t>
      </w:r>
      <w:r>
        <w:t>apt-get clean et rm -rf /var/lib/apt/lists/* sont exécutés dans la même instruction pour ne laisser aucun fichier temporaire dans la couche finale.</w:t>
      </w:r>
    </w:p>
    <w:p>
      <w:pPr>
        <w:pStyle w:val="Heading2"/>
      </w:pPr>
      <w:r>
        <w:t>3. Analyse et mise en œuvre du multi-stage build</w:t>
      </w:r>
    </w:p>
    <w:p>
      <w:r>
        <w:t>L'application fournie est constituée de scripts PHP interprétés sans phase de compilation d'assets (aucun compilateur Sass, bundler Webpack ou dépendance Composer externe). Un multi-stage build visant à exclure des outils de build Node ou C++ n'est donc pas requis en fonctionnement nominal.</w:t>
      </w:r>
    </w:p>
    <w:p>
      <w:r>
        <w:t>Toutefois, pour répondre aux exigences avancées d'intégration continue et de qualité, nous avons créé et testé le fichier Dockerfile.multistage. Ce fichier décompose la chaîne en deux étapes distinctes :</w:t>
      </w:r>
    </w:p>
    <w:p>
      <w:pPr>
        <w:pStyle w:val="ListBullet"/>
      </w:pPr>
      <w:r>
        <w:rPr>
          <w:b/>
        </w:rPr>
        <w:t xml:space="preserve">Étape 1 (builder sous php:8.2-cli-alpine) : </w:t>
      </w:r>
      <w:r>
        <w:t>Effectue un contrôle qualité automatique par linting syntaxique (php -l) de tous les fichiers du projet avant toute publication.</w:t>
      </w:r>
    </w:p>
    <w:p>
      <w:pPr>
        <w:pStyle w:val="ListBullet"/>
      </w:pPr>
      <w:r>
        <w:rPr>
          <w:b/>
        </w:rPr>
        <w:t xml:space="preserve">Étape 2 (runner sous php:8.2-apache) : </w:t>
      </w:r>
      <w:r>
        <w:t>Ne copie que les sources validées (COPY --from=builder) dans le conteneur final sans aucun résidu de test.</w:t>
      </w:r>
    </w:p>
    <w:p>
      <w:pPr>
        <w:pStyle w:val="Heading2"/>
      </w:pPr>
      <w:r>
        <w:t>4. Efficacité du fichier .dockerignore</w:t>
      </w:r>
    </w:p>
    <w:p>
      <w:r>
        <w:t>Le fichier .dockerignore a été étendu pour exclure l'historique .git, les secrets .env, les rapports Word/Pages, la documentation Markdown, les archives zip/rar et les fichiers d'environnement Compose. Le contexte de build envoyé au démon lors d'un docker build est ainsi réduit à 6,65 Ko, garantissant un build quasi instantané et une sécurité accrue.</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