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widowControl w:val="0"/>
        <w:spacing w:after="80" w:before="280" w:lineRule="auto"/>
        <w:contextualSpacing w:val="0"/>
        <w:jc w:val="center"/>
      </w:pPr>
      <w:r w:rsidDel="00000000" w:rsidR="00000000" w:rsidRPr="00000000">
        <w:rPr>
          <w:color w:val="000000"/>
          <w:sz w:val="36"/>
          <w:szCs w:val="36"/>
          <w:rtl w:val="0"/>
        </w:rPr>
        <w:t xml:space="preserve">Description textuelle des cas d’utilisation</w:t>
      </w:r>
    </w:p>
    <w:p w:rsidR="00000000" w:rsidDel="00000000" w:rsidP="00000000" w:rsidRDefault="00000000" w:rsidRPr="00000000">
      <w:pPr>
        <w:keepNext w:val="0"/>
        <w:keepLines w:val="0"/>
        <w:widowControl w:val="0"/>
        <w:contextualSpacing w:val="0"/>
      </w:pPr>
      <w:r w:rsidDel="00000000" w:rsidR="00000000" w:rsidRPr="00000000">
        <w:rPr>
          <w:sz w:val="16"/>
          <w:szCs w:val="16"/>
          <w:rtl w:val="0"/>
        </w:rPr>
        <w:t xml:space="preserve">source: </w:t>
      </w:r>
      <w:hyperlink r:id="rId5">
        <w:r w:rsidDel="00000000" w:rsidR="00000000" w:rsidRPr="00000000">
          <w:rPr>
            <w:color w:val="1155cc"/>
            <w:sz w:val="16"/>
            <w:szCs w:val="16"/>
            <w:u w:val="single"/>
            <w:rtl w:val="0"/>
          </w:rPr>
          <w:t xml:space="preserve">http://laurent-audibert.developpez.com/</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Le diagramme de cas d’utilisation décrit les grandes fonctions d’un système du point de vue des acteurs, mais n’expose pas de façon détaillée le dialogue entre les acteurs et les cas d’utilisation. Bien que de nombreux diagrammes d’UML permettent de décrire un cas d’utilisation, il est recommandé de rédiger une description textuelle car c’est une forme souple qui convient dans bien des situations.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Cette description textuelle est généralement composée de deux parties: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8"/>
          <w:szCs w:val="28"/>
          <w:u w:val="single"/>
          <w:rtl w:val="0"/>
        </w:rPr>
        <w:t xml:space="preserve">1.  La première partie permet d’identifier le cas.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 Elle doit contenir les informations qui suivent présenter sous forme de tableau.</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Visual w:val="0"/>
        <w:tblW w:w="9649.4845360824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6.5979381443299"/>
        <w:gridCol w:w="7882.886597938144"/>
        <w:tblGridChange w:id="0">
          <w:tblGrid>
            <w:gridCol w:w="1766.5979381443299"/>
            <w:gridCol w:w="7882.88659793814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Nom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4"/>
                <w:szCs w:val="24"/>
                <w:rtl w:val="0"/>
              </w:rPr>
              <w:t xml:space="preserve">Utiliser une tournure à l’infinitif (ex : Réceptionner un colis).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b w:val="1"/>
                <w:sz w:val="24"/>
                <w:szCs w:val="24"/>
                <w:rtl w:val="0"/>
              </w:rPr>
              <w:t xml:space="preserve">Objectif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Une description résumée permettant de comprendre l’intention principale du cas d’utilisation. Cette partie est souvent renseignée au début du projet dans la phase de découverte des cas d’utilisation.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Acteurs principaux </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Ceux qui vont réaliser le cas d’utilisation (la relation avec le cas d’utilisation est illustrée par le trait liant le cas d’utilisation et l’acteur dans un diagramme de cas d’utilisation)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Acteurs secondaires</w:t>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 si pertinent)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Ceux qui ne font que recevoir des informations à l’issue de la réalisation du cas d’utilisation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Date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Les dates de créations et de mise à jour de la description courante.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Le numéro de version.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Responsable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Le nom du (ou des responsables) de la mise en oeuvre de ce cas d’utilisation</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8"/>
          <w:szCs w:val="28"/>
          <w:u w:val="single"/>
          <w:rtl w:val="0"/>
        </w:rPr>
        <w:t xml:space="preserve">2. La deuxième partie contient la description du fonctionnement du cas.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Cette description a lieu</w:t>
      </w:r>
      <w:r w:rsidDel="00000000" w:rsidR="00000000" w:rsidRPr="00000000">
        <w:rPr>
          <w:sz w:val="24"/>
          <w:szCs w:val="24"/>
          <w:rtl w:val="0"/>
        </w:rPr>
        <w:t xml:space="preserve"> sous la forme d’une séquence de messages échangés entre les acteurs et le système : </w:t>
      </w:r>
      <w:r w:rsidDel="00000000" w:rsidR="00000000" w:rsidRPr="00000000">
        <w:rPr>
          <w:b w:val="1"/>
          <w:sz w:val="24"/>
          <w:szCs w:val="24"/>
          <w:rtl w:val="0"/>
        </w:rPr>
        <w:t xml:space="preserve">c’est le diagramme de séquence système.</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Elle contient toujours une séquence nominale qui décrit de déroulement normal du cas.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À la séquence nominale s’ajoutent </w:t>
      </w:r>
      <w:r w:rsidDel="00000000" w:rsidR="00000000" w:rsidRPr="00000000">
        <w:rPr>
          <w:b w:val="1"/>
          <w:sz w:val="24"/>
          <w:szCs w:val="24"/>
          <w:u w:val="single"/>
          <w:rtl w:val="0"/>
        </w:rPr>
        <w:t xml:space="preserve">parfois </w:t>
      </w:r>
      <w:r w:rsidDel="00000000" w:rsidR="00000000" w:rsidRPr="00000000">
        <w:rPr>
          <w:sz w:val="24"/>
          <w:szCs w:val="24"/>
          <w:rtl w:val="0"/>
        </w:rPr>
        <w:t xml:space="preserve">des séquences alternatives (des embranchement dans la séquence nominale) et des séquences d’exceptions (qui interviennent quand une erreur se produit).</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
        <w:bidiVisual w:val="0"/>
        <w:tblW w:w="9649.4845360824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7.9381443298967"/>
        <w:gridCol w:w="7051.546391752577"/>
        <w:tblGridChange w:id="0">
          <w:tblGrid>
            <w:gridCol w:w="2597.9381443298967"/>
            <w:gridCol w:w="7051.54639175257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b w:val="1"/>
                <w:sz w:val="24"/>
                <w:szCs w:val="24"/>
                <w:rtl w:val="0"/>
              </w:rPr>
              <w:t xml:space="preserve">Nom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4"/>
                <w:szCs w:val="24"/>
                <w:rtl w:val="0"/>
              </w:rPr>
              <w:t xml:space="preserve">diagramme de séquence système du cas d’utilisation xx</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4"/>
                <w:szCs w:val="24"/>
                <w:rtl w:val="0"/>
              </w:rPr>
              <w:t xml:space="preserve">préciser de quel scénario il s’agit  (nominale, ,exception, …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b w:val="1"/>
                <w:sz w:val="24"/>
                <w:szCs w:val="24"/>
                <w:rtl w:val="0"/>
              </w:rPr>
              <w:t xml:space="preserve">Description générale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4"/>
                <w:szCs w:val="24"/>
                <w:rtl w:val="0"/>
              </w:rPr>
              <w:t xml:space="preserve">Description générale de la séquence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b w:val="1"/>
                <w:sz w:val="24"/>
                <w:szCs w:val="24"/>
                <w:rtl w:val="0"/>
              </w:rPr>
              <w:t xml:space="preserve">Préconditions</w:t>
              <w:br w:type="textWrapping"/>
              <w:t xml:space="preserve">(si pertinent)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4"/>
                <w:szCs w:val="24"/>
                <w:rtl w:val="0"/>
              </w:rPr>
              <w:t xml:space="preserve">Elles décrivent dans quel état doit être le système (l’application) avant que ce cas d’utilisation puisse être déclenché.</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b w:val="1"/>
                <w:sz w:val="24"/>
                <w:szCs w:val="24"/>
                <w:rtl w:val="0"/>
              </w:rPr>
              <w:t xml:space="preserve">Nom message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4"/>
                <w:szCs w:val="24"/>
                <w:rtl w:val="0"/>
              </w:rPr>
              <w:t xml:space="preserve">description du message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b w:val="1"/>
                <w:sz w:val="24"/>
                <w:szCs w:val="24"/>
                <w:rtl w:val="0"/>
              </w:rPr>
              <w:t xml:space="preserve">Nom message 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4"/>
                <w:szCs w:val="24"/>
                <w:rtl w:val="0"/>
              </w:rPr>
              <w:t xml:space="preserve">description du message 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b w:val="1"/>
                <w:sz w:val="24"/>
                <w:szCs w:val="24"/>
                <w:rtl w:val="0"/>
              </w:rPr>
              <w:t xml:space="preserve">Postconditions</w:t>
              <w:br w:type="textWrapping"/>
              <w:t xml:space="preserve">(si pertinent)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Elle décrivent l’état du système à l’issue des différents scénarios.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footerReference r:id="rId6" w:type="default"/>
      <w:pgSz w:h="16838" w:w="11906"/>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b w:val="1"/>
          <w:sz w:val="24"/>
          <w:szCs w:val="24"/>
        </w:rPr>
      </w:r>
    </w:fldSimple>
    <w:r w:rsidDel="00000000" w:rsidR="00000000" w:rsidRPr="00000000">
      <w:rPr>
        <w:b w:val="1"/>
        <w:sz w:val="24"/>
        <w:szCs w:val="24"/>
        <w:rtl w:val="0"/>
      </w:rPr>
      <w:t xml:space="preserve">/</w:t>
    </w:r>
    <w:fldSimple w:instr="NUMPAGES" w:fldLock="0" w:dirty="0">
      <w:r w:rsidDel="00000000" w:rsidR="00000000" w:rsidRPr="00000000">
        <w:rPr>
          <w:b w:val="1"/>
          <w:sz w:val="24"/>
          <w:szCs w:val="24"/>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aurent-audibert.developpez.com/Cours-UML/?page=diagramme-cas-utilisation#L2" TargetMode="External"/><Relationship Id="rId6" Type="http://schemas.openxmlformats.org/officeDocument/2006/relationships/footer" Target="footer1.xml"/></Relationships>
</file>