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指数增强基金量化研究系统 — 项目报告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Quantitative Research System for Enhanced Index Funds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&gt;</w:t>
      </w:r>
    </w:p>
    <w:p/>
    <w:p>
      <w:pPr>
        <w:pStyle w:val="Heading2"/>
      </w:pPr>
      <w:r>
        <w:t>摘要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本项目构建了一套完整的指数增强基金量化研究系统，覆盖基金池构建、净值采集、收益计算、风险指标评估、研究解读自动生成与可视化展示的全流程。系统以四大宽基指数（沪深300、中证500、中证1000、中证全指）的增强基金为研究对象，基于 Rule-based Research Interpretation Engine（规则驱动的研究解读引擎），自动生成包含五核心指标、基金画像（Profile）、研究标签（Tags）和五段研究摘要的完整分析报告。系统部署于 GitHub Actions，实现每个交易日的全自动数据更新与发布。</w:t>
      </w:r>
    </w:p>
    <w:p/>
    <w:p>
      <w:pPr>
        <w:pStyle w:val="Heading2"/>
      </w:pPr>
      <w:r>
        <w:t>第一章：项目概述</w:t>
      </w:r>
    </w:p>
    <w:p>
      <w:pPr>
        <w:pStyle w:val="Heading3"/>
      </w:pPr>
      <w:r>
        <w:t>1.1 研究目标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指数增强基金的核心价值在于持续、稳定地创造超越基准指数的超额收益（Alpha）。本系统旨在回答以下研究问题：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哪些指数增强基金真正具有主动管理能力？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如何在同类基金中横向比较收益能力、风险控制和风险调整后表现？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如何将研究员的分析逻辑抽象为可复现、可解释的规则体系？</w:t>
      </w:r>
    </w:p>
    <w:p>
      <w:pPr>
        <w:pStyle w:val="Heading3"/>
      </w:pPr>
      <w:r>
        <w:t>1.2 研究对象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基准指数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增强基金数量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代表产品示例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沪深300 (HS300)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~190 只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富国沪深300增强、景顺长城沪深300增强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中证500 (ZZ500)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~310 只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南方中证500增强、博道中证500增强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中证1000 (ZZ1000)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~90 只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国联安中证1000增强、工银中证1000增强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中证全指 (CSI_ALL)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~25 只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博道中证全指增强、国金中证全指增强</w:t>
            </w:r>
          </w:p>
        </w:tc>
      </w:tr>
    </w:tbl>
    <w:p/>
    <w:p/>
    <w:p>
      <w:pPr>
        <w:pStyle w:val="Heading2"/>
      </w:pPr>
      <w:r>
        <w:t>第二章：系统架构</w:t>
      </w:r>
    </w:p>
    <w:p>
      <w:pPr>
        <w:pStyle w:val="Heading3"/>
      </w:pPr>
      <w:r>
        <w:t>2.1 六步流水线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01_build_fund_pool    →  基金池构建与验证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02_update_nav         →  净值数据采集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03_calculate_return   →  收益与风险指标计算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04_generate_html      →  绩效看板（HTML）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05_export_analysis    →  研究分析（Excel）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06_generate_research  →  研究看板（HTML）</w:t>
      </w:r>
    </w:p>
    <w:p>
      <w:pPr>
        <w:pStyle w:val="Heading3"/>
      </w:pPr>
      <w:r>
        <w:t>2.2 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b/>
                <w:sz w:val="20"/>
              </w:rPr>
              <w:t>层级</w:t>
            </w:r>
          </w:p>
        </w:tc>
        <w:tc>
          <w:tcPr>
            <w:tcW w:type="dxa" w:w="4533"/>
          </w:tcPr>
          <w:p>
            <w:r>
              <w:rPr>
                <w:b/>
                <w:sz w:val="20"/>
              </w:rPr>
              <w:t>技术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数据源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AKShare（天天基金/东方财富）、中证指数公司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计算引擎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Python 3.12 + NumPy + Pandas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研究引擎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Rule-based Research Interpretation Engine（自研）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可视化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xlsxwriter（Excel）、纯 CSS/JS（HTML）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自动化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GitHub Actions（工作日 18:00 定时触发）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部署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GitHub Pages（免费静态托管）</w:t>
            </w:r>
          </w:p>
        </w:tc>
      </w:tr>
    </w:tbl>
    <w:p/>
    <w:p/>
    <w:p>
      <w:pPr>
        <w:pStyle w:val="Heading2"/>
      </w:pPr>
      <w:r>
        <w:t>第三章：核心指标计算</w:t>
      </w:r>
    </w:p>
    <w:p>
      <w:pPr>
        <w:pStyle w:val="Heading3"/>
      </w:pPr>
      <w:r>
        <w:t>3.1 区间涨跌幅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采用 App 展示口径（对齐天天基金/支付宝）：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日收益率与累计净值变化的关系：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r_t = \frac{NAV_t}{NAV_{t-1}} - 1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$r_t$：第 $t$ 个交易日的收益率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$NAV_t$：第 $t$ 个交易日的基金净值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$NAV_{t-1}$：前一个交易日的基金净值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N 日累计收益率：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R_{cumulative} = \frac{NAV_{latest}}{NAV_{base}} - 1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$R_{cumulative}$：区间累计收益率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$NAV_{latest}$：区间最新交易日的净值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$NAV_{base}$：区间起始日的净值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其中短期（日/周）使用单位净值（unit_nav），中长期（月及以上）使用复权净值（adj_nav）以消除分红拆分影响。</w:t>
      </w:r>
    </w:p>
    <w:p>
      <w:pPr>
        <w:pStyle w:val="Heading3"/>
      </w:pPr>
      <w:r>
        <w:t>3.2 超额收益（Alpha）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超额收益定义为基金收益与基准指数收益之差：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\alpha_t = R_t^{fund} - R_t^{benchmark}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$\alpha_t$：第 $t$ 期的超额收益（Alpha）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$R_t^{fund}$：基金在第 $t$ 期的收益率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$R_t^{benchmark}$：基准指数在同期的收益率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本系统进一步做股息修正，剥离指数分红对超额的贡献：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\alpha_t^{pure} = \alpha_t - \left[ (1 + DY)^{years} - 1 \right]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$\alpha_t^{pure}$：股息修正后的纯 Alpha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$DY$：指数股息率（dividend yield），从中证指数公司获取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$years$：计算区间对应的年限（如近一年 = 1.0，近六月 = 0.5）修正后的纯 Alpha 更真实地反映基金经理的主动选股能力。</w:t>
      </w:r>
    </w:p>
    <w:p>
      <w:pPr>
        <w:pStyle w:val="Heading3"/>
      </w:pPr>
      <w:r>
        <w:t>3.3 年化收益率（Annual Return）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基于全量复权净值的几何年化：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R_{annual} = \left( \frac{NAV_{end}}{NAV_{start}} \right)^{\frac{252}{N}} - 1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$R_{annual}$：年化收益率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$NAV_{end}$：最新交易日的复权净值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$NAV_{start}$：历史起始日的复权净值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$N$：起始日至最新日之间的交易日总数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$252$：A 股市场一年大约的交易天数（年化因子）</w:t>
      </w:r>
    </w:p>
    <w:p>
      <w:pPr>
        <w:pStyle w:val="Heading3"/>
      </w:pPr>
      <w:r>
        <w:t>3.4 年化波动率（Annual Volatility）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先计算日收益率序列：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r_t = \frac{NAV_t}{NAV_{t-1}} - 1, \quad t = 1, 2, ..., N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$r_t$：第 $t$ 个交易日的收益率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$N$：交易日总数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日收益率标准差：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\sigma_{daily} = \sqrt{ \frac{1}{N-1} \sum_{t=1}^{N} (r_t - \bar{r})^2 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$\sigma_{daily}$：日收益率的标准差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$\bar{r}$：日收益率的均值，$\bar{r} = \frac{1}{N}\sum_{t=1}^{N} r_t$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$N-1$：自由度修正（样本标准差）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年化：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\sigma_{annual} = \sigma_{daily} \times \sqrt{252}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$\sigma_{annual}$：年化波动率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$\sqrt{252}$：将日波动率放大到年（假设收益率独立同分布，方差随时间线性累加）</w:t>
      </w:r>
    </w:p>
    <w:p>
      <w:pPr>
        <w:pStyle w:val="Heading3"/>
      </w:pPr>
      <w:r>
        <w:t>3.5 最大回撤（Maximum Drawdown）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定义历史最高净值序列：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Peak_t = \max_{1 \leq i \leq t} NAV_i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$Peak_t$：从第 1 天到第 $t$ 天之间的最高净值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$NAV_i$：第 $i$ 个交易日的复权净值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时点回撤：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Drawdown_t = \frac{NAV_t - Peak_t}{Peak_t}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$Drawdown_t$：第 $t$ 天的回撤幅度（负值 = 亏损比例）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$NAV_t$：第 $t$ 天当前的净值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$Peak_t$：第 $t$ 天之前的历史最高净值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最大回撤：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MDD = \min_{1 \leq t \leq N} Drawdown_t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$MDD$：整个历史区间内回撤的最大值（绝对值最大的负值）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例如 $MDD = -0.15$ 表示历史上最惨的时候净值从最高点下跌了 15%</w:t>
      </w:r>
    </w:p>
    <w:p>
      <w:pPr>
        <w:pStyle w:val="Heading3"/>
      </w:pPr>
      <w:r>
        <w:t>3.6 夏普比率（Sharpe Ratio）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衡量每单位风险所获得的超额回报：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Sharpe = \frac{R_{annual} - R_f}{\sigma_{annual}}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$Sharpe$：夏普比率（越高越好）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$R_{annual}$：基金的年化收益率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$R_f$：无风险利率，本系统取 $2\%$（近似一年期定存利率）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$\sigma_{annual}$：基金的年化波动率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&gt;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含义：如果 Sharpe = 0.8，意味着每承担 1% 的波动风险，获得 0.8% 的超额回报。</w:t>
      </w:r>
    </w:p>
    <w:p>
      <w:pPr>
        <w:pStyle w:val="Heading3"/>
      </w:pPr>
      <w:r>
        <w:t>3.7 卡玛比率（Calmar Ratio）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衡量年化收益与最大回撤的关系：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Calmar = \frac{R_{annual}}{|MDD|}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$Calmar$：卡玛比率（越高越好）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$R_{annual}$：基金的年化收益率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$|MDD|$：最大回撤的绝对值（取正数）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&gt;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含义：如果 Calmar = 2，意味着每承担 1% 的最大回撤，获得 2% 的年化收益。</w:t>
      </w:r>
    </w:p>
    <w:p/>
    <w:p>
      <w:pPr>
        <w:pStyle w:val="Heading2"/>
      </w:pPr>
      <w:r>
        <w:t>第四章：同类比较与评价体系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五核心指标的具体计算公式见第三章。本章聚焦如何在同一 Benchmark 内横向比较基金。</w:t>
      </w:r>
    </w:p>
    <w:p>
      <w:pPr>
        <w:pStyle w:val="Heading3"/>
      </w:pPr>
      <w:r>
        <w:t>4.1 同类排名方法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所有评价均在相同 Benchmark 的增强基金之间完成（Like-for-Like Comparison）。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大样本模式（同类 ≥ 20 只）：使用百分位排名法。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对于指标 $x$，组内排名（升序，值越大越好）：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rank_i = |\{j : x_j \leq x_i\}|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$rank_i$：基金 $i$ 的组内排名（1 = 最好）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$x_i$：基金 $i$ 在该指标上的取值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$|\{...\}|$：集合中元素的个数（即有多少只基金的指标值 ≤ $x_i$）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百分位：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pct_i = \frac{rank_i}{N_{group}} \times 100\%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$pct_i$：基金 $i$ 的百分位（越小越靠前，pct=1% 表示同类前 1%）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$N_{group}$：同基准下的基金总数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小样本模式（$N_{group} &lt; 20$ 只）：改用绝对阈值法（如一年超额 &gt; 3% 视为突出），避免小样本下百分位失真。</w:t>
      </w:r>
    </w:p>
    <w:p>
      <w:pPr>
        <w:pStyle w:val="Heading3"/>
      </w:pPr>
      <w:r>
        <w:t>4.2 Alpha 三周期评估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周期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近一月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month_1_alpha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短期趋势判断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近六月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month_6_alpha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中期持续性评估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近一年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year_1_alpha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长期超额能力</w:t>
            </w:r>
          </w:p>
        </w:tc>
      </w:tr>
    </w:tbl>
    <w:p/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趋势判断引入容忍区间 $\epsilon = 0.5\%$（TREND_TOLERANCE），避免微小波动被误判为趋势：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\text{趋势} = \begin{cases} \text{改善} &amp; \alpha_{1m} - \alpha_{6m} &gt; \epsilon \;\land\; \alpha_{6m} - \alpha_{1y} &gt; \epsilon \\ \text{回落} &amp; \alpha_{6m} - \alpha_{1m} &gt; \epsilon \;\land\; \alpha_{1y} - \alpha_{6m} &gt; \epsilon \\ \text{平稳} &amp; \text{otherwise} \end{cases}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符号说明：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$\alpha_{1y}$：近一年超额收益（year_1_alpha）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$\alpha_{6m}$：近六月超额收益（month_6_alpha）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$\alpha_{1m}$：近一月超额收益（month_1_alpha）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- $\epsilon$：趋势容忍区间，默认 0.5%，相邻周期 Alpha 差异小于此值视为随机波动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&gt;</w:t>
      </w:r>
    </w:p>
    <w:p>
      <w:pPr>
        <w:spacing w:after="80"/>
        <w:ind w:left="567"/>
      </w:pPr>
      <w:r>
        <w:rPr>
          <w:rFonts w:ascii="Microsoft YaHei" w:hAnsi="Microsoft YaHei" w:eastAsia="Microsoft YaHei"/>
          <w:i/>
          <w:color w:val="556B7A"/>
          <w:sz w:val="20"/>
        </w:rPr>
        <w:t>含义：只有当相邻周期的 Alpha 变化幅度超过 $\epsilon$ 时，才认定为真正的趋势变化，否则视为平稳。</w:t>
      </w:r>
    </w:p>
    <w:p/>
    <w:p>
      <w:pPr>
        <w:pStyle w:val="Heading2"/>
      </w:pPr>
      <w:r>
        <w:t>第五章：研究解读引擎</w:t>
      </w:r>
    </w:p>
    <w:p>
      <w:pPr>
        <w:pStyle w:val="Heading3"/>
      </w:pPr>
      <w:r>
        <w:t>5.1 设计哲学（Five Principles）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同类比较原则（Like-for-Like）：所有评价仅在相同 Benchmark 基金之间完成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超额优先原则（Alpha First）：Alpha 代表主动管理能力，是评价核心维度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持续性原则（Consistency over Burst）：持续创造 Alpha 比单次爆发更有价值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风险收益匹配原则（Risk-Adjusted）：Alpha 必须建立在合理风险水平之上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可解释性原则（Explainability）：每条结论可追溯至明确数据与规则</w:t>
      </w:r>
    </w:p>
    <w:p>
      <w:pPr>
        <w:pStyle w:val="Heading3"/>
      </w:pPr>
      <w:r>
        <w:t>5.2 五步解读框架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步骤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核心问题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① Return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收益能力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基金赚了多少钱？有没有跑赢基准？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② Risk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风险控制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波动多大？最惨亏多少？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③ Risk-Adjusted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风险调整收益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每单位风险换来多少回报？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④ Consistency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超额持续性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Alpha 是稳定的还是一时运气？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⑤ Summary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综合画像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这只基金整体是什么画像？</w:t>
            </w:r>
          </w:p>
        </w:tc>
      </w:tr>
    </w:tbl>
    <w:p/>
    <w:p>
      <w:pPr>
        <w:pStyle w:val="Heading3"/>
      </w:pPr>
      <w:r>
        <w:t>5.3 基金画像（Profile）分类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Profile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判定条件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解释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稳健增强型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Alpha &gt; 0 且 Sharpe/Calmar 居前，回撤可控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超额与风控均衡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风险收益优化型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Sharpe + Calmar 双高 + 低波动（Alpha 可能不突出）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风险调整收益优秀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高弹性增强型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收益/Alpha 突出但波动或回撤显著偏高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进攻型选手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普通增强型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各项指标处于同类中游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增强能力待验证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指数复制型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各周期 Alpha 均 ≤ 0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未展现主动管理能力</w:t>
            </w:r>
          </w:p>
        </w:tc>
      </w:tr>
    </w:tbl>
    <w:p/>
    <w:p>
      <w:pPr>
        <w:pStyle w:val="Heading3"/>
      </w:pPr>
      <w:r>
        <w:t>5.4 研究标签（Tags）体系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标签分两层：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状态标签（互斥）：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[观察样本] — 成立不足一年，数据不足以参与完整评价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正常 — 可参与完整研究解读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2"/>
        </w:rPr>
        <w:t>能力标签（可叠加）：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[持续跑赢] — 各周期 Alpha 均 &gt; 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[超额突出] — 一年超额排名同类前 10%，且 Alpha &gt; 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[Alpha稳定] — 各周期间 Alpha 差异 &lt; 容忍区间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[短期改善] — Alpha 呈逐期加速趋势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[近期回落] — Alpha 呈逐期衰减趋势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[高收益] — 年化收益排名同类前 30%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[低波动] — 年化波动率低于同类 70%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[高Sharpe] — Sharpe Ratio 排名同类前 30%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[高Calmar] — Calmar Ratio 排名同类前 30%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[低回撤] — 最大回撤低于同类 70%</w:t>
      </w:r>
    </w:p>
    <w:p/>
    <w:p>
      <w:pPr>
        <w:pStyle w:val="Heading2"/>
      </w:pPr>
      <w:r>
        <w:t>第六章：自动化部署</w:t>
      </w:r>
    </w:p>
    <w:p>
      <w:pPr>
        <w:pStyle w:val="Heading3"/>
      </w:pPr>
      <w:r>
        <w:t>6.1 GitHub Actions 工作流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触发条件: 每个工作日 21:00 (UTC 13:00)，确保基金净值已公布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运行环境: ubuntu-latest, Python 3.12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>步骤: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 xml:space="preserve">  01 更新基金池 → 02 获取最新净值 → 03 计算收益与风险指标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 xml:space="preserve">  → 04 生成绩效 HTML → 05 生成研究 Excel → 06 生成研究 HTML</w:t>
      </w:r>
    </w:p>
    <w:p>
      <w:pPr>
        <w:spacing w:after="40"/>
        <w:ind w:left="567"/>
      </w:pPr>
      <w:r>
        <w:rPr>
          <w:rFonts w:ascii="Consolas" w:hAnsi="Consolas"/>
          <w:color w:val="333333"/>
          <w:sz w:val="18"/>
        </w:rPr>
        <w:t xml:space="preserve">  → 验证数据日期 → 部署到 GitHub Pages</w:t>
      </w:r>
    </w:p>
    <w:p>
      <w:pPr>
        <w:pStyle w:val="Heading3"/>
      </w:pPr>
      <w:r>
        <w:t>6.2 数据缓存策略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基金详情缓存（fund_detail_cache.parquet）：避免重复调用 AKShare 详情接口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净值增量更新（02_update_nav.py）：仅拉取最新 N 日净值，历史数据复用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Actions Cache：GitHub 端缓存 data/ 目录，Run 间复用加速</w:t>
      </w:r>
    </w:p>
    <w:p>
      <w:pPr>
        <w:pStyle w:val="Heading3"/>
      </w:pPr>
      <w:r>
        <w:t>6.3 输出产物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产物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格式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绩效看板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`output/index.html`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交互式表格 + 走势图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研究看板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`output/research.html`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五核心指标 + Profile + Tags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研究分析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`output/research_analysis.xlsx`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四个 Benchmark Sheet + 汇总</w:t>
            </w:r>
          </w:p>
        </w:tc>
      </w:tr>
    </w:tbl>
    <w:p/>
    <w:p/>
    <w:p>
      <w:pPr>
        <w:pStyle w:val="Heading2"/>
      </w:pPr>
      <w:r>
        <w:t>第七章：项目亮点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Rule-based Research Interpretation：不使用大模型，将研究员的分析逻辑抽象为可复现、可解释的规则体系。相同数据输入始终得到一致结论。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五核心指标体系：覆盖收益（Annual Return）、风险（Volatility、Max Drawdown）和风险调整收益（Sharpe、Calmar）三个维度，超越单一指标评价。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Profile + Tags + Summary 三层研究输出：不采用难以解释的五星评分，而是画像、标签、研究摘要的组合，更贴近内部研究报告的表达方式。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参数与框架分离：评价哲学（Methodology）固定，参数（Parameters）可根据样本分布校准，支持小样本自适应切换。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全自动 CI/CD：代码推送到 GitHub → 每日自动更新 → 自动部署到网页，无需人工干预。</w:t>
      </w:r>
    </w:p>
    <w:p/>
    <w:p>
      <w:pPr>
        <w:pStyle w:val="Heading2"/>
      </w:pPr>
      <w:r>
        <w:t>附录：参数配置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`RISK_FREE_RATE`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0.02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无风险利率（Sharpe 计算用）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`MIN_SAMPLE_PERCENTILE`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百分位排名最低样本量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`TOP_EXCELLENT`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超额突出阈值（前 10%）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`TOP_GOOD`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收益/Alpha 居前阈值（前 30%）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`TREND_TOLERANCE`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0.005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趋势容忍区间（0.5%）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`ALPHA_NEUTRAL`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0.005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弱增强判定阈值</w:t>
            </w:r>
          </w:p>
        </w:tc>
      </w:tr>
    </w:tbl>
    <w:p/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E3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E3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E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