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E3D"/>
          <w:sz w:val="56"/>
        </w:rPr>
        <w:t>指数增强基金监控与分析系统</w:t>
      </w:r>
    </w:p>
    <w:p>
      <w:pPr>
        <w:jc w:val="center"/>
      </w:pPr>
      <w:r>
        <w:rPr>
          <w:color w:val="556B7A"/>
          <w:sz w:val="32"/>
        </w:rPr>
        <w:t>项目技术报告</w:t>
      </w:r>
    </w:p>
    <w:p/>
    <w:p/>
    <w:p>
      <w:pPr>
        <w:jc w:val="center"/>
      </w:pPr>
      <w:r>
        <w:rPr>
          <w:color w:val="888888"/>
          <w:sz w:val="24"/>
        </w:rPr>
        <w:t>2026 年 7 月</w:t>
      </w:r>
    </w:p>
    <w:p>
      <w:r>
        <w:br w:type="page"/>
      </w:r>
    </w:p>
    <w:p>
      <w:pPr>
        <w:pStyle w:val="Heading1"/>
      </w:pPr>
      <w:r>
        <w:t>目  录</w:t>
      </w:r>
    </w:p>
    <w:p/>
    <w:p>
      <w:pPr>
        <w:spacing w:after="40"/>
      </w:pPr>
      <w:r>
        <w:rPr>
          <w:sz w:val="22"/>
        </w:rPr>
        <w:t>一、项目背景与系统架构</w:t>
      </w:r>
    </w:p>
    <w:p>
      <w:pPr>
        <w:spacing w:after="40"/>
      </w:pPr>
      <w:r>
        <w:rPr>
          <w:sz w:val="22"/>
        </w:rPr>
        <w:t>二、基金识别方法：基于业绩基准、投资目标与基金类型的综合判定</w:t>
      </w:r>
    </w:p>
    <w:p>
      <w:pPr>
        <w:spacing w:after="40"/>
      </w:pPr>
      <w:r>
        <w:rPr>
          <w:sz w:val="22"/>
        </w:rPr>
        <w:t xml:space="preserve">    2.1  全市场粗筛：名称关键词过滤</w:t>
      </w:r>
    </w:p>
    <w:p>
      <w:pPr>
        <w:spacing w:after="40"/>
      </w:pPr>
      <w:r>
        <w:rPr>
          <w:sz w:val="22"/>
        </w:rPr>
        <w:t xml:space="preserve">    2.2  详情获取：API 元数据采集</w:t>
      </w:r>
    </w:p>
    <w:p>
      <w:pPr>
        <w:spacing w:after="40"/>
      </w:pPr>
      <w:r>
        <w:rPr>
          <w:sz w:val="22"/>
        </w:rPr>
        <w:t xml:space="preserve">    2.3  综合判定规则：三维交叉验证</w:t>
      </w:r>
    </w:p>
    <w:p>
      <w:pPr>
        <w:spacing w:after="40"/>
      </w:pPr>
      <w:r>
        <w:rPr>
          <w:sz w:val="22"/>
        </w:rPr>
        <w:t xml:space="preserve">    2.4  特殊情形处理</w:t>
      </w:r>
    </w:p>
    <w:p>
      <w:pPr>
        <w:spacing w:after="40"/>
      </w:pPr>
      <w:r>
        <w:rPr>
          <w:sz w:val="22"/>
        </w:rPr>
        <w:t>三、数据计算：公式与方法</w:t>
      </w:r>
    </w:p>
    <w:p>
      <w:pPr>
        <w:spacing w:after="40"/>
      </w:pPr>
      <w:r>
        <w:rPr>
          <w:sz w:val="22"/>
        </w:rPr>
        <w:t xml:space="preserve">    3.1  区间涨跌幅计算</w:t>
      </w:r>
    </w:p>
    <w:p>
      <w:pPr>
        <w:spacing w:after="40"/>
      </w:pPr>
      <w:r>
        <w:rPr>
          <w:sz w:val="22"/>
        </w:rPr>
        <w:t xml:space="preserve">    3.2  超额收益与纯 Alpha 计算</w:t>
      </w:r>
    </w:p>
    <w:p>
      <w:pPr>
        <w:spacing w:after="40"/>
      </w:pPr>
      <w:r>
        <w:rPr>
          <w:sz w:val="22"/>
        </w:rPr>
        <w:t xml:space="preserve">    3.3  股息率修正方法</w:t>
      </w:r>
    </w:p>
    <w:p>
      <w:pPr>
        <w:spacing w:after="40"/>
      </w:pPr>
      <w:r>
        <w:rPr>
          <w:sz w:val="22"/>
        </w:rPr>
        <w:t xml:space="preserve">    3.4  最大回撤计算</w:t>
      </w:r>
    </w:p>
    <w:p>
      <w:pPr>
        <w:spacing w:after="40"/>
      </w:pPr>
      <w:r>
        <w:rPr>
          <w:sz w:val="22"/>
        </w:rPr>
        <w:t xml:space="preserve">    3.5  同类排名与百分位</w:t>
      </w:r>
    </w:p>
    <w:p>
      <w:pPr>
        <w:spacing w:after="40"/>
      </w:pPr>
      <w:r>
        <w:rPr>
          <w:sz w:val="22"/>
        </w:rPr>
        <w:t xml:space="preserve">    3.6  多周期持续性判断</w:t>
      </w:r>
    </w:p>
    <w:p>
      <w:pPr>
        <w:spacing w:after="40"/>
      </w:pPr>
      <w:r>
        <w:rPr>
          <w:sz w:val="22"/>
        </w:rPr>
        <w:t>四、研究解读引擎</w:t>
      </w:r>
    </w:p>
    <w:p>
      <w:pPr>
        <w:spacing w:after="40"/>
      </w:pPr>
      <w:r>
        <w:rPr>
          <w:sz w:val="22"/>
        </w:rPr>
        <w:t>五、开发过程中遇到的问题与解决方案</w:t>
      </w:r>
    </w:p>
    <w:p>
      <w:pPr>
        <w:spacing w:after="40"/>
      </w:pPr>
      <w:r>
        <w:rPr>
          <w:sz w:val="22"/>
        </w:rPr>
        <w:t xml:space="preserve">    5.1  基金识别的准确性与召回率平衡</w:t>
      </w:r>
    </w:p>
    <w:p>
      <w:pPr>
        <w:spacing w:after="40"/>
      </w:pPr>
      <w:r>
        <w:rPr>
          <w:sz w:val="22"/>
        </w:rPr>
        <w:t xml:space="preserve">    5.2  API 调用的频率限制与稳定性</w:t>
      </w:r>
    </w:p>
    <w:p>
      <w:pPr>
        <w:spacing w:after="40"/>
      </w:pPr>
      <w:r>
        <w:rPr>
          <w:sz w:val="22"/>
        </w:rPr>
        <w:t xml:space="preserve">    5.3  接口列名不一致的兼容性问题</w:t>
      </w:r>
    </w:p>
    <w:p>
      <w:pPr>
        <w:spacing w:after="40"/>
      </w:pPr>
      <w:r>
        <w:rPr>
          <w:sz w:val="22"/>
        </w:rPr>
        <w:t xml:space="preserve">    5.4  编码与跨平台兼容性问题</w:t>
      </w:r>
    </w:p>
    <w:p>
      <w:pPr>
        <w:spacing w:after="40"/>
      </w:pPr>
      <w:r>
        <w:rPr>
          <w:sz w:val="22"/>
        </w:rPr>
        <w:t xml:space="preserve">    5.5  增量更新的去重与缓存一致性</w:t>
      </w:r>
    </w:p>
    <w:p>
      <w:pPr>
        <w:spacing w:after="40"/>
      </w:pPr>
      <w:r>
        <w:rPr>
          <w:sz w:val="22"/>
        </w:rPr>
        <w:t>六、局限与后续改进方向</w:t>
      </w:r>
    </w:p>
    <w:p>
      <w:r>
        <w:br w:type="page"/>
      </w:r>
    </w:p>
    <w:p>
      <w:pPr>
        <w:pStyle w:val="Heading1"/>
      </w:pPr>
      <w:r>
        <w:t>一、项目背景与系统架构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指数增强基金（Index-Enhanced Fund）是指基金经理在跟踪某一宽基指数的同时，通过主动选股、因子暴露、行业超配等策略，试图长期获得超越基准指数收益的基金产品。近年来国内公募市场此类产品数量快速增长，已覆盖沪深 300、中证 500、中证 1000、中证全指等多个主流指数，总规模达数千亿元。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本项目的核心诉求是回答三个问题：(1) 市场上到底有哪些真正意义上的指数增强基金？(2) 哪些基金具备持续的 Alpha 创造能力，哪些收取了增强策略的管理费却未提供对应的超额回报？(3) 能否将上述分析全流程自动化？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本系统搭建了一套完整的五阶段数据管线（约 4,200 行 Python 代码），覆盖数据采集、指标计算、可视化展示、研究解读全流程，并通过 GitHub Actions 实现每日自动化调度。技术栈为 Python/Pandas/AKShare，中间数据以 Parquet 格式存储，最终输出为 HTML 页面和格式化 Excel 报告。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系统五阶段管线：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第一阶段 -- 基金池构建：从全市场一万余只基金中，通过名称关键词 + API 详情 + 规则引擎，筛选出约 300 只真正的指数增强基金，按对标指数分类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第二阶段 -- 净值更新：通过天天基金接口逐只拉取单位净值与累计净值历史序列，同时获取四大指数的行情与股息率数据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第三阶段 -- 收益与超额计算：按 App 口径计算十个时间维度的涨跌幅，减去指数收益得到超额，经股息复利修正得到纯增强 Alpha，另计算最大回撤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第四阶段 -- HTML 展示：生成可排序、可筛选的排名表格页面，点击行可弹出 90 日净值走势对比图，通过 GitHub Pages 部署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第五阶段 -- 研究解读：规则驱动的四层分析引擎（排名 -&gt; 画像 -&gt; 标签 -&gt; 摘要），输出格式化 Excel 报告</w:t>
      </w:r>
    </w:p>
    <w:p>
      <w:r>
        <w:br w:type="page"/>
      </w:r>
    </w:p>
    <w:p>
      <w:pPr>
        <w:pStyle w:val="Heading1"/>
      </w:pPr>
      <w:r>
        <w:t>二、基金识别方法：基于业绩基准、投资目标与基金类型的综合判定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基金识别是本系统的第一个核心挑战。全市场公募基金数量超过一万只，其中指数增强类仅数百只，信号极为稀疏。基金的名称千差万别 -- 部分增强基金名称中不含「增强」字样，而大量 ETF 联接基金的名称又包含指数关键词。单纯依赖名称匹配会带来大量的漏判与误判。对此，本系统设计了三层递进的筛选机制，在名称初筛的基础上，综合运用基金的业绩比较基准文本、投资目标文本和基金类型字段进行精确判定。</w:t>
      </w:r>
    </w:p>
    <w:p>
      <w:pPr>
        <w:pStyle w:val="Heading2"/>
      </w:pPr>
      <w:r>
        <w:t>2.1  全市场粗筛：名称关键词过滤（第一层）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粗筛阶段通过 AKShare 基金列表接口获取全市场约 13,000 只公募基金的基本信息（代码、名称、基金类型），执行以下四步过滤：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(1) ETF / 联接基金过滤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名称中包含「ETF」或「联接」的条目，原则上视为被动跟踪型基金予以排除。但设有例外规则：若名称同时包含排除关键词与「增强」（如「沪深 300 增强策略 ETF 发起式联接」），则予以保留 -- 该类产品以增强策略为核心，联接仅为份额形式。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(2) 固收类过滤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在东方财富基金分类中，剔除类型含「债券」「货币」「可转债」的固收类产品，仅保留权益类基金。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(3) 指数关键词匹配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对通过上述过滤的基金名称，逐一匹配四大指数的关键词库：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目标指数</w:t>
            </w:r>
          </w:p>
        </w:tc>
        <w:tc>
          <w:tcPr>
            <w:tcW w:type="dxa" w:w="3022"/>
          </w:tcPr>
          <w:p>
            <w:r>
              <w:rPr>
                <w:b/>
              </w:rPr>
              <w:t>代码</w:t>
            </w:r>
          </w:p>
        </w:tc>
        <w:tc>
          <w:tcPr>
            <w:tcW w:type="dxa" w:w="3022"/>
          </w:tcPr>
          <w:p>
            <w:r>
              <w:rPr>
                <w:b/>
              </w:rPr>
              <w:t>匹配关键词（部分）</w:t>
            </w:r>
          </w:p>
        </w:tc>
      </w:tr>
      <w:tr>
        <w:tc>
          <w:tcPr>
            <w:tcW w:type="dxa" w:w="3022"/>
          </w:tcPr>
          <w:p>
            <w:r>
              <w:t>沪深 300</w:t>
            </w:r>
          </w:p>
        </w:tc>
        <w:tc>
          <w:tcPr>
            <w:tcW w:type="dxa" w:w="3022"/>
          </w:tcPr>
          <w:p>
            <w:r>
              <w:t>HS300</w:t>
            </w:r>
          </w:p>
        </w:tc>
        <w:tc>
          <w:tcPr>
            <w:tcW w:type="dxa" w:w="3022"/>
          </w:tcPr>
          <w:p>
            <w:r>
              <w:t>沪深300 / HS300 / 300增强 / 300指数增强</w:t>
            </w:r>
          </w:p>
        </w:tc>
      </w:tr>
      <w:tr>
        <w:tc>
          <w:tcPr>
            <w:tcW w:type="dxa" w:w="3022"/>
          </w:tcPr>
          <w:p>
            <w:r>
              <w:t>中证 500</w:t>
            </w:r>
          </w:p>
        </w:tc>
        <w:tc>
          <w:tcPr>
            <w:tcW w:type="dxa" w:w="3022"/>
          </w:tcPr>
          <w:p>
            <w:r>
              <w:t>ZZ500</w:t>
            </w:r>
          </w:p>
        </w:tc>
        <w:tc>
          <w:tcPr>
            <w:tcW w:type="dxa" w:w="3022"/>
          </w:tcPr>
          <w:p>
            <w:r>
              <w:t>中证500 / ZZ500 / 500增强 / 500指数增强</w:t>
            </w:r>
          </w:p>
        </w:tc>
      </w:tr>
      <w:tr>
        <w:tc>
          <w:tcPr>
            <w:tcW w:type="dxa" w:w="3022"/>
          </w:tcPr>
          <w:p>
            <w:r>
              <w:t>中证 1000</w:t>
            </w:r>
          </w:p>
        </w:tc>
        <w:tc>
          <w:tcPr>
            <w:tcW w:type="dxa" w:w="3022"/>
          </w:tcPr>
          <w:p>
            <w:r>
              <w:t>ZZ1000</w:t>
            </w:r>
          </w:p>
        </w:tc>
        <w:tc>
          <w:tcPr>
            <w:tcW w:type="dxa" w:w="3022"/>
          </w:tcPr>
          <w:p>
            <w:r>
              <w:t>中证1000 / ZZ1000 / 1000增强 / 1000指数增强</w:t>
            </w:r>
          </w:p>
        </w:tc>
      </w:tr>
      <w:tr>
        <w:tc>
          <w:tcPr>
            <w:tcW w:type="dxa" w:w="3022"/>
          </w:tcPr>
          <w:p>
            <w:r>
              <w:t>中证全指</w:t>
            </w:r>
          </w:p>
        </w:tc>
        <w:tc>
          <w:tcPr>
            <w:tcW w:type="dxa" w:w="3022"/>
          </w:tcPr>
          <w:p>
            <w:r>
              <w:t>CSI_ALL</w:t>
            </w:r>
          </w:p>
        </w:tc>
        <w:tc>
          <w:tcPr>
            <w:tcW w:type="dxa" w:w="3022"/>
          </w:tcPr>
          <w:p>
            <w:r>
              <w:t>中证全指 / CSI_ALL / 全指增强</w:t>
            </w:r>
          </w:p>
        </w:tc>
      </w:tr>
    </w:tbl>
    <w:p/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(4) 增强关键词匹配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名称中含以下关键词之一的，标记为增强策略候选：「指数增强」「增强策略」「增强指数」「指数量化增强」「量化增强」「基本面增强」「指数增强发起式」。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经过粗筛后，候选基金进入下一层验证的条件包括三种情形：同时命中指数关键词与增强关键词（高置信度，后续可直接确认）；仅命中指数关键词（可能为普通被动指数基金，需通过 API 进一步验证）；仅命中增强关键词但未匹配到特定指数（需通过 API 确认其真实对标指数）。通过此层后，候选集由一万余只缩减至约 700 只。</w:t>
      </w:r>
    </w:p>
    <w:p>
      <w:pPr>
        <w:pStyle w:val="Heading2"/>
      </w:pPr>
      <w:r>
        <w:t>2.2  详情获取：API 元数据采集（第二层）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对粗筛得到的约 700 只候选基金，通过 AKShare 的 fund_individual_basic_info_xq 接口逐只获取详细信息。从返回的基本资料页面中提取以下关键字段：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获取字段</w:t>
            </w:r>
          </w:p>
        </w:tc>
        <w:tc>
          <w:tcPr>
            <w:tcW w:type="dxa" w:w="3022"/>
          </w:tcPr>
          <w:p>
            <w:r>
              <w:rPr>
                <w:b/>
              </w:rPr>
              <w:t>界面来源</w:t>
            </w:r>
          </w:p>
        </w:tc>
        <w:tc>
          <w:tcPr>
            <w:tcW w:type="dxa" w:w="3022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022"/>
          </w:tcPr>
          <w:p>
            <w:r>
              <w:t>业绩比较基准</w:t>
            </w:r>
          </w:p>
        </w:tc>
        <w:tc>
          <w:tcPr>
            <w:tcW w:type="dxa" w:w="3022"/>
          </w:tcPr>
          <w:p>
            <w:r>
              <w:t>基金详情页-基本资料</w:t>
            </w:r>
          </w:p>
        </w:tc>
        <w:tc>
          <w:tcPr>
            <w:tcW w:type="dxa" w:w="3022"/>
          </w:tcPr>
          <w:p>
            <w:r>
              <w:t>判断基金跟踪的指数及增强策略仓位比例</w:t>
            </w:r>
          </w:p>
        </w:tc>
      </w:tr>
      <w:tr>
        <w:tc>
          <w:tcPr>
            <w:tcW w:type="dxa" w:w="3022"/>
          </w:tcPr>
          <w:p>
            <w:r>
              <w:t>投资目标</w:t>
            </w:r>
          </w:p>
        </w:tc>
        <w:tc>
          <w:tcPr>
            <w:tcW w:type="dxa" w:w="3022"/>
          </w:tcPr>
          <w:p>
            <w:r>
              <w:t>基金详情页-投资目标</w:t>
            </w:r>
          </w:p>
        </w:tc>
        <w:tc>
          <w:tcPr>
            <w:tcW w:type="dxa" w:w="3022"/>
          </w:tcPr>
          <w:p>
            <w:r>
              <w:t>检测「超越指数」「增强收益」等策略描述信号</w:t>
            </w:r>
          </w:p>
        </w:tc>
      </w:tr>
      <w:tr>
        <w:tc>
          <w:tcPr>
            <w:tcW w:type="dxa" w:w="3022"/>
          </w:tcPr>
          <w:p>
            <w:r>
              <w:t>基金类型</w:t>
            </w:r>
          </w:p>
        </w:tc>
        <w:tc>
          <w:tcPr>
            <w:tcW w:type="dxa" w:w="3022"/>
          </w:tcPr>
          <w:p>
            <w:r>
              <w:t>基金详情页-基本资料</w:t>
            </w:r>
          </w:p>
        </w:tc>
        <w:tc>
          <w:tcPr>
            <w:tcW w:type="dxa" w:w="3022"/>
          </w:tcPr>
          <w:p>
            <w:r>
              <w:t>是否为证监会分类的「增强指数型」</w:t>
            </w:r>
          </w:p>
        </w:tc>
      </w:tr>
      <w:tr>
        <w:tc>
          <w:tcPr>
            <w:tcW w:type="dxa" w:w="3022"/>
          </w:tcPr>
          <w:p>
            <w:r>
              <w:t>成立日期</w:t>
            </w:r>
          </w:p>
        </w:tc>
        <w:tc>
          <w:tcPr>
            <w:tcW w:type="dxa" w:w="3022"/>
          </w:tcPr>
          <w:p>
            <w:r>
              <w:t>基金详情页-基本资料</w:t>
            </w:r>
          </w:p>
        </w:tc>
        <w:tc>
          <w:tcPr>
            <w:tcW w:type="dxa" w:w="3022"/>
          </w:tcPr>
          <w:p>
            <w:r>
              <w:t>用于判断是否满足一年以上评价期</w:t>
            </w:r>
          </w:p>
        </w:tc>
      </w:tr>
      <w:tr>
        <w:tc>
          <w:tcPr>
            <w:tcW w:type="dxa" w:w="3022"/>
          </w:tcPr>
          <w:p>
            <w:r>
              <w:t>基金公司 / 基金经理</w:t>
            </w:r>
          </w:p>
        </w:tc>
        <w:tc>
          <w:tcPr>
            <w:tcW w:type="dxa" w:w="3022"/>
          </w:tcPr>
          <w:p>
            <w:r>
              <w:t>基金详情页-基本资料</w:t>
            </w:r>
          </w:p>
        </w:tc>
        <w:tc>
          <w:tcPr>
            <w:tcW w:type="dxa" w:w="3022"/>
          </w:tcPr>
          <w:p>
            <w:r>
              <w:t>辅助信息，供后续研究参考</w:t>
            </w:r>
          </w:p>
        </w:tc>
      </w:tr>
    </w:tbl>
    <w:p/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API 调用采用本地缓存策略：每只基金获取到的详情数据写入 Parquet 文件（fund_detail_cache.parquet），键为基金代码。后续增量运行时，仅对缓存中不存在的基金发起 API 请求，已缓存的直接复用。每处理 100 只基金保存一次中间缓存，防止中途崩溃导致数据丢失。</w:t>
      </w:r>
    </w:p>
    <w:p>
      <w:pPr>
        <w:pStyle w:val="Heading2"/>
      </w:pPr>
      <w:r>
        <w:t>2.3  综合判定规则：三维交叉验证（第三层）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获取到基金详情后，系统对每只候选基金执行综合判定流程。核心思想是不依赖单一信息源，而是对业绩比较基准、投资目标、基金类型三个维度进行交叉验证，任一维度确认为增强策略即可通过。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维度一：指数归属判定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首先从名称中匹配指数关键词（优先级最高，名称的指标准确性最高）。若名称无法确定，则依次在业绩基准文本和投资目标文本中搜索指数名称关键词：</w:t>
      </w:r>
    </w:p>
    <w:p>
      <w:pPr>
        <w:spacing w:after="80" w:before="80"/>
        <w:ind w:left="567"/>
      </w:pPr>
      <w:r>
        <w:rPr>
          <w:rFonts w:ascii="Consolas" w:hAnsi="Consolas"/>
          <w:color w:val="333333"/>
          <w:sz w:val="18"/>
        </w:rPr>
        <w:t>指数归属判定优先级：</w:t>
        <w:br/>
        <w:br/>
        <w:t xml:space="preserve">  1. 名称匹配 INDEX_KEYWORDS（如名称中含「沪深300」）</w:t>
        <w:br/>
        <w:t xml:space="preserve">     -&gt; 直接确定，置信度最高</w:t>
        <w:br/>
        <w:br/>
        <w:t xml:space="preserve">  2. 业绩基准文本匹配 BENCHMARK_INDEX_MAP</w:t>
        <w:br/>
        <w:t xml:space="preserve">     映射: {沪深300: HS300, 中证500: ZZ500,</w:t>
        <w:br/>
        <w:t xml:space="preserve">            中证1000: ZZ1000, 中证全指: CSI_ALL}</w:t>
        <w:br/>
        <w:t xml:space="preserve">     示例: 基准 = 「沪深300指数收益率x95%+活期存款利率x5%」</w:t>
        <w:br/>
        <w:t xml:space="preserve">     -&gt; 匹配「沪深300」-&gt; 归类为 HS300</w:t>
        <w:br/>
        <w:br/>
        <w:t xml:space="preserve">  3. 兜底规则: 基准/目标含「300」且含「指数」-&gt; HS300</w:t>
        <w:br/>
        <w:t xml:space="preserve">     基准/目标含「中证500」-&gt; ZZ500</w:t>
        <w:br/>
        <w:t xml:space="preserve">     基准/目标含「中证1000」-&gt; ZZ1000</w:t>
        <w:br/>
        <w:t xml:space="preserve">     基准/目标含「中证全指」或「全指」-&gt; CSI_ALL</w:t>
        <w:br/>
        <w:br/>
        <w:t xml:space="preserve">  4. 以上均不满足 -&gt; 非目标指数，排除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维度二：增强策略判定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确定指数归属后，以三级优先级判定是否为真正的指数增强策略：</w:t>
      </w:r>
    </w:p>
    <w:p>
      <w:pPr>
        <w:spacing w:after="80" w:before="80"/>
        <w:ind w:left="567"/>
      </w:pPr>
      <w:r>
        <w:rPr>
          <w:rFonts w:ascii="Consolas" w:hAnsi="Consolas"/>
          <w:color w:val="333333"/>
          <w:sz w:val="18"/>
        </w:rPr>
        <w:t>优先级 1（最高）: 基金类型字段</w:t>
        <w:br/>
        <w:t xml:space="preserve">  若 fund_type == 「增强指数型」-&gt; 直接确认（证监会分类，置信度最高）</w:t>
        <w:br/>
        <w:br/>
        <w:t>优先级 2: 名称关键词</w:t>
        <w:br/>
        <w:t xml:space="preserve">  若名称含 ENHANCE_KEYWORDS 中任一关键词 -&gt; 确认为增强策略</w:t>
        <w:br/>
        <w:t xml:space="preserve">  关键词: 指数增强, 增强策略, 增强指数, 指数量化增强, 量化增强, 基本面增强</w:t>
        <w:br/>
        <w:br/>
        <w:t>优先级 3: 投资目标文本</w:t>
        <w:br/>
        <w:t xml:space="preserve">  若 investment_objective 含 ENHANCE_OBJECTIVE_KEYWORDS 中任一信号词</w:t>
        <w:br/>
        <w:t xml:space="preserve">  信号词: 超越指数, 增强收益, 超额收益, 跑赢指数, 战胜指数</w:t>
        <w:br/>
        <w:t xml:space="preserve">  -&gt; 确认为增强策略</w:t>
        <w:br/>
        <w:br/>
        <w:t>以上三级均不满足 -&gt; 判定为非增强基金，排除</w:t>
      </w:r>
    </w:p>
    <w:p>
      <w:pPr>
        <w:pStyle w:val="Heading2"/>
      </w:pPr>
      <w:r>
        <w:t>2.4  特殊情形处理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情形一：ETF 联接但含增强。如「沪深 300 增强策略 ETF 发起式联接 A」，名称同时包含排除关键词和增强关键词。排除规则采用双重判断：先检查是否含排除词，若是，再检查是否同时含增强词 -- 若同时含增强则保留。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情形二：API 调用失败但名称高置信度。若名称同时精准匹配指数+增强关键词，但 API 调用全部失败，该基金按降级策略直接纳入最终池（标记来源为 api_failed_name_confirm），而非静默丢弃。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情形三：业绩基准文本多样性。不同基金基准表述差异大，如「沪深300指数收益率x95%+银行活期存款利率x5%」「中证500指数收益率x90%+中证综合债指数收益率x10%」。系统使用子串匹配而非全等匹配，辅以兜底规则覆盖表述简略的基金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情形四：白名单与黑名单。白名单（manual_include.csv）用于补入规则遗漏的增强基金，黑名单（manual_exclude.csv）用于剔除规则误纳的基金。两者冲突时黑名单优先。</w:t>
      </w:r>
    </w:p>
    <w:p>
      <w:r>
        <w:br w:type="page"/>
      </w:r>
    </w:p>
    <w:p>
      <w:pPr>
        <w:pStyle w:val="Heading1"/>
      </w:pPr>
      <w:r>
        <w:t>三、数据计算：公式与方法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本章详细阐述系统中各项核心指标的计算公式、数据口径选择及实现方法。所有计算均参照金融工程的标准方法，并针对 A 股公募基金的数据特征做了适应性调整。</w:t>
      </w:r>
    </w:p>
    <w:p>
      <w:pPr>
        <w:pStyle w:val="Heading2"/>
      </w:pPr>
      <w:r>
        <w:t>3.1  区间涨跌幅计算</w:t>
      </w:r>
    </w:p>
    <w:p>
      <w:pPr>
        <w:pStyle w:val="Heading3"/>
      </w:pPr>
      <w:r>
        <w:t>3.1.1  净值类型选择策略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基金净值存在两种口径，其适用场景有本质区别：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单位净值（Unit NAV）：每份基金份额的当日市场价格。基金分红除权日，单位净值会相应下调，但持有人实际收到现金分红，总持仓价值未减少。因此单位净值曲线在分红日会出现人为的「断崖」。适用于短期（日/周）的收益计算，与支付宝、天天基金等 App 的展示口径一致。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复权净值（Adjusted NAV / 累计净值）：将基金成立以来所有历史分红按再投资方式复权回加后的净值。消除了分红拆分对净值曲线的干扰，反映真实的持有期总回报。适用于月度及以上的中长期收益计算。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两种净值在日频和周频尺度上的差异极小（日差异通常 &lt; 0.01%），可忽略不计；但在一年以上的时间跨度上，分红再投资的复利效应将造成显著偏差（可能超过 1-2%）。因此系统采用如下区分策略：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时间维度</w:t>
            </w:r>
          </w:p>
        </w:tc>
        <w:tc>
          <w:tcPr>
            <w:tcW w:type="dxa" w:w="3022"/>
          </w:tcPr>
          <w:p>
            <w:r>
              <w:rPr>
                <w:b/>
              </w:rPr>
              <w:t>使用净值类型</w:t>
            </w:r>
          </w:p>
        </w:tc>
        <w:tc>
          <w:tcPr>
            <w:tcW w:type="dxa" w:w="3022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3022"/>
          </w:tcPr>
          <w:p>
            <w:r>
              <w:t>日涨跌、周涨跌</w:t>
            </w:r>
          </w:p>
        </w:tc>
        <w:tc>
          <w:tcPr>
            <w:tcW w:type="dxa" w:w="3022"/>
          </w:tcPr>
          <w:p>
            <w:r>
              <w:t>单位净值（unit_nav）</w:t>
            </w:r>
          </w:p>
        </w:tc>
        <w:tc>
          <w:tcPr>
            <w:tcW w:type="dxa" w:w="3022"/>
          </w:tcPr>
          <w:p>
            <w:r>
              <w:t>短期分红影响可忽略，与 App 口径一致</w:t>
            </w:r>
          </w:p>
        </w:tc>
      </w:tr>
      <w:tr>
        <w:tc>
          <w:tcPr>
            <w:tcW w:type="dxa" w:w="3022"/>
          </w:tcPr>
          <w:p>
            <w:r>
              <w:t>1 月 / 3 月 / 6 月涨跌</w:t>
            </w:r>
          </w:p>
        </w:tc>
        <w:tc>
          <w:tcPr>
            <w:tcW w:type="dxa" w:w="3022"/>
          </w:tcPr>
          <w:p>
            <w:r>
              <w:t>复权净值（adj_nav）</w:t>
            </w:r>
          </w:p>
        </w:tc>
        <w:tc>
          <w:tcPr>
            <w:tcW w:type="dxa" w:w="3022"/>
          </w:tcPr>
          <w:p>
            <w:r>
              <w:t>月度以上，分红复利效应须计入</w:t>
            </w:r>
          </w:p>
        </w:tc>
      </w:tr>
      <w:tr>
        <w:tc>
          <w:tcPr>
            <w:tcW w:type="dxa" w:w="3022"/>
          </w:tcPr>
          <w:p>
            <w:r>
              <w:t>YTD（今年以来）</w:t>
            </w:r>
          </w:p>
        </w:tc>
        <w:tc>
          <w:tcPr>
            <w:tcW w:type="dxa" w:w="3022"/>
          </w:tcPr>
          <w:p>
            <w:r>
              <w:t>复权净值（adj_nav）</w:t>
            </w:r>
          </w:p>
        </w:tc>
        <w:tc>
          <w:tcPr>
            <w:tcW w:type="dxa" w:w="3022"/>
          </w:tcPr>
          <w:p>
            <w:r>
              <w:t>跨多个月，分红影响显著</w:t>
            </w:r>
          </w:p>
        </w:tc>
      </w:tr>
      <w:tr>
        <w:tc>
          <w:tcPr>
            <w:tcW w:type="dxa" w:w="3022"/>
          </w:tcPr>
          <w:p>
            <w:r>
              <w:t>1 年 / 3 年 / 5 年 / 成立以来</w:t>
            </w:r>
          </w:p>
        </w:tc>
        <w:tc>
          <w:tcPr>
            <w:tcW w:type="dxa" w:w="3022"/>
          </w:tcPr>
          <w:p>
            <w:r>
              <w:t>复权净值（adj_nav）</w:t>
            </w:r>
          </w:p>
        </w:tc>
        <w:tc>
          <w:tcPr>
            <w:tcW w:type="dxa" w:w="3022"/>
          </w:tcPr>
          <w:p>
            <w:r>
              <w:t>中长期必须使用复权口径</w:t>
            </w:r>
          </w:p>
        </w:tc>
      </w:tr>
    </w:tbl>
    <w:p/>
    <w:p>
      <w:pPr>
        <w:pStyle w:val="Heading3"/>
      </w:pPr>
      <w:r>
        <w:t>3.1.2  涨跌幅通用公式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所有区间的涨跌幅计算统一采用持有期收益率公式：</w:t>
      </w:r>
    </w:p>
    <w:p>
      <w:pPr>
        <w:spacing w:after="80" w:before="80"/>
        <w:ind w:left="567"/>
      </w:pPr>
      <w:r>
        <w:rPr>
          <w:rFonts w:ascii="Consolas" w:hAnsi="Consolas"/>
          <w:color w:val="333333"/>
          <w:sz w:val="18"/>
        </w:rPr>
        <w:t xml:space="preserve">                    P_end</w:t>
        <w:br/>
        <w:t xml:space="preserve">    Return  =  -------------  -  1</w:t>
        <w:br/>
        <w:t xml:space="preserve">                  P_start</w:t>
        <w:br/>
        <w:br/>
        <w:t>其中:</w:t>
        <w:br/>
        <w:t xml:space="preserve">    P_end   = 最新交易日净值（日/周取 unit_nav，余取 adj_nav）</w:t>
        <w:br/>
        <w:t xml:space="preserve">    P_start = 区间起始日最近交易日净值（起始日非交易日则向前查找）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各区间起始日期的确定方式：</w:t>
      </w:r>
    </w:p>
    <w:p>
      <w:pPr>
        <w:spacing w:after="80" w:before="80"/>
        <w:ind w:left="567"/>
      </w:pPr>
      <w:r>
        <w:rPr>
          <w:rFonts w:ascii="Consolas" w:hAnsi="Consolas"/>
          <w:color w:val="333333"/>
          <w:sz w:val="18"/>
        </w:rPr>
        <w:t>日涨跌     -&gt; start = 最新日期前一个交易日</w:t>
        <w:br/>
        <w:t>周涨跌     -&gt; start = latest_date - 7 个自然日</w:t>
        <w:br/>
        <w:t>月涨跌     -&gt; start = subtract_months(latest_date, n)</w:t>
        <w:br/>
        <w:t xml:space="preserve">              n in {1, 3, 6}（自然月回推，月末自动截断）</w:t>
        <w:br/>
        <w:t>YTD        -&gt; start = 当年 1 月 1 日</w:t>
        <w:br/>
        <w:t>N 年涨跌   -&gt; start = subtract_months(latest_date, n*12)</w:t>
        <w:br/>
        <w:t xml:space="preserve">              n in {1, 3, 5}</w:t>
        <w:br/>
        <w:t>成立以来    -&gt; start = 基金历史上首个 adj_nav 非空的交易日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最近交易日查找使用 NumPy 的 searchsorted 二分搜索，时间复杂度 O(log n)：</w:t>
      </w:r>
    </w:p>
    <w:p>
      <w:pPr>
        <w:spacing w:after="80" w:before="80"/>
        <w:ind w:left="567"/>
      </w:pPr>
      <w:r>
        <w:rPr>
          <w:rFonts w:ascii="Consolas" w:hAnsi="Consolas"/>
          <w:color w:val="333333"/>
          <w:sz w:val="18"/>
        </w:rPr>
        <w:t>def _find_nearest_trading_day(dates, target):</w:t>
        <w:br/>
        <w:t xml:space="preserve">    pos = np.searchsorted(dates.values, target, side='right') - 1</w:t>
        <w:br/>
        <w:t xml:space="preserve">    if pos &lt; 0:</w:t>
        <w:br/>
        <w:t xml:space="preserve">        return None</w:t>
        <w:br/>
        <w:t xml:space="preserve">    return dates.iloc[pos]</w:t>
      </w:r>
    </w:p>
    <w:p>
      <w:pPr>
        <w:pStyle w:val="Heading2"/>
      </w:pPr>
      <w:r>
        <w:t>3.2  超额收益与纯 Alpha 计算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超额收益（Excess Return）定义为基金区间收益减去对标指数同期收益。但在实际计算中存在一个关键的结构性问题需要专门处理：基金的复权净值已包含所有分红的再投资收益，而可获取的指数行情数据（如沪深 300 价格指数 sh000300）为价格指数（Price Index），不含成分股的分红收益。若直接将两者做差，得到的所谓「超额」实际上包含了两部分贡献：基金经理的主动管理带来的真正超额，以及指数成分股自然分红产生的收益（年化约 1-3%，因指数而异）。本系统通过引入股息率修正，将后者从总超额中剥离，得到纯增强 Alpha。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步骤一：计算总超额（Excess，含分红贡献）</w:t>
      </w:r>
    </w:p>
    <w:p>
      <w:pPr>
        <w:spacing w:after="80" w:before="80"/>
        <w:ind w:left="567"/>
      </w:pPr>
      <w:r>
        <w:rPr>
          <w:rFonts w:ascii="Consolas" w:hAnsi="Consolas"/>
          <w:color w:val="333333"/>
          <w:sz w:val="18"/>
        </w:rPr>
        <w:t xml:space="preserve">    Excess(i, t) = R_fund(i, t) - R_index(benchmark_i, t)</w:t>
        <w:br/>
        <w:br/>
        <w:t>其中:</w:t>
        <w:br/>
        <w:t xml:space="preserve">    i            = 基金代码</w:t>
        <w:br/>
        <w:t xml:space="preserve">    t            = 时间区间（日/周/月/季/年等）</w:t>
        <w:br/>
        <w:t xml:space="preserve">    benchmark_i  = 基金 i 的对标指数</w:t>
        <w:br/>
        <w:t xml:space="preserve">    R_fund       = 基金在该区间的涨跌幅（复权净值口径）</w:t>
        <w:br/>
        <w:t xml:space="preserve">    R_index      = 指数在该区间的涨跌幅（价格指数口径）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步骤二：计算纯增强 Alpha（扣除分红贡献后）</w:t>
      </w:r>
    </w:p>
    <w:p>
      <w:pPr>
        <w:spacing w:after="80" w:before="80"/>
        <w:ind w:left="567"/>
      </w:pPr>
      <w:r>
        <w:rPr>
          <w:rFonts w:ascii="Consolas" w:hAnsi="Consolas"/>
          <w:color w:val="333333"/>
          <w:sz w:val="18"/>
        </w:rPr>
        <w:t xml:space="preserve">    Alpha(i, t) = Excess(i, t) - [(1 + dy)^years - 1]</w:t>
        <w:br/>
        <w:br/>
        <w:t>其中:</w:t>
        <w:br/>
        <w:t xml:space="preserve">    dy    = 指数最新股息率（小数，如 0.025 表示 2.5%）</w:t>
        <w:br/>
        <w:t xml:space="preserve">    years = 区间的年化时长（见 3.3 节）</w:t>
        <w:br/>
        <w:br/>
        <w:t>注意: 股息修正使用复利公式 (1+dy)^years - 1，而非线性近似 dy * years。</w:t>
        <w:br/>
        <w:t xml:space="preserve">      对于 5 年期区间，若股息率为 2.5%，复利修正 = (1.025)^5 - 1 = 13.1%，</w:t>
        <w:br/>
        <w:t xml:space="preserve">      线性近似 = 2.5% * 5 = 12.5%，两者差异达 0.6 个百分点，不可忽略。</w:t>
      </w:r>
    </w:p>
    <w:p>
      <w:pPr>
        <w:pStyle w:val="Heading2"/>
      </w:pPr>
      <w:r>
        <w:t>3.3  股息率修正的详细方法</w:t>
      </w:r>
    </w:p>
    <w:p>
      <w:pPr>
        <w:pStyle w:val="Heading3"/>
      </w:pPr>
      <w:r>
        <w:t>3.3.1  各区间对应的年化时长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区间</w:t>
            </w:r>
          </w:p>
        </w:tc>
        <w:tc>
          <w:tcPr>
            <w:tcW w:type="dxa" w:w="3022"/>
          </w:tcPr>
          <w:p>
            <w:r>
              <w:rPr>
                <w:b/>
              </w:rPr>
              <w:t>years 取值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t>日涨跌</w:t>
            </w:r>
          </w:p>
        </w:tc>
        <w:tc>
          <w:tcPr>
            <w:tcW w:type="dxa" w:w="3022"/>
          </w:tcPr>
          <w:p>
            <w:r>
              <w:t>1/252 ~= 0.004</w:t>
            </w:r>
          </w:p>
        </w:tc>
        <w:tc>
          <w:tcPr>
            <w:tcW w:type="dxa" w:w="3022"/>
          </w:tcPr>
          <w:p>
            <w:r>
              <w:t>约 1 个交易日，修正 ~= 0，实际不做修正</w:t>
            </w:r>
          </w:p>
        </w:tc>
      </w:tr>
      <w:tr>
        <w:tc>
          <w:tcPr>
            <w:tcW w:type="dxa" w:w="3022"/>
          </w:tcPr>
          <w:p>
            <w:r>
              <w:t>周涨跌</w:t>
            </w:r>
          </w:p>
        </w:tc>
        <w:tc>
          <w:tcPr>
            <w:tcW w:type="dxa" w:w="3022"/>
          </w:tcPr>
          <w:p>
            <w:r>
              <w:t>5/252 ~= 0.020</w:t>
            </w:r>
          </w:p>
        </w:tc>
        <w:tc>
          <w:tcPr>
            <w:tcW w:type="dxa" w:w="3022"/>
          </w:tcPr>
          <w:p>
            <w:r>
              <w:t>约 5 个交易日，修正 ~= 0，实际不做修正</w:t>
            </w:r>
          </w:p>
        </w:tc>
      </w:tr>
      <w:tr>
        <w:tc>
          <w:tcPr>
            <w:tcW w:type="dxa" w:w="3022"/>
          </w:tcPr>
          <w:p>
            <w:r>
              <w:t>1 月涨跌</w:t>
            </w:r>
          </w:p>
        </w:tc>
        <w:tc>
          <w:tcPr>
            <w:tcW w:type="dxa" w:w="3022"/>
          </w:tcPr>
          <w:p>
            <w:r>
              <w:t>1/12 ~= 0.083</w:t>
            </w:r>
          </w:p>
        </w:tc>
        <w:tc>
          <w:tcPr>
            <w:tcW w:type="dxa" w:w="3022"/>
          </w:tcPr>
          <w:p>
            <w:r>
              <w:t>约 1 个月</w:t>
            </w:r>
          </w:p>
        </w:tc>
      </w:tr>
      <w:tr>
        <w:tc>
          <w:tcPr>
            <w:tcW w:type="dxa" w:w="3022"/>
          </w:tcPr>
          <w:p>
            <w:r>
              <w:t>3 月涨跌</w:t>
            </w:r>
          </w:p>
        </w:tc>
        <w:tc>
          <w:tcPr>
            <w:tcW w:type="dxa" w:w="3022"/>
          </w:tcPr>
          <w:p>
            <w:r>
              <w:t>3/12 = 0.250</w:t>
            </w:r>
          </w:p>
        </w:tc>
        <w:tc>
          <w:tcPr>
            <w:tcW w:type="dxa" w:w="3022"/>
          </w:tcPr>
          <w:p>
            <w:r>
              <w:t>约 3 个月</w:t>
            </w:r>
          </w:p>
        </w:tc>
      </w:tr>
      <w:tr>
        <w:tc>
          <w:tcPr>
            <w:tcW w:type="dxa" w:w="3022"/>
          </w:tcPr>
          <w:p>
            <w:r>
              <w:t>6 月涨跌</w:t>
            </w:r>
          </w:p>
        </w:tc>
        <w:tc>
          <w:tcPr>
            <w:tcW w:type="dxa" w:w="3022"/>
          </w:tcPr>
          <w:p>
            <w:r>
              <w:t>6/12 = 0.500</w:t>
            </w:r>
          </w:p>
        </w:tc>
        <w:tc>
          <w:tcPr>
            <w:tcW w:type="dxa" w:w="3022"/>
          </w:tcPr>
          <w:p>
            <w:r>
              <w:t>约 6 个月</w:t>
            </w:r>
          </w:p>
        </w:tc>
      </w:tr>
      <w:tr>
        <w:tc>
          <w:tcPr>
            <w:tcW w:type="dxa" w:w="3022"/>
          </w:tcPr>
          <w:p>
            <w:r>
              <w:t>1 年涨跌</w:t>
            </w:r>
          </w:p>
        </w:tc>
        <w:tc>
          <w:tcPr>
            <w:tcW w:type="dxa" w:w="3022"/>
          </w:tcPr>
          <w:p>
            <w:r>
              <w:t>1.0</w:t>
            </w:r>
          </w:p>
        </w:tc>
        <w:tc>
          <w:tcPr>
            <w:tcW w:type="dxa" w:w="3022"/>
          </w:tcPr>
          <w:p>
            <w:r>
              <w:t>整年</w:t>
            </w:r>
          </w:p>
        </w:tc>
      </w:tr>
      <w:tr>
        <w:tc>
          <w:tcPr>
            <w:tcW w:type="dxa" w:w="3022"/>
          </w:tcPr>
          <w:p>
            <w:r>
              <w:t>3 年涨跌</w:t>
            </w:r>
          </w:p>
        </w:tc>
        <w:tc>
          <w:tcPr>
            <w:tcW w:type="dxa" w:w="3022"/>
          </w:tcPr>
          <w:p>
            <w:r>
              <w:t>3.0</w:t>
            </w:r>
          </w:p>
        </w:tc>
        <w:tc>
          <w:tcPr>
            <w:tcW w:type="dxa" w:w="3022"/>
          </w:tcPr>
          <w:p>
            <w:r>
              <w:t>整 3 年</w:t>
            </w:r>
          </w:p>
        </w:tc>
      </w:tr>
      <w:tr>
        <w:tc>
          <w:tcPr>
            <w:tcW w:type="dxa" w:w="3022"/>
          </w:tcPr>
          <w:p>
            <w:r>
              <w:t>5 年涨跌</w:t>
            </w:r>
          </w:p>
        </w:tc>
        <w:tc>
          <w:tcPr>
            <w:tcW w:type="dxa" w:w="3022"/>
          </w:tcPr>
          <w:p>
            <w:r>
              <w:t>5.0</w:t>
            </w:r>
          </w:p>
        </w:tc>
        <w:tc>
          <w:tcPr>
            <w:tcW w:type="dxa" w:w="3022"/>
          </w:tcPr>
          <w:p>
            <w:r>
              <w:t>整 5 年</w:t>
            </w:r>
          </w:p>
        </w:tc>
      </w:tr>
      <w:tr>
        <w:tc>
          <w:tcPr>
            <w:tcW w:type="dxa" w:w="3022"/>
          </w:tcPr>
          <w:p>
            <w:r>
              <w:t>YTD</w:t>
            </w:r>
          </w:p>
        </w:tc>
        <w:tc>
          <w:tcPr>
            <w:tcW w:type="dxa" w:w="3022"/>
          </w:tcPr>
          <w:p>
            <w:r>
              <w:t>已过天数 / 全年天数</w:t>
            </w:r>
          </w:p>
        </w:tc>
        <w:tc>
          <w:tcPr>
            <w:tcW w:type="dxa" w:w="3022"/>
          </w:tcPr>
          <w:p>
            <w:r>
              <w:t>动态计算，如 7 月 15 日 ~= 0.54 年</w:t>
            </w:r>
          </w:p>
        </w:tc>
      </w:tr>
    </w:tbl>
    <w:p/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对于日频和周频区间（years &lt; 0.02），股息修正项数值近似为零，对此不做修正，直接以总超额作为 Alpha。这在金融工程上是合理的简化。</w:t>
      </w:r>
    </w:p>
    <w:p>
      <w:pPr>
        <w:pStyle w:val="Heading3"/>
      </w:pPr>
      <w:r>
        <w:t>3.3.2  股息率数据来源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股息率数据通过中证指数公司官方接口（AKShare 的 stock_zh_index_value_csindex）获取，取「股息率 1」字段（静态股息率）参与计算。数据每日缓存至本地（dividend_yield.parquet），当天有效。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指数</w:t>
            </w:r>
          </w:p>
        </w:tc>
        <w:tc>
          <w:tcPr>
            <w:tcW w:type="dxa" w:w="3022"/>
          </w:tcPr>
          <w:p>
            <w:r>
              <w:rPr>
                <w:b/>
              </w:rPr>
              <w:t>中证指数公司代码</w:t>
            </w:r>
          </w:p>
        </w:tc>
        <w:tc>
          <w:tcPr>
            <w:tcW w:type="dxa" w:w="3022"/>
          </w:tcPr>
          <w:p>
            <w:r>
              <w:rPr>
                <w:b/>
              </w:rPr>
              <w:t>AKShare 行情代码</w:t>
            </w:r>
          </w:p>
        </w:tc>
      </w:tr>
      <w:tr>
        <w:tc>
          <w:tcPr>
            <w:tcW w:type="dxa" w:w="3022"/>
          </w:tcPr>
          <w:p>
            <w:r>
              <w:t>沪深 300</w:t>
            </w:r>
          </w:p>
        </w:tc>
        <w:tc>
          <w:tcPr>
            <w:tcW w:type="dxa" w:w="3022"/>
          </w:tcPr>
          <w:p>
            <w:r>
              <w:t>000300</w:t>
            </w:r>
          </w:p>
        </w:tc>
        <w:tc>
          <w:tcPr>
            <w:tcW w:type="dxa" w:w="3022"/>
          </w:tcPr>
          <w:p>
            <w:r>
              <w:t>sh000300</w:t>
            </w:r>
          </w:p>
        </w:tc>
      </w:tr>
      <w:tr>
        <w:tc>
          <w:tcPr>
            <w:tcW w:type="dxa" w:w="3022"/>
          </w:tcPr>
          <w:p>
            <w:r>
              <w:t>中证 500</w:t>
            </w:r>
          </w:p>
        </w:tc>
        <w:tc>
          <w:tcPr>
            <w:tcW w:type="dxa" w:w="3022"/>
          </w:tcPr>
          <w:p>
            <w:r>
              <w:t>000905</w:t>
            </w:r>
          </w:p>
        </w:tc>
        <w:tc>
          <w:tcPr>
            <w:tcW w:type="dxa" w:w="3022"/>
          </w:tcPr>
          <w:p>
            <w:r>
              <w:t>sh000905</w:t>
            </w:r>
          </w:p>
        </w:tc>
      </w:tr>
      <w:tr>
        <w:tc>
          <w:tcPr>
            <w:tcW w:type="dxa" w:w="3022"/>
          </w:tcPr>
          <w:p>
            <w:r>
              <w:t>中证 1000</w:t>
            </w:r>
          </w:p>
        </w:tc>
        <w:tc>
          <w:tcPr>
            <w:tcW w:type="dxa" w:w="3022"/>
          </w:tcPr>
          <w:p>
            <w:r>
              <w:t>000852</w:t>
            </w:r>
          </w:p>
        </w:tc>
        <w:tc>
          <w:tcPr>
            <w:tcW w:type="dxa" w:w="3022"/>
          </w:tcPr>
          <w:p>
            <w:r>
              <w:t>sh000852</w:t>
            </w:r>
          </w:p>
        </w:tc>
      </w:tr>
      <w:tr>
        <w:tc>
          <w:tcPr>
            <w:tcW w:type="dxa" w:w="3022"/>
          </w:tcPr>
          <w:p>
            <w:r>
              <w:t>中证全指</w:t>
            </w:r>
          </w:p>
        </w:tc>
        <w:tc>
          <w:tcPr>
            <w:tcW w:type="dxa" w:w="3022"/>
          </w:tcPr>
          <w:p>
            <w:r>
              <w:t>000985</w:t>
            </w:r>
          </w:p>
        </w:tc>
        <w:tc>
          <w:tcPr>
            <w:tcW w:type="dxa" w:w="3022"/>
          </w:tcPr>
          <w:p>
            <w:r>
              <w:t>sz000985</w:t>
            </w:r>
          </w:p>
        </w:tc>
      </w:tr>
    </w:tbl>
    <w:p/>
    <w:p>
      <w:pPr>
        <w:pStyle w:val="Heading2"/>
      </w:pPr>
      <w:r>
        <w:t>3.4  最大回撤计算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最大回撤（Maximum Drawdown, MDD）衡量在历史观察期内，从净值最高点到随后最低点之间的最大累计损失幅度，是衡量基金下行风险的核心指标，也是 Profile 分类（稳定增强型 vs 高弹性增强型）的关键判别因素。</w:t>
      </w:r>
    </w:p>
    <w:p>
      <w:pPr>
        <w:spacing w:after="80" w:before="80"/>
        <w:ind w:left="567"/>
      </w:pPr>
      <w:r>
        <w:rPr>
          <w:rFonts w:ascii="Consolas" w:hAnsi="Consolas"/>
          <w:color w:val="333333"/>
          <w:sz w:val="18"/>
        </w:rPr>
        <w:t>算法（基于全量 adj_nav 序列，向量化计算 O(n)）:</w:t>
        <w:br/>
        <w:br/>
        <w:t xml:space="preserve">    peak     = adj_nav.expanding().max()   # 各时点前的历史最高净值</w:t>
        <w:br/>
        <w:t xml:space="preserve">    drawdown = adj_nav / peak - 1          # 各时点的回撤率（&lt;= 0）</w:t>
        <w:br/>
        <w:t xml:space="preserve">    MDD      = drawdown.min()              # 取最小值 = 最大回撤幅度</w:t>
        <w:br/>
        <w:br/>
        <w:t>返回示例: -0.153 表示历史最大回撤为 15.3%。</w:t>
        <w:br/>
        <w:t>若净值数据不足 2 条，返回 None。</w:t>
      </w:r>
    </w:p>
    <w:p>
      <w:pPr>
        <w:pStyle w:val="Heading2"/>
      </w:pPr>
      <w:r>
        <w:t>3.5  同类排名与百分位</w:t>
      </w:r>
    </w:p>
    <w:p>
      <w:pPr>
        <w:pStyle w:val="Heading3"/>
      </w:pPr>
      <w:r>
        <w:t>3.5.1  排名方法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排名分析按基金的 benchmark_index 进行分组，同一对标指数的基金之间相互比较。共对以下五个指标进行组内排名：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一年超额收益（year_1_alpha） -- 核心评价指标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六月超额收益（month_6_alpha） -- 中期能力参考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一月超额收益（month_1_alpha） -- 近期表现参考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一年绝对收益（year_1_change） -- 绝对回报水平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最大回撤（max_drawdown） -- 下行风险水平</w:t>
      </w:r>
    </w:p>
    <w:p>
      <w:pPr>
        <w:spacing w:after="80" w:before="80"/>
        <w:ind w:left="567"/>
      </w:pPr>
      <w:r>
        <w:rPr>
          <w:rFonts w:ascii="Consolas" w:hAnsi="Consolas"/>
          <w:color w:val="333333"/>
          <w:sz w:val="18"/>
        </w:rPr>
        <w:t>对每个 benchmark 分组 group:</w:t>
        <w:br/>
        <w:br/>
        <w:t xml:space="preserve">    n = group[col].notna().sum()</w:t>
        <w:br/>
        <w:t xml:space="preserve">    ranks = group[col].rank(ascending=True, method='min')</w:t>
        <w:br/>
        <w:t xml:space="preserve">    percentile = ranks / n * 100          # 百分位 (1~100)</w:t>
        <w:br/>
        <w:br/>
        <w:t>超额/收益: ascending=True  -&gt; 值越大 rank 越小（越靠前）</w:t>
        <w:br/>
        <w:t>最大回撤:   ascending=True  -&gt; 回撤值越小(负得多) rank 越小</w:t>
      </w:r>
    </w:p>
    <w:p>
      <w:pPr>
        <w:pStyle w:val="Heading3"/>
      </w:pPr>
      <w:r>
        <w:t>3.5.2  小样本回退策略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不同指数的增强基金数量分布极不均衡。沪深 300 增强基金数量过百，百分位排名的统计意义充分；但中证全指增强基金可能仅有十余只，此时排名第 2 名（前 18%）与第 3 名（前 27%）的差异完全可能由数据波动造成，缺乏统计稳定性。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系统采用双轨策略：当同类样本数 &gt;= 阈值（默认 20 只）时使用百分位排名判定；当低于阈值时自动切换为绝对阈值模式。参数均可配置：</w:t>
      </w:r>
    </w:p>
    <w:p>
      <w:pPr>
        <w:spacing w:after="80" w:before="80"/>
        <w:ind w:left="567"/>
      </w:pPr>
      <w:r>
        <w:rPr>
          <w:rFonts w:ascii="Consolas" w:hAnsi="Consolas"/>
          <w:color w:val="333333"/>
          <w:sz w:val="18"/>
        </w:rPr>
        <w:t># config.py 中的排名相关参数</w:t>
        <w:br/>
        <w:t>MIN_SAMPLE_PERCENTILE = 20       # 样本 &lt; 20 -&gt; 切换绝对阈值</w:t>
        <w:br/>
        <w:t>TOP_EXCELLENT = 0.10             # 大样本: 超额前 10% -&gt; 突出</w:t>
        <w:br/>
        <w:t>TOP_GOOD      = 0.30             # 大样本: 超额前 30% -&gt; 居前</w:t>
        <w:br/>
        <w:t>BOTTOM_WEAK   = 0.30             # 大样本: 超额后 30% -&gt; 落后</w:t>
        <w:br/>
        <w:br/>
        <w:t>ALPHA_EXCELLENT_ABS = 0.030      # 小样本: 一年超额 &gt; 3% -&gt; 突出</w:t>
        <w:br/>
        <w:t>ALPHA_GOOD_ABS      = 0.010      # 小样本: 一年超额 &gt; 1% -&gt; 居前</w:t>
        <w:br/>
        <w:t>ALPHA_WEAK_ABS      = -0.005     # 小样本: 一年超额 &lt; -0.5% -&gt; 偏弱</w:t>
      </w:r>
    </w:p>
    <w:p>
      <w:pPr>
        <w:pStyle w:val="Heading2"/>
      </w:pPr>
      <w:r>
        <w:t>3.6  多周期 Alpha 持续性判断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单一时点的 Alpha 数值具有较大的偶然性。基金在特定市场风格下表现突出，并不意味着能力可以持续。为识别真正具备稳定 Alpha 创造能力的基金，系统选取一年、六月、一月三个时间维度的 Alpha 进行交叉验证。</w:t>
      </w:r>
    </w:p>
    <w:p>
      <w:pPr>
        <w:spacing w:after="80" w:before="80"/>
        <w:ind w:left="567"/>
      </w:pPr>
      <w:r>
        <w:rPr>
          <w:rFonts w:ascii="Consolas" w:hAnsi="Consolas"/>
          <w:color w:val="333333"/>
          <w:sz w:val="18"/>
        </w:rPr>
        <w:t>设 a1=year_1_alpha, a6=month_6_alpha, a1m=month_1_alpha, e=0.005</w:t>
        <w:br/>
        <w:br/>
        <w:t>判断规则:</w:t>
        <w:br/>
        <w:br/>
        <w:t>1. 持续跑赢: a1&gt;0 AND a6&gt;0 AND a1m&gt;0</w:t>
        <w:br/>
        <w:t xml:space="preserve">   -&gt; 触发「持续跑赢」标签</w:t>
        <w:br/>
        <w:br/>
        <w:t>2. Alpha 稳定: 满足1 且 max(|a1-a6|,|a6-a1m|,|a1-a1m|)&lt;e</w:t>
        <w:br/>
        <w:t xml:space="preserve">   -&gt; 附加「Alpha 稳定」标签</w:t>
        <w:br/>
        <w:br/>
        <w:t>3. 短期改善: (a1m-a6&gt;e) AND (a6-a1&gt;e)</w:t>
        <w:br/>
        <w:t xml:space="preserve">   -&gt; 触发「短期改善」标签（Alpha 加速上行）</w:t>
        <w:br/>
        <w:br/>
        <w:t>4. 近期回落: (a6-a1m&gt;e) AND (a1-a6&gt;e) AND (a1m&lt;=0)</w:t>
        <w:br/>
        <w:t xml:space="preserve">   -&gt; 触发「近期回落」预警（Alpha 持续收窄且已转负）</w:t>
        <w:br/>
        <w:br/>
        <w:t>5. 趋势平稳: 以上均不满足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三周期的梯度分析能够捕捉基金经理策略变化的早期信号。例如，若一月 Alpha 显著低于六月和一年并触发「近期回落」预警，提示使用者关注近期的策略有效性变化 —— 这些信息是仅看单一周期无法获得的。</w:t>
      </w:r>
    </w:p>
    <w:p>
      <w:r>
        <w:br w:type="page"/>
      </w:r>
    </w:p>
    <w:p>
      <w:pPr>
        <w:pStyle w:val="Heading1"/>
      </w:pPr>
      <w:r>
        <w:t>四、研究解读引擎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前述计算环节输出的是大量定量指标。对终端使用者而言，面对数百只基金在多个维度上的数值表格并不直观。为此，系统设计了一个四层规则驱动的研究解读引擎，将定量数据转化为定性结论。该引擎全部基于确定性规则，不存在大模型幻觉问题，每次运行的输出完全可复现。</w:t>
      </w:r>
    </w:p>
    <w:p>
      <w:pPr>
        <w:pStyle w:val="Heading2"/>
      </w:pPr>
      <w:r>
        <w:t>4.1  基金画像（Profile）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基于超额水平、持续性、最大回撤三个维度交叉判定，将基金归入五个类别：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画像</w:t>
            </w:r>
          </w:p>
        </w:tc>
        <w:tc>
          <w:tcPr>
            <w:tcW w:type="dxa" w:w="3022"/>
          </w:tcPr>
          <w:p>
            <w:r>
              <w:rPr>
                <w:b/>
              </w:rPr>
              <w:t>判定条件</w:t>
            </w:r>
          </w:p>
        </w:tc>
        <w:tc>
          <w:tcPr>
            <w:tcW w:type="dxa" w:w="3022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3022"/>
          </w:tcPr>
          <w:p>
            <w:r>
              <w:t>稳定增强型</w:t>
            </w:r>
          </w:p>
        </w:tc>
        <w:tc>
          <w:tcPr>
            <w:tcW w:type="dxa" w:w="3022"/>
          </w:tcPr>
          <w:p>
            <w:r>
              <w:t>各周期均为正超额，回撤不在最差 30%</w:t>
            </w:r>
          </w:p>
        </w:tc>
        <w:tc>
          <w:tcPr>
            <w:tcW w:type="dxa" w:w="3022"/>
          </w:tcPr>
          <w:p>
            <w:r>
              <w:t>持续创造 Alpha，风险收益匹配较好</w:t>
            </w:r>
          </w:p>
        </w:tc>
      </w:tr>
      <w:tr>
        <w:tc>
          <w:tcPr>
            <w:tcW w:type="dxa" w:w="3022"/>
          </w:tcPr>
          <w:p>
            <w:r>
              <w:t>高弹性增强型</w:t>
            </w:r>
          </w:p>
        </w:tc>
        <w:tc>
          <w:tcPr>
            <w:tcW w:type="dxa" w:w="3022"/>
          </w:tcPr>
          <w:p>
            <w:r>
              <w:t>超额突出但处于回撤最差 30%</w:t>
            </w:r>
          </w:p>
        </w:tc>
        <w:tc>
          <w:tcPr>
            <w:tcW w:type="dxa" w:w="3022"/>
          </w:tcPr>
          <w:p>
            <w:r>
              <w:t>Alpha 能力强但波动/回撤偏高</w:t>
            </w:r>
          </w:p>
        </w:tc>
      </w:tr>
      <w:tr>
        <w:tc>
          <w:tcPr>
            <w:tcW w:type="dxa" w:w="3022"/>
          </w:tcPr>
          <w:p>
            <w:r>
              <w:t>弱增强型</w:t>
            </w:r>
          </w:p>
        </w:tc>
        <w:tc>
          <w:tcPr>
            <w:tcW w:type="dxa" w:w="3022"/>
          </w:tcPr>
          <w:p>
            <w:r>
              <w:t>超额绝对值 &lt; 0.5%，接近零</w:t>
            </w:r>
          </w:p>
        </w:tc>
        <w:tc>
          <w:tcPr>
            <w:tcW w:type="dxa" w:w="3022"/>
          </w:tcPr>
          <w:p>
            <w:r>
              <w:t>增强特征不明显，Alpha 微弱</w:t>
            </w:r>
          </w:p>
        </w:tc>
      </w:tr>
      <w:tr>
        <w:tc>
          <w:tcPr>
            <w:tcW w:type="dxa" w:w="3022"/>
          </w:tcPr>
          <w:p>
            <w:r>
              <w:t>指数复制型</w:t>
            </w:r>
          </w:p>
        </w:tc>
        <w:tc>
          <w:tcPr>
            <w:tcW w:type="dxa" w:w="3022"/>
          </w:tcPr>
          <w:p>
            <w:r>
              <w:t>各周期均为非正超额</w:t>
            </w:r>
          </w:p>
        </w:tc>
        <w:tc>
          <w:tcPr>
            <w:tcW w:type="dxa" w:w="3022"/>
          </w:tcPr>
          <w:p>
            <w:r>
              <w:t>长期未展现正 Alpha，与被动基金无异</w:t>
            </w:r>
          </w:p>
        </w:tc>
      </w:tr>
      <w:tr>
        <w:tc>
          <w:tcPr>
            <w:tcW w:type="dxa" w:w="3022"/>
          </w:tcPr>
          <w:p>
            <w:r>
              <w:t>观察样本</w:t>
            </w:r>
          </w:p>
        </w:tc>
        <w:tc>
          <w:tcPr>
            <w:tcW w:type="dxa" w:w="3022"/>
          </w:tcPr>
          <w:p>
            <w:r>
              <w:t>成立不足 365 天</w:t>
            </w:r>
          </w:p>
        </w:tc>
        <w:tc>
          <w:tcPr>
            <w:tcW w:type="dxa" w:w="3022"/>
          </w:tcPr>
          <w:p>
            <w:r>
              <w:t>数据不足，不纳入正式评价</w:t>
            </w:r>
          </w:p>
        </w:tc>
      </w:tr>
    </w:tbl>
    <w:p/>
    <w:p>
      <w:pPr>
        <w:pStyle w:val="Heading2"/>
      </w:pPr>
      <w:r>
        <w:t>4.2  研究标签（Tags）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提供九种可叠加的能力标签，正面识别与风险提示并重：持续跑赢、超额突出、Alpha 稳定、短期改善、近期回落、低回撤、收益居前、超额偏弱、超额落后。标签判定规则与排名和持续性规则一致，支持大样本/小样本双轨。</w:t>
      </w:r>
    </w:p>
    <w:p>
      <w:pPr>
        <w:pStyle w:val="Heading2"/>
      </w:pPr>
      <w:r>
        <w:t>4.3  五段中文摘要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使用预设模板自动填入指标值，生成五段确定性摘要：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1. 主动管理能力 -- 基于一年超额的水平与同类排名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2. 持续性 -- 基于一年/六月/一月三重 Alpha 的一致性判断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3. 投资结果 -- 基于一年绝对收益及与超额的关系（区分「市场拖累但跑赢」情形）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4. 风险特征 -- 基于最大回撤与超额水平的匹配度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5. 综合画像 -- 基于 Profile 分类的整体评价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所有结果按 Benchmark 分 Sheet 导出至格式化 Excel（含条件着色、冻结表头、自动列宽），另附汇总概览 Sheet。</w:t>
      </w:r>
    </w:p>
    <w:p>
      <w:r>
        <w:br w:type="page"/>
      </w:r>
    </w:p>
    <w:p>
      <w:pPr>
        <w:pStyle w:val="Heading1"/>
      </w:pPr>
      <w:r>
        <w:t>五、开发过程中遇到的问题与解决方案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本章汇总项目开发全流程中遇到的五个核心问题，涵盖数据采集、数据处理、接口兼容性和系统工程化等多个层面。</w:t>
      </w:r>
    </w:p>
    <w:p>
      <w:pPr>
        <w:pStyle w:val="Heading2"/>
      </w:pPr>
      <w:r>
        <w:t>5.1  基金识别的准确性与召回率平衡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问题描述：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全市场一万余只公募基金中，指数增强类仅约 300 只，占比不足 3%，信号极为稀疏。纯粹依赖名称关键词匹配面临两难：关键词覆盖过窄则漏判率高（大量增强基金被遗漏），覆盖过宽则误判率高（普通被动指数基金被错误纳入）。具体表现为四类边界情形：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漏判一：基金名称不含「增强」字样，但其基金类型明确为「增强指数型」。例如早期产品名称为「XX 量化精选混合」，粗筛阶段即被排除。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漏判二：名称仅含「指数」不含「增强」，但投资目标中明确写有「通过量化模型力争超越基准指数」等增强策略描述。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误判一：大量普通 ETF 联接基金名称中含「沪深 300」「中证 500」等指数关键词，若仅按名称匹配会将数千只此类基金纳入候选池。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误判二：部分 ETF 联接名称同时含「ETF」「联接」和「增强」，如「沪深 300 增强策略 ETF 发起式联接 A」，简单排除会误伤合法增强产品。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解决方案：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设计了包含多层筛选、三维交叉验证、四种边界处理、两条人工通道的综合判定体系。第一，粗筛阶段不追求精确 -- 名称命中指数或增强任一条件即进入候选池，避免粗筛漏判；精确判定推迟到 API 详情获取之后。第二，对每只候选基金，从业绩基准文本、投资目标文本、基金类型三个维度独立判定其指数归属和增强属性，任一维度确认即可通过。第三，ETF/联接采用先检查排除词、再检查增强例外的两步判断。第四，API 失败的基金若名称已同时精准匹配指数+增强关键词，按降级策略纳入（标记来源以便追溯）。第五，白名单与黑名单机制为人工干预留出通道。</w:t>
      </w:r>
    </w:p>
    <w:p>
      <w:pPr>
        <w:pStyle w:val="Heading2"/>
      </w:pPr>
      <w:r>
        <w:t>5.2  API 调用的频率限制与稳定性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问题描述：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项目依赖 AKShare（底层为东方财富和天天基金的非官方数据接口）进行大规模数据采集，实际运行中暴露出以下问题：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频率限制（Rate Limiting）：数百只基金短时间内连续请求触发反爬机制，表现为返回空 DataFrame、连接超时，极端情况下暂时封禁 IP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接口不稳定：部分接口响应格式偶有变化，高负载时段单次请求 5-10 秒，总运行时间不可控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数据完整性：累计净值接口偶发返回空数据，若不做兜底将导致中长期收益计算全部缺失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重复请求浪费：开发调试中每次重跑脚本都重新拉取全部数据，增加被封风险且不能利用已成功获取的数据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解决方案：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采取四层防护策略。第一层 -- 请求节奏控制：所有 API 请求间插入随机延迟（0.8-1.8 秒均匀分布），模拟人工访问不可预测间隔，同基金两次调用间插入额外短延迟。第二层 -- 指数退避重试：每次 API 调用最多 5 次重试，重试间隔为 2^attempt + random(0,1) 秒，附加随机 jitter 避免惊群效应。第三层 -- 本地缓存：基金详情写入 Parquet 缓存文件，增量运行时仅请求缓存中不存在的基金代码；每 100 只保存一次中间缓存防崩溃。第三阶段涨跌幅计算也引入结果缓存，净值文件日期与行数一致则直接复用。第四层 -- 降级兜底：API 失败但名称置信度高则降级纳入；累计净值返回空则以单位净值兜底；API 完全失败且名称不明则记录至 api_failed.parquet 供人工复查。</w:t>
      </w:r>
    </w:p>
    <w:p>
      <w:pPr>
        <w:pStyle w:val="Heading2"/>
      </w:pPr>
      <w:r>
        <w:t>5.3  接口列名不一致的兼容性问题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问题描述：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AKShare 不同接口返回的 pandas DataFrame 列名不统一。净值接口日期列可能为「净值日期」或「日期」；指数行情收盘价列在部分接口为「close」，另一些接口为「收盘」；股息率接口返回「股息率 1」和「股息率 2」两列，需准确选择。硬编码列名会导致 AKShare 版本更新或接口微调后直接抛出 KeyError，系统稳定性极差。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解决方案：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编写通用列名查找函数，所有数据读取侧均使用该函数匹配列名，不硬编码。函数接收 DataFrame 和候选关键词列表，按优先级返回第一个匹配的列名，所有候选均不匹配则返回 None 由调用方做缺失处理：</w:t>
      </w:r>
    </w:p>
    <w:p>
      <w:pPr>
        <w:spacing w:after="80" w:before="80"/>
        <w:ind w:left="567"/>
      </w:pPr>
      <w:r>
        <w:rPr>
          <w:rFonts w:ascii="Consolas" w:hAnsi="Consolas"/>
          <w:color w:val="333333"/>
          <w:sz w:val="18"/>
        </w:rPr>
        <w:t>def find_col(df, *names):</w:t>
        <w:br/>
        <w:t xml:space="preserve">    for c in df.columns:</w:t>
        <w:br/>
        <w:t xml:space="preserve">        for n in names:</w:t>
        <w:br/>
        <w:t xml:space="preserve">            if n in str(c):</w:t>
        <w:br/>
        <w:t xml:space="preserve">                return c</w:t>
        <w:br/>
        <w:t xml:space="preserve">    return None</w:t>
        <w:br/>
        <w:br/>
        <w:t># 使用示例</w:t>
        <w:br/>
        <w:t>date_col = find_col(df, '净值日期', '日期', 'date')</w:t>
        <w:br/>
        <w:t>close_col = find_col(df, '收盘', 'close')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该设计的好处：一是容错性（列名微调时大概率仍能工作）；二是可维护性（候选集中在调用点，无需记忆准确列名）；三是安全降级（返回 None 时显式处理，不会抛出未捕获异常）。</w:t>
      </w:r>
    </w:p>
    <w:p>
      <w:pPr>
        <w:pStyle w:val="Heading2"/>
      </w:pPr>
      <w:r>
        <w:t>5.4  编码与跨平台兼容性问题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问题描述：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控制台输出中大量使用 emoji 符号（用于基金标签、状态标识等），同时涉及中文字符。在 Windows 默认终端（cmd.exe 使用 GBK 编码）运行时 print() 可能触发 UnicodeEncodeError 导致预览输出环节崩溃。导出的 CSV 文件在 Windows Excel 中直接打开时中文显示为乱码，用户需手动执行多步操作才能正确读取。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解决方案：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对于控制台输出，在含 emoji 的段落使用 try/except 捕获 UnicodeEncodeError，捕获后降级为纯文本输出，不丢失任何数据信息。对于 CSV 文件写入，统一采用 UTF-8 with BOM（utf-8-sig）编码。BOM（Byte Order Mark, 0xEF 0xBB 0xBF）是文件开头的三个特殊字节，Excel 检测到 BOM 后会自动以 UTF-8 编码解析文件内容，从而无需用户手动设置编码即可正确显示中文。</w:t>
      </w:r>
    </w:p>
    <w:p>
      <w:pPr>
        <w:pStyle w:val="Heading2"/>
      </w:pPr>
      <w:r>
        <w:t>5.5  增量更新的去重与缓存一致性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问题描述：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系统设计为每日通过 GitHub Actions 自动运行，每次需判断哪些数据已是最新。早期的两个判断逻辑均有缺陷：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净值更新阶段：使用「最近净值日期 == 今天」判断是否跳过 API 调用。周五运行后、周六再次触发时，今天 = 周六但最近交易日 = 周五，判断为 False 导致错误地尝试重新拉取（而远端无新数据）。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收益计算阶段：初期无缓存，每次对数百只基金全量遍历计算涨跌幅，即使净值数据完全未变化。300+ 只基金的全量计算耗时较长且大部分是冗余的。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股息率缓存阶段：原始实现为「处理一个指数 -&gt; 读一次 parquet -&gt; 追加 -&gt; 写一次 parquet」，共四次磁盘 I/O，逻辑分散且低效。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解决方案：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针对三个子问题分别修复。修复一：引入精确最近交易日计算（考虑周末），将判断条件改为「最近净值日 &gt;= 最近交易日」，周六运行时最近交易日为周五，净值已更新到周五则正确跳过。修复二：第三阶段启动时先读取已有基金收益缓存，比较净值文件的最新日期与行数是否一致；一致则复用缓存，不一致则重算。每日增量运行场景中仅当日有新增净值的基金需要重算（占比很小），总耗时从数十分钟压缩至数分钟。修复三：将股息率缓存改为先读取到内存字典 -&gt; 四个指数依次处理收集新数据 -&gt; 最后一次性写入 Parquet，磁盘 I/O 从 4+4 减为 1+1。</w:t>
      </w:r>
    </w:p>
    <w:p>
      <w:r>
        <w:br w:type="page"/>
      </w:r>
    </w:p>
    <w:p>
      <w:pPr>
        <w:pStyle w:val="Heading1"/>
      </w:pPr>
      <w:r>
        <w:t>六、局限与后续改进方向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本系统在设计上是一个基于确定性规则的工程实用工具，目前的局限主要集中在以下方面：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第一，缺少风险调整收益指标。当前分析聚焦于超额收益的绝对水平，但未将超额与为此承担的风险（跟踪误差）联系起来。引入信息比率（Information Ratio = 年化超额 / 年化跟踪误差）和滚动窗口 Alpha 稳定性分析，将使基金评价更加全面。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第二，Alpha 来源未做因子拆解。基金跑赢基准可能是主动选股能力，也可能是长期超配小市值或特定行业等被动风格暴露的贡献。引入 Fama-French 三因子或五因子归因分析，有助于区分真正的 Alpha 与风格 Beta。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第三，覆盖面有待扩展。当前仅覆盖四个主流宽基指数。科创 50、创业板指、中证红利等指数的增强基金正在增长，扩展基准指数范围是自然的方向。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/>
          <w:sz w:val="22"/>
        </w:rPr>
        <w:t>第四，缺少 Alpha 的统计显著性检验。当前「超额突出」的判定基于相对排名或绝对阈值，未对 Alpha 是否统计显著进行假设检验。引入 t 统计量将使评价结论更具统计严谨性。</w:t>
      </w:r>
    </w:p>
    <w:p>
      <w:pPr>
        <w:spacing w:after="120" w:line="360" w:lineRule="auto"/>
        <w:ind w:firstLine="397"/>
      </w:pPr>
      <w:r>
        <w:rPr>
          <w:rFonts w:ascii="Microsoft YaHei" w:hAnsi="Microsoft YaHei" w:eastAsia="Microsoft YaHei"/>
          <w:b w:val="0"/>
          <w:sz w:val="22"/>
        </w:rPr>
        <w:t>以上改进均可在现有数据基础上实现，管线的整体架构无需重大调整，可在后续迭代中逐步加入。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E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E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E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