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2D35" w14:textId="1EC5058D" w:rsidR="00DF0AB6" w:rsidRPr="00DF0AB6" w:rsidRDefault="00DF0AB6" w:rsidP="00DF0AB6">
      <w:pPr>
        <w:pStyle w:val="Ttulo"/>
        <w:jc w:val="center"/>
        <w:rPr>
          <w:rFonts w:ascii="Seaford" w:hAnsi="Seaford"/>
        </w:rPr>
      </w:pPr>
      <w:r w:rsidRPr="00DF0AB6">
        <w:rPr>
          <w:rFonts w:ascii="Seaford" w:hAnsi="Seaford"/>
        </w:rPr>
        <w:t xml:space="preserve">Build a Credit Default Risk Prediction Model with </w:t>
      </w:r>
      <w:proofErr w:type="spellStart"/>
      <w:r w:rsidRPr="00DF0AB6">
        <w:rPr>
          <w:rFonts w:ascii="Seaford" w:hAnsi="Seaford"/>
        </w:rPr>
        <w:t>LightGBM</w:t>
      </w:r>
      <w:proofErr w:type="spellEnd"/>
    </w:p>
    <w:p w14:paraId="5D642832" w14:textId="1AC6AF2E" w:rsidR="00DF0AB6" w:rsidRPr="00DF0AB6" w:rsidRDefault="00DF0AB6" w:rsidP="00DF0AB6">
      <w:pPr>
        <w:jc w:val="both"/>
        <w:rPr>
          <w:rFonts w:ascii="Seaford" w:hAnsi="Seaford"/>
          <w:b/>
          <w:bCs/>
        </w:rPr>
      </w:pPr>
      <w:r w:rsidRPr="00DF0AB6">
        <w:rPr>
          <w:rFonts w:ascii="Seaford" w:hAnsi="Seaford"/>
          <w:b/>
          <w:bCs/>
        </w:rPr>
        <w:t>Project Description</w:t>
      </w:r>
    </w:p>
    <w:p w14:paraId="6666E432" w14:textId="77777777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  <w:b/>
          <w:bCs/>
        </w:rPr>
        <w:t>Business Overview</w:t>
      </w:r>
    </w:p>
    <w:p w14:paraId="144D50CC" w14:textId="77777777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</w:rPr>
        <w:t>Credit Risk is the possibility of a loss resulting from a borrower's failure to repay a</w:t>
      </w:r>
    </w:p>
    <w:p w14:paraId="75215488" w14:textId="77777777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loan or meet a contractual obligation. The primary goal of a credit risk assessment is to find out whether potential borrowers are creditworthy and have the means to repay their debts so that credit risk or loss can be </w:t>
      </w:r>
      <w:proofErr w:type="gramStart"/>
      <w:r w:rsidRPr="00DF0AB6">
        <w:rPr>
          <w:rFonts w:ascii="Seaford" w:hAnsi="Seaford"/>
        </w:rPr>
        <w:t>minimized</w:t>
      </w:r>
      <w:proofErr w:type="gramEnd"/>
      <w:r w:rsidRPr="00DF0AB6">
        <w:rPr>
          <w:rFonts w:ascii="Seaford" w:hAnsi="Seaford"/>
        </w:rPr>
        <w:t xml:space="preserve"> and the loan is granted to only creditworthy applicants.</w:t>
      </w:r>
    </w:p>
    <w:p w14:paraId="2A40B32E" w14:textId="3AE26843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</w:rPr>
        <w:t> If the borrower shows an acceptable level of default risk, then their loan application can be approved upon agreed terms. </w:t>
      </w:r>
    </w:p>
    <w:p w14:paraId="5AEEC0FE" w14:textId="7BA9C473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 This project involves understanding financial terminologies attached to credit risk and building a classification model for default prediction with </w:t>
      </w:r>
      <w:proofErr w:type="spellStart"/>
      <w:r w:rsidRPr="00DF0AB6">
        <w:rPr>
          <w:rFonts w:ascii="Seaford" w:hAnsi="Seaford"/>
        </w:rPr>
        <w:t>LightGBM</w:t>
      </w:r>
      <w:proofErr w:type="spellEnd"/>
      <w:r w:rsidRPr="00DF0AB6">
        <w:rPr>
          <w:rFonts w:ascii="Seaford" w:hAnsi="Seaford"/>
        </w:rPr>
        <w:t xml:space="preserve">. Hyperparameter Optimization is done using the </w:t>
      </w:r>
      <w:proofErr w:type="spellStart"/>
      <w:r w:rsidRPr="00DF0AB6">
        <w:rPr>
          <w:rFonts w:ascii="Seaford" w:hAnsi="Seaford"/>
        </w:rPr>
        <w:t>Hyperopt</w:t>
      </w:r>
      <w:proofErr w:type="spellEnd"/>
      <w:r w:rsidRPr="00DF0AB6">
        <w:rPr>
          <w:rFonts w:ascii="Seaford" w:hAnsi="Seaford"/>
        </w:rPr>
        <w:t xml:space="preserve"> library and SHAP is used for model explainability.</w:t>
      </w:r>
    </w:p>
    <w:p w14:paraId="7569C1BB" w14:textId="5AAEB6DB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  <w:b/>
          <w:bCs/>
        </w:rPr>
        <w:t>Aim</w:t>
      </w:r>
    </w:p>
    <w:p w14:paraId="753A07C9" w14:textId="77777777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To predict loan defaulters and minimize the risk of loss </w:t>
      </w:r>
      <w:proofErr w:type="gramStart"/>
      <w:r w:rsidRPr="00DF0AB6">
        <w:rPr>
          <w:rFonts w:ascii="Seaford" w:hAnsi="Seaford"/>
        </w:rPr>
        <w:t>on the basis of</w:t>
      </w:r>
      <w:proofErr w:type="gramEnd"/>
      <w:r w:rsidRPr="00DF0AB6">
        <w:rPr>
          <w:rFonts w:ascii="Seaford" w:hAnsi="Seaford"/>
        </w:rPr>
        <w:t xml:space="preserve"> credit history, employment, and demographic data.</w:t>
      </w:r>
    </w:p>
    <w:p w14:paraId="7828C013" w14:textId="77C8F2E0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  <w:b/>
          <w:bCs/>
        </w:rPr>
        <w:t>Data Description </w:t>
      </w:r>
    </w:p>
    <w:p w14:paraId="4E5D9CED" w14:textId="77777777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The dataset contains information about 143727 </w:t>
      </w:r>
      <w:proofErr w:type="gramStart"/>
      <w:r w:rsidRPr="00DF0AB6">
        <w:rPr>
          <w:rFonts w:ascii="Seaford" w:hAnsi="Seaford"/>
        </w:rPr>
        <w:t>borrowers’</w:t>
      </w:r>
      <w:proofErr w:type="gramEnd"/>
      <w:r w:rsidRPr="00DF0AB6">
        <w:rPr>
          <w:rFonts w:ascii="Seaford" w:hAnsi="Seaford"/>
        </w:rPr>
        <w:t xml:space="preserve"> on various attributes such as employment type, work experience, income, dependents, total loans, total payment done, etc. </w:t>
      </w:r>
    </w:p>
    <w:p w14:paraId="318C8A3D" w14:textId="0E62D4EC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  <w:b/>
          <w:bCs/>
        </w:rPr>
        <w:t>Tech Stack</w:t>
      </w:r>
    </w:p>
    <w:p w14:paraId="77A01F66" w14:textId="77777777" w:rsidR="00DF0AB6" w:rsidRPr="00DF0AB6" w:rsidRDefault="00DF0AB6" w:rsidP="00DF0AB6">
      <w:pPr>
        <w:numPr>
          <w:ilvl w:val="0"/>
          <w:numId w:val="1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Language: Python</w:t>
      </w:r>
    </w:p>
    <w:p w14:paraId="54E172B5" w14:textId="77777777" w:rsidR="00DF0AB6" w:rsidRPr="00DF0AB6" w:rsidRDefault="00DF0AB6" w:rsidP="00DF0AB6">
      <w:pPr>
        <w:numPr>
          <w:ilvl w:val="0"/>
          <w:numId w:val="1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Libraries:  pandas, </w:t>
      </w:r>
      <w:proofErr w:type="spellStart"/>
      <w:r w:rsidRPr="00DF0AB6">
        <w:rPr>
          <w:rFonts w:ascii="Seaford" w:hAnsi="Seaford"/>
        </w:rPr>
        <w:t>numpy</w:t>
      </w:r>
      <w:proofErr w:type="spellEnd"/>
      <w:r w:rsidRPr="00DF0AB6">
        <w:rPr>
          <w:rFonts w:ascii="Seaford" w:hAnsi="Seaford"/>
        </w:rPr>
        <w:t xml:space="preserve">, matplotlib, seaborn, </w:t>
      </w:r>
      <w:proofErr w:type="spellStart"/>
      <w:r w:rsidRPr="00DF0AB6">
        <w:rPr>
          <w:rFonts w:ascii="Seaford" w:hAnsi="Seaford"/>
        </w:rPr>
        <w:t>scikit_learn</w:t>
      </w:r>
      <w:proofErr w:type="spellEnd"/>
      <w:r w:rsidRPr="00DF0AB6">
        <w:rPr>
          <w:rFonts w:ascii="Seaford" w:hAnsi="Seaford"/>
        </w:rPr>
        <w:t xml:space="preserve">, </w:t>
      </w:r>
      <w:proofErr w:type="spellStart"/>
      <w:r w:rsidRPr="00DF0AB6">
        <w:rPr>
          <w:rFonts w:ascii="Seaford" w:hAnsi="Seaford"/>
        </w:rPr>
        <w:t>lightgbm</w:t>
      </w:r>
      <w:proofErr w:type="spellEnd"/>
      <w:r w:rsidRPr="00DF0AB6">
        <w:rPr>
          <w:rFonts w:ascii="Seaford" w:hAnsi="Seaford"/>
        </w:rPr>
        <w:t xml:space="preserve">, </w:t>
      </w:r>
      <w:proofErr w:type="spellStart"/>
      <w:r w:rsidRPr="00DF0AB6">
        <w:rPr>
          <w:rFonts w:ascii="Seaford" w:hAnsi="Seaford"/>
        </w:rPr>
        <w:t>hyperopt</w:t>
      </w:r>
      <w:proofErr w:type="spellEnd"/>
      <w:r w:rsidRPr="00DF0AB6">
        <w:rPr>
          <w:rFonts w:ascii="Seaford" w:hAnsi="Seaford"/>
        </w:rPr>
        <w:t xml:space="preserve">, </w:t>
      </w:r>
      <w:proofErr w:type="spellStart"/>
      <w:r w:rsidRPr="00DF0AB6">
        <w:rPr>
          <w:rFonts w:ascii="Seaford" w:hAnsi="Seaford"/>
        </w:rPr>
        <w:t>shap</w:t>
      </w:r>
      <w:proofErr w:type="spellEnd"/>
    </w:p>
    <w:p w14:paraId="0AF119B9" w14:textId="77777777" w:rsidR="00DF0AB6" w:rsidRPr="00DF0AB6" w:rsidRDefault="00DF0AB6" w:rsidP="00DF0AB6">
      <w:pPr>
        <w:jc w:val="both"/>
        <w:rPr>
          <w:rFonts w:ascii="Seaford" w:hAnsi="Seaford"/>
        </w:rPr>
      </w:pPr>
      <w:r w:rsidRPr="00DF0AB6">
        <w:rPr>
          <w:rFonts w:ascii="Seaford" w:hAnsi="Seaford"/>
          <w:b/>
          <w:bCs/>
        </w:rPr>
        <w:t>Approach</w:t>
      </w:r>
    </w:p>
    <w:p w14:paraId="5E748787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Data Reading</w:t>
      </w:r>
    </w:p>
    <w:p w14:paraId="37801E29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Data Processing</w:t>
      </w:r>
    </w:p>
    <w:p w14:paraId="4911D5BF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Drop Columns</w:t>
      </w:r>
    </w:p>
    <w:p w14:paraId="4C41EBD5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Split Data</w:t>
      </w:r>
    </w:p>
    <w:p w14:paraId="1801365A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Define Label</w:t>
      </w:r>
    </w:p>
    <w:p w14:paraId="018EEAB9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Roll Rate Analysis</w:t>
      </w:r>
    </w:p>
    <w:p w14:paraId="62CF6E62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lastRenderedPageBreak/>
        <w:t>Window Roll Analysis</w:t>
      </w:r>
    </w:p>
    <w:p w14:paraId="4ACA81C4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Feature Engineering</w:t>
      </w:r>
    </w:p>
    <w:p w14:paraId="55E10B2D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Label</w:t>
      </w:r>
    </w:p>
    <w:p w14:paraId="3576A86C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% Amount Paid as interest in past Loan Repayment</w:t>
      </w:r>
    </w:p>
    <w:p w14:paraId="2428005E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% of Loans defaulted in the last 2 years</w:t>
      </w:r>
    </w:p>
    <w:p w14:paraId="2DA2D46A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Exploratory Data Analysis (EDA)</w:t>
      </w:r>
    </w:p>
    <w:p w14:paraId="5ABBBE2C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Univariate Analysis</w:t>
      </w:r>
    </w:p>
    <w:p w14:paraId="6F7B8BC0" w14:textId="77777777" w:rsidR="00DF0AB6" w:rsidRPr="00DF0AB6" w:rsidRDefault="00DF0AB6" w:rsidP="00DF0AB6">
      <w:pPr>
        <w:numPr>
          <w:ilvl w:val="2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Numerical Summary: Min, Max, Mean, Median, </w:t>
      </w:r>
      <w:proofErr w:type="spellStart"/>
      <w:proofErr w:type="gramStart"/>
      <w:r w:rsidRPr="00DF0AB6">
        <w:rPr>
          <w:rFonts w:ascii="Seaford" w:hAnsi="Seaford"/>
        </w:rPr>
        <w:t>etc</w:t>
      </w:r>
      <w:proofErr w:type="spellEnd"/>
      <w:proofErr w:type="gramEnd"/>
    </w:p>
    <w:p w14:paraId="71AD48EC" w14:textId="77777777" w:rsidR="00DF0AB6" w:rsidRPr="00DF0AB6" w:rsidRDefault="00DF0AB6" w:rsidP="00DF0AB6">
      <w:pPr>
        <w:numPr>
          <w:ilvl w:val="2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Categorical Summary: Top, Unique, Count, </w:t>
      </w:r>
      <w:proofErr w:type="spellStart"/>
      <w:r w:rsidRPr="00DF0AB6">
        <w:rPr>
          <w:rFonts w:ascii="Seaford" w:hAnsi="Seaford"/>
        </w:rPr>
        <w:t>etc</w:t>
      </w:r>
      <w:proofErr w:type="spellEnd"/>
    </w:p>
    <w:p w14:paraId="1FD36F76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Bivariate Analysis</w:t>
      </w:r>
    </w:p>
    <w:p w14:paraId="0D67C0BC" w14:textId="77777777" w:rsidR="00DF0AB6" w:rsidRPr="00DF0AB6" w:rsidRDefault="00DF0AB6" w:rsidP="00DF0AB6">
      <w:pPr>
        <w:numPr>
          <w:ilvl w:val="2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Correlation Plot</w:t>
      </w:r>
    </w:p>
    <w:p w14:paraId="6059AEFB" w14:textId="77777777" w:rsidR="00DF0AB6" w:rsidRPr="00DF0AB6" w:rsidRDefault="00DF0AB6" w:rsidP="00DF0AB6">
      <w:pPr>
        <w:numPr>
          <w:ilvl w:val="2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Box Plots</w:t>
      </w:r>
    </w:p>
    <w:p w14:paraId="6B9AC659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Target Encoding</w:t>
      </w:r>
    </w:p>
    <w:p w14:paraId="2BB82524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Feature Selection</w:t>
      </w:r>
    </w:p>
    <w:p w14:paraId="5275A3A1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Random Forest</w:t>
      </w:r>
    </w:p>
    <w:p w14:paraId="06133142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Decision Tree</w:t>
      </w:r>
    </w:p>
    <w:p w14:paraId="29555552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ML Model Development</w:t>
      </w:r>
    </w:p>
    <w:p w14:paraId="49B6E1F0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proofErr w:type="spellStart"/>
      <w:r w:rsidRPr="00DF0AB6">
        <w:rPr>
          <w:rFonts w:ascii="Seaford" w:hAnsi="Seaford"/>
        </w:rPr>
        <w:t>LightGBM</w:t>
      </w:r>
      <w:proofErr w:type="spellEnd"/>
    </w:p>
    <w:p w14:paraId="0806820B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 xml:space="preserve">Hyperparameter Tuning using </w:t>
      </w:r>
      <w:proofErr w:type="spellStart"/>
      <w:proofErr w:type="gramStart"/>
      <w:r w:rsidRPr="00DF0AB6">
        <w:rPr>
          <w:rFonts w:ascii="Seaford" w:hAnsi="Seaford"/>
        </w:rPr>
        <w:t>Hyperopt</w:t>
      </w:r>
      <w:proofErr w:type="spellEnd"/>
      <w:proofErr w:type="gramEnd"/>
    </w:p>
    <w:p w14:paraId="7CB788E7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Model Selection</w:t>
      </w:r>
    </w:p>
    <w:p w14:paraId="280C0CDE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Model Evaluation</w:t>
      </w:r>
    </w:p>
    <w:p w14:paraId="7156595E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ROC AUC</w:t>
      </w:r>
    </w:p>
    <w:p w14:paraId="18AF583F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PR AUC</w:t>
      </w:r>
    </w:p>
    <w:p w14:paraId="19D92E59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Score Distribution</w:t>
      </w:r>
    </w:p>
    <w:p w14:paraId="3BD3CE6B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Feature Importance</w:t>
      </w:r>
    </w:p>
    <w:p w14:paraId="47A2C0A7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Split and Gain</w:t>
      </w:r>
    </w:p>
    <w:p w14:paraId="49C5A215" w14:textId="77777777" w:rsidR="00DF0AB6" w:rsidRPr="00DF0AB6" w:rsidRDefault="00DF0AB6" w:rsidP="00DF0AB6">
      <w:pPr>
        <w:numPr>
          <w:ilvl w:val="1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SHAP</w:t>
      </w:r>
    </w:p>
    <w:p w14:paraId="3DE7CA2F" w14:textId="77777777" w:rsidR="00DF0AB6" w:rsidRPr="00DF0AB6" w:rsidRDefault="00DF0AB6" w:rsidP="00DF0AB6">
      <w:pPr>
        <w:numPr>
          <w:ilvl w:val="0"/>
          <w:numId w:val="2"/>
        </w:numPr>
        <w:jc w:val="both"/>
        <w:rPr>
          <w:rFonts w:ascii="Seaford" w:hAnsi="Seaford"/>
        </w:rPr>
      </w:pPr>
      <w:r w:rsidRPr="00DF0AB6">
        <w:rPr>
          <w:rFonts w:ascii="Seaford" w:hAnsi="Seaford"/>
        </w:rPr>
        <w:t>Class Rate Curve and Right Threshold</w:t>
      </w:r>
    </w:p>
    <w:p w14:paraId="656C0EFA" w14:textId="77777777" w:rsidR="00A21DA5" w:rsidRDefault="00A21DA5" w:rsidP="00DF0AB6">
      <w:pPr>
        <w:jc w:val="both"/>
      </w:pPr>
    </w:p>
    <w:sectPr w:rsidR="00A2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7B"/>
    <w:multiLevelType w:val="multilevel"/>
    <w:tmpl w:val="ACB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50E19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028161">
    <w:abstractNumId w:val="0"/>
  </w:num>
  <w:num w:numId="2" w16cid:durableId="116983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B6"/>
    <w:rsid w:val="00A11F41"/>
    <w:rsid w:val="00A21DA5"/>
    <w:rsid w:val="00C2433C"/>
    <w:rsid w:val="00D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B5D4"/>
  <w15:chartTrackingRefBased/>
  <w15:docId w15:val="{2B06A7BB-DD61-40FB-984E-CAB357E2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0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0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7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Clerc Rodriguez</dc:creator>
  <cp:keywords/>
  <dc:description/>
  <cp:lastModifiedBy>David Clerc Rodriguez</cp:lastModifiedBy>
  <cp:revision>1</cp:revision>
  <dcterms:created xsi:type="dcterms:W3CDTF">2024-03-06T17:34:00Z</dcterms:created>
  <dcterms:modified xsi:type="dcterms:W3CDTF">2024-03-06T17:36:00Z</dcterms:modified>
</cp:coreProperties>
</file>