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IBM Plex Mono" w:cs="IBM Plex Mono" w:eastAsia="IBM Plex Mono" w:hAnsi="IBM Plex Mono"/>
          <w:sz w:val="46"/>
          <w:szCs w:val="46"/>
          <w:u w:val="none"/>
        </w:rPr>
      </w:pPr>
      <w:r w:rsidDel="00000000" w:rsidR="00000000" w:rsidRPr="00000000">
        <w:rPr>
          <w:rFonts w:ascii="IBM Plex Mono" w:cs="IBM Plex Mono" w:eastAsia="IBM Plex Mono" w:hAnsi="IBM Plex Mono"/>
          <w:sz w:val="46"/>
          <w:szCs w:val="46"/>
          <w:u w:val="none"/>
          <w:rtl w:val="0"/>
        </w:rPr>
        <w:t xml:space="preserve">Estimating Time to Payment for Receivables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rFonts w:ascii="IBM Plex Mono" w:cs="IBM Plex Mono" w:eastAsia="IBM Plex Mono" w:hAnsi="IBM Plex Mono"/>
          <w:sz w:val="34"/>
          <w:szCs w:val="34"/>
        </w:rPr>
      </w:pPr>
      <w:bookmarkStart w:colFirst="0" w:colLast="0" w:name="_jurrckbh9w2t" w:id="0"/>
      <w:bookmarkEnd w:id="0"/>
      <w:r w:rsidDel="00000000" w:rsidR="00000000" w:rsidRPr="00000000">
        <w:rPr>
          <w:rFonts w:ascii="IBM Plex Mono" w:cs="IBM Plex Mono" w:eastAsia="IBM Plex Mono" w:hAnsi="IBM Plex Mono"/>
          <w:sz w:val="34"/>
          <w:szCs w:val="34"/>
          <w:rtl w:val="0"/>
        </w:rPr>
        <w:t xml:space="preserve">Context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Credix</w:t>
      </w:r>
      <w:r w:rsidDel="00000000" w:rsidR="00000000" w:rsidRPr="00000000">
        <w:rPr>
          <w:rtl w:val="0"/>
        </w:rPr>
        <w:t xml:space="preserve">, we operate </w:t>
      </w:r>
      <w:r w:rsidDel="00000000" w:rsidR="00000000" w:rsidRPr="00000000">
        <w:rPr>
          <w:b w:val="1"/>
          <w:bCs w:val="1"/>
          <w:rtl w:val="0"/>
        </w:rPr>
        <w:t xml:space="preserve">Credipay</w:t>
      </w:r>
      <w:r w:rsidDel="00000000" w:rsidR="00000000" w:rsidRPr="00000000">
        <w:rPr>
          <w:rtl w:val="0"/>
        </w:rPr>
        <w:t xml:space="preserve">, a platform that enables Sellers to finance their Buyers (other companies) invoices and anticipate those receivables. We underwrite those receivables and assume credit and liquidity risk on behalf of our clients.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Understanding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a receivable will be paid is critical to multiple functions - from collections and credit risk to treasury and asset valuation. Today, most underwriting and monitoring focuses on whether a receivable will be paid, but far fewer tools help us anticipate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that cash will actually land.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Yet this time dimension has first-order implications: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It directly affects capital efficiency and liquidity planning;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It alters how we prioritize collections and monitor portfolios;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It reframes how we discount and value assets.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You are asked to explore how we can predict and understand </w:t>
      </w:r>
      <w:r w:rsidDel="00000000" w:rsidR="00000000" w:rsidRPr="00000000">
        <w:rPr>
          <w:b w:val="1"/>
          <w:bCs w:val="1"/>
          <w:rtl w:val="0"/>
        </w:rPr>
        <w:t xml:space="preserve">time to payment</w:t>
      </w:r>
      <w:r w:rsidDel="00000000" w:rsidR="00000000" w:rsidRPr="00000000">
        <w:rPr>
          <w:rtl w:val="0"/>
        </w:rPr>
        <w:t xml:space="preserve"> using internal asset and company-level data.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0" w:firstLine="0"/>
        <w:rPr>
          <w:rFonts w:ascii="IBM Plex Mono" w:cs="IBM Plex Mono" w:eastAsia="IBM Plex Mono" w:hAnsi="IBM Plex Mono"/>
          <w:sz w:val="34"/>
          <w:szCs w:val="34"/>
        </w:rPr>
      </w:pPr>
      <w:bookmarkStart w:colFirst="0" w:colLast="0" w:name="_75leunxyse2q" w:id="1"/>
      <w:bookmarkEnd w:id="1"/>
      <w:r w:rsidDel="00000000" w:rsidR="00000000" w:rsidRPr="00000000">
        <w:rPr>
          <w:rFonts w:ascii="IBM Plex Mono" w:cs="IBM Plex Mono" w:eastAsia="IBM Plex Mono" w:hAnsi="IBM Plex Mono"/>
          <w:sz w:val="34"/>
          <w:szCs w:val="34"/>
          <w:rtl w:val="0"/>
        </w:rPr>
        <w:t xml:space="preserve">Your Task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Estimate time to payment</w:t>
      </w:r>
      <w:r w:rsidDel="00000000" w:rsidR="00000000" w:rsidRPr="00000000">
        <w:rPr>
          <w:rtl w:val="0"/>
        </w:rPr>
        <w:t xml:space="preserve"> for receivables - given a set of features known at origination. It should be able to estimate time to payment for new unseen receivables.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Feel free to choose the best option given the problem/data, combining ML algorithms and/or business rules if needed.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should select yourself the appropriate evaluation metric(s) and evaluate your solution. Justifying the reason for choosing it and the evaluation framework used.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Implement</w:t>
      </w:r>
      <w:r w:rsidDel="00000000" w:rsidR="00000000" w:rsidRPr="00000000">
        <w:rPr>
          <w:rtl w:val="0"/>
        </w:rPr>
        <w:t xml:space="preserve"> the model/business logic in such a way that it can predict the time to payment for new receivables.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implementation doesn't need to be hosted online, however should be as close as possible to a production environment, with the technology of your choice.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Deliver a concise, decision-oriented summary</w:t>
      </w:r>
      <w:r w:rsidDel="00000000" w:rsidR="00000000" w:rsidRPr="00000000">
        <w:rPr>
          <w:rtl w:val="0"/>
        </w:rPr>
        <w:t xml:space="preserve"> with the proposed solution, alongside evaluation metrics and business impact.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We’re less interested in black-box performance than in clarity of reasoning, signal extraction, and business framing.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Feel free to make any necessary assumptions in order to complete the task, clearly stating what those were and the justification for it within your final document/code.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0" w:firstLine="0"/>
        <w:rPr>
          <w:rFonts w:ascii="IBM Plex Mono" w:cs="IBM Plex Mono" w:eastAsia="IBM Plex Mono" w:hAnsi="IBM Plex Mono"/>
          <w:sz w:val="34"/>
          <w:szCs w:val="34"/>
        </w:rPr>
      </w:pPr>
      <w:bookmarkStart w:colFirst="0" w:colLast="0" w:name="_ndqtemj95qq7" w:id="2"/>
      <w:bookmarkEnd w:id="2"/>
      <w:r w:rsidDel="00000000" w:rsidR="00000000" w:rsidRPr="00000000">
        <w:rPr>
          <w:rFonts w:ascii="IBM Plex Mono" w:cs="IBM Plex Mono" w:eastAsia="IBM Plex Mono" w:hAnsi="IBM Plex Mono"/>
          <w:sz w:val="34"/>
          <w:szCs w:val="34"/>
          <w:rtl w:val="0"/>
        </w:rPr>
        <w:t xml:space="preserve">Available Resources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Drive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df_assets.parquet</w:t>
      </w:r>
      <w:r w:rsidDel="00000000" w:rsidR="00000000" w:rsidRPr="00000000">
        <w:rPr>
          <w:rtl w:val="0"/>
        </w:rPr>
        <w:t xml:space="preserve">: Asset-level data including payment, due dates and face value.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asset represents a installment or payment to be paid, which is linked to a invoice/order.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df_company_data.parquet</w:t>
      </w:r>
      <w:r w:rsidDel="00000000" w:rsidR="00000000" w:rsidRPr="00000000">
        <w:rPr>
          <w:rtl w:val="0"/>
        </w:rPr>
        <w:t xml:space="preserve">: Company basic characteristics.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df_quod.parquet</w:t>
      </w:r>
      <w:r w:rsidDel="00000000" w:rsidR="00000000" w:rsidRPr="00000000">
        <w:rPr>
          <w:rtl w:val="0"/>
        </w:rPr>
        <w:t xml:space="preserve">: Bureau Credit signals (periodically refreshed).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glossary.xlsx</w:t>
      </w:r>
      <w:r w:rsidDel="00000000" w:rsidR="00000000" w:rsidRPr="00000000">
        <w:rPr>
          <w:rtl w:val="0"/>
        </w:rPr>
        <w:t xml:space="preserve">: Dictionary containing the descriptions of each column in the above datasets.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All sensitive fields are anonymised, but keys are consistent across tables.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0" w:firstLine="0"/>
        <w:rPr>
          <w:rFonts w:ascii="IBM Plex Mono" w:cs="IBM Plex Mono" w:eastAsia="IBM Plex Mono" w:hAnsi="IBM Plex Mono"/>
          <w:sz w:val="34"/>
          <w:szCs w:val="34"/>
        </w:rPr>
      </w:pPr>
      <w:bookmarkStart w:colFirst="0" w:colLast="0" w:name="_5z2g44cxtihp" w:id="3"/>
      <w:bookmarkEnd w:id="3"/>
      <w:r w:rsidDel="00000000" w:rsidR="00000000" w:rsidRPr="00000000">
        <w:rPr>
          <w:rFonts w:ascii="IBM Plex Mono" w:cs="IBM Plex Mono" w:eastAsia="IBM Plex Mono" w:hAnsi="IBM Plex Mono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All code created to complete the assignment - including data cleaning, modeling, evaluation and implementation. Github preferred.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A CSV or dataframe of receivables with predicted time to payment.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A short business summary: </w:t>
      </w:r>
      <w:r w:rsidDel="00000000" w:rsidR="00000000" w:rsidRPr="00000000">
        <w:rPr>
          <w:b w:val="1"/>
          <w:bCs w:val="1"/>
          <w:rtl w:val="0"/>
        </w:rPr>
        <w:t xml:space="preserve">what you learned, methodology and business impact.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ind w:left="0" w:firstLine="0"/>
        <w:rPr>
          <w:rFonts w:ascii="IBM Plex Mono" w:cs="IBM Plex Mono" w:eastAsia="IBM Plex Mono" w:hAnsi="IBM Plex Mono"/>
          <w:sz w:val="46"/>
          <w:szCs w:val="46"/>
          <w:u w:val="none"/>
        </w:rPr>
      </w:pPr>
      <w:bookmarkStart w:colFirst="0" w:colLast="0" w:name="_8wjyuq5ox1gv" w:id="4"/>
      <w:bookmarkEnd w:id="4"/>
      <w:r w:rsidDel="00000000" w:rsidR="00000000" w:rsidRPr="00000000">
        <w:rPr>
          <w:rFonts w:ascii="IBM Plex Mono" w:cs="IBM Plex Mono" w:eastAsia="IBM Plex Mono" w:hAnsi="IBM Plex Mono"/>
          <w:sz w:val="46"/>
          <w:szCs w:val="46"/>
          <w:u w:val="none"/>
          <w:rtl w:val="0"/>
        </w:rPr>
        <w:t xml:space="preserve">Timeline</w:t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6635"/>
        <w:tblGridChange w:id="0">
          <w:tblGrid>
            <w:gridCol w:w="2615"/>
            <w:gridCol w:w="6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28th of December EoD BRT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 your submission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tiago@credix.finance, alexandre@credix.finance, HR@credix.finance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Mono" w:cs="IBM Plex Mono" w:eastAsia="IBM Plex Mono" w:hAnsi="IBM Plex Mono"/>
        <w:sz w:val="22"/>
        <w:szCs w:val="22"/>
        <w:lang w:val="en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oppins" w:cs="Poppins" w:eastAsia="Poppins" w:hAnsi="Poppins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Poppins" w:cs="Poppins" w:eastAsia="Poppins" w:hAnsi="Poppin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hanging="360"/>
    </w:pPr>
    <w:rPr>
      <w:rFonts w:ascii="Poppins" w:cs="Poppins" w:eastAsia="Poppins" w:hAnsi="Poppin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ind w:left="1440" w:hanging="360"/>
    </w:pPr>
    <w:rPr>
      <w:rFonts w:ascii="Poppins" w:cs="Poppins" w:eastAsia="Poppins" w:hAnsi="Poppin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aoK__FyOGbEX25LnxEH9kT4lEOgF71qu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IBMPlexMono-regular.ttf"/><Relationship Id="rId6" Type="http://schemas.openxmlformats.org/officeDocument/2006/relationships/font" Target="fonts/IBMPlexMono-bold.ttf"/><Relationship Id="rId7" Type="http://schemas.openxmlformats.org/officeDocument/2006/relationships/font" Target="fonts/IBMPlexMono-italic.ttf"/><Relationship Id="rId8" Type="http://schemas.openxmlformats.org/officeDocument/2006/relationships/font" Target="fonts/IBMPlex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