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23" w:type="dxa"/>
        <w:tblInd w:w="-176" w:type="dxa"/>
        <w:tblLook w:val="04A0" w:firstRow="1" w:lastRow="0" w:firstColumn="1" w:lastColumn="0" w:noHBand="0" w:noVBand="1"/>
      </w:tblPr>
      <w:tblGrid>
        <w:gridCol w:w="2021"/>
        <w:gridCol w:w="7902"/>
      </w:tblGrid>
      <w:tr w:rsidR="000367E6" w14:paraId="68F235F7" w14:textId="77777777" w:rsidTr="000367E6">
        <w:trPr>
          <w:trHeight w:val="283"/>
        </w:trPr>
        <w:tc>
          <w:tcPr>
            <w:tcW w:w="2021" w:type="dxa"/>
            <w:vAlign w:val="center"/>
          </w:tcPr>
          <w:p w14:paraId="5C35D89C" w14:textId="77777777" w:rsidR="000367E6" w:rsidRDefault="000367E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Times New Roman" w:hAnsi="Times New Roman CYR"/>
                <w:b/>
                <w:szCs w:val="20"/>
                <w:lang w:val="en-US" w:eastAsia="ru-RU"/>
              </w:rPr>
            </w:pPr>
          </w:p>
        </w:tc>
        <w:tc>
          <w:tcPr>
            <w:tcW w:w="7902" w:type="dxa"/>
            <w:vMerge w:val="restart"/>
            <w:vAlign w:val="center"/>
          </w:tcPr>
          <w:p w14:paraId="18C3BB0E" w14:textId="77777777" w:rsidR="000367E6" w:rsidRDefault="000367E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/>
                <w:b/>
                <w:sz w:val="24"/>
                <w:szCs w:val="24"/>
                <w:lang w:eastAsia="ru-RU"/>
              </w:rPr>
              <w:t>МИНИСТЕРСТВО ОБРАЗОВАНИЯ И НАУКИ</w:t>
            </w:r>
          </w:p>
          <w:p w14:paraId="27EBCE85" w14:textId="77777777" w:rsidR="000367E6" w:rsidRDefault="000367E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/>
                <w:b/>
                <w:sz w:val="24"/>
                <w:szCs w:val="24"/>
                <w:lang w:eastAsia="ru-RU"/>
              </w:rPr>
              <w:t>РОССИЙСКОЙ ФЕДЕРАЦИИ</w:t>
            </w:r>
          </w:p>
          <w:p w14:paraId="1C5E9444" w14:textId="77777777" w:rsidR="000367E6" w:rsidRDefault="000367E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</w:p>
          <w:p w14:paraId="736AC745" w14:textId="77777777" w:rsidR="000367E6" w:rsidRDefault="000367E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высшего образования</w:t>
            </w:r>
          </w:p>
          <w:p w14:paraId="626BA8B6" w14:textId="77777777" w:rsidR="000367E6" w:rsidRDefault="000367E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САМАРСКИЙ ГОСУДАРСТВЕННЫЙ ТЕХНИЧЕСКИЙ УНИВЕРСИТЕТ</w:t>
            </w:r>
          </w:p>
          <w:p w14:paraId="573437B1" w14:textId="77777777" w:rsidR="000367E6" w:rsidRDefault="000367E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b/>
                <w:szCs w:val="20"/>
                <w:lang w:eastAsia="ru-RU"/>
              </w:rPr>
            </w:pPr>
          </w:p>
          <w:p w14:paraId="09495885" w14:textId="77777777" w:rsidR="000367E6" w:rsidRDefault="000367E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Институт автоматики и информационных технологий</w:t>
            </w:r>
          </w:p>
          <w:p w14:paraId="5DD5AA46" w14:textId="11B70053" w:rsidR="000367E6" w:rsidRPr="002E6267" w:rsidRDefault="000367E6" w:rsidP="002E626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b/>
                <w:sz w:val="24"/>
                <w:szCs w:val="24"/>
                <w:lang w:eastAsia="ru-RU"/>
              </w:rPr>
            </w:pPr>
            <w:r w:rsidRPr="002E6267"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Кафедра «</w:t>
            </w:r>
            <w:r w:rsidR="002E6267"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Информатика и в</w:t>
            </w:r>
            <w:r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ычислительная техника</w:t>
            </w:r>
            <w:r w:rsidRPr="002E6267"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»</w:t>
            </w:r>
          </w:p>
        </w:tc>
      </w:tr>
      <w:tr w:rsidR="000367E6" w14:paraId="05B09F9C" w14:textId="77777777" w:rsidTr="000367E6">
        <w:trPr>
          <w:trHeight w:val="1702"/>
        </w:trPr>
        <w:tc>
          <w:tcPr>
            <w:tcW w:w="2021" w:type="dxa"/>
            <w:vAlign w:val="center"/>
            <w:hideMark/>
          </w:tcPr>
          <w:p w14:paraId="2F0D2C35" w14:textId="1F2C7105" w:rsidR="000367E6" w:rsidRDefault="000367E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Times New Roman" w:hAnsi="Times New Roman CYR"/>
                <w:b/>
                <w:sz w:val="24"/>
                <w:szCs w:val="24"/>
                <w:lang w:val="en-US" w:eastAsia="ru-RU"/>
              </w:rPr>
            </w:pPr>
            <w:r>
              <w:rPr>
                <w:rFonts w:ascii="Times New Roman CYR" w:eastAsia="Times New Roman" w:hAnsi="Times New Roman CYR"/>
                <w:noProof/>
                <w:szCs w:val="28"/>
                <w:lang w:eastAsia="ru-RU"/>
              </w:rPr>
              <w:drawing>
                <wp:inline distT="0" distB="0" distL="0" distR="0" wp14:anchorId="2BD9C3B6" wp14:editId="0C908434">
                  <wp:extent cx="1121410" cy="1077595"/>
                  <wp:effectExtent l="0" t="0" r="2540" b="825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48" t="3870" r="51303" b="51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1077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Merge/>
            <w:vAlign w:val="center"/>
            <w:hideMark/>
          </w:tcPr>
          <w:p w14:paraId="2765C12D" w14:textId="77777777" w:rsidR="000367E6" w:rsidRDefault="000367E6">
            <w:pPr>
              <w:spacing w:after="0" w:line="240" w:lineRule="auto"/>
              <w:rPr>
                <w:rFonts w:ascii="Times New Roman CYR" w:eastAsia="Times New Roman" w:hAnsi="Times New Roman CYR"/>
                <w:b/>
                <w:sz w:val="24"/>
                <w:szCs w:val="24"/>
                <w:lang w:val="en-US" w:eastAsia="ru-RU"/>
              </w:rPr>
            </w:pPr>
          </w:p>
        </w:tc>
      </w:tr>
      <w:tr w:rsidR="000367E6" w14:paraId="60E40B24" w14:textId="77777777" w:rsidTr="000367E6">
        <w:trPr>
          <w:trHeight w:val="283"/>
        </w:trPr>
        <w:tc>
          <w:tcPr>
            <w:tcW w:w="2021" w:type="dxa"/>
            <w:vAlign w:val="center"/>
          </w:tcPr>
          <w:p w14:paraId="63E7E95A" w14:textId="77777777" w:rsidR="000367E6" w:rsidRDefault="000367E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Times New Roman" w:hAnsi="Times New Roman CYR"/>
                <w:b/>
                <w:szCs w:val="20"/>
                <w:lang w:val="en-US"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2F01F0D" w14:textId="77777777" w:rsidR="000367E6" w:rsidRDefault="000367E6">
            <w:pPr>
              <w:spacing w:after="0" w:line="240" w:lineRule="auto"/>
              <w:rPr>
                <w:rFonts w:ascii="Times New Roman CYR" w:eastAsia="Times New Roman" w:hAnsi="Times New Roman CYR"/>
                <w:b/>
                <w:sz w:val="24"/>
                <w:szCs w:val="24"/>
                <w:lang w:val="en-US" w:eastAsia="ru-RU"/>
              </w:rPr>
            </w:pPr>
          </w:p>
        </w:tc>
      </w:tr>
    </w:tbl>
    <w:p w14:paraId="278C409E" w14:textId="77777777" w:rsidR="000367E6" w:rsidRDefault="000367E6" w:rsidP="000367E6">
      <w:pPr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b/>
          <w:sz w:val="24"/>
          <w:szCs w:val="24"/>
          <w:lang w:eastAsia="ru-RU"/>
        </w:rPr>
      </w:pPr>
    </w:p>
    <w:p w14:paraId="4A97AD63" w14:textId="77777777" w:rsidR="000367E6" w:rsidRDefault="000367E6" w:rsidP="000367E6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8"/>
          <w:lang w:eastAsia="ru-RU"/>
        </w:rPr>
      </w:pPr>
    </w:p>
    <w:p w14:paraId="37E38D73" w14:textId="77777777" w:rsidR="000367E6" w:rsidRDefault="000367E6" w:rsidP="000367E6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8"/>
          <w:lang w:eastAsia="ru-RU"/>
        </w:rPr>
      </w:pPr>
    </w:p>
    <w:p w14:paraId="2FB6507E" w14:textId="77777777" w:rsidR="000367E6" w:rsidRDefault="000367E6" w:rsidP="000367E6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8"/>
          <w:lang w:eastAsia="ru-RU"/>
        </w:rPr>
      </w:pPr>
    </w:p>
    <w:p w14:paraId="003AB1D7" w14:textId="77777777" w:rsidR="000367E6" w:rsidRDefault="000367E6" w:rsidP="000367E6">
      <w:pPr>
        <w:overflowPunct w:val="0"/>
        <w:autoSpaceDE w:val="0"/>
        <w:autoSpaceDN w:val="0"/>
        <w:adjustRightInd w:val="0"/>
        <w:spacing w:after="240" w:line="240" w:lineRule="auto"/>
        <w:jc w:val="center"/>
        <w:rPr>
          <w:rFonts w:ascii="Times New Roman CYR" w:eastAsia="Times New Roman" w:hAnsi="Times New Roman CYR"/>
          <w:b/>
          <w:sz w:val="30"/>
          <w:szCs w:val="30"/>
          <w:lang w:eastAsia="ru-RU"/>
        </w:rPr>
      </w:pPr>
      <w:r>
        <w:rPr>
          <w:rFonts w:ascii="Times New Roman CYR" w:eastAsia="Times New Roman" w:hAnsi="Times New Roman CYR"/>
          <w:b/>
          <w:sz w:val="30"/>
          <w:szCs w:val="30"/>
          <w:lang w:eastAsia="ru-RU"/>
        </w:rPr>
        <w:t>ОТЧЕТ</w:t>
      </w:r>
    </w:p>
    <w:p w14:paraId="66C54431" w14:textId="77880601" w:rsidR="000367E6" w:rsidRPr="000367E6" w:rsidRDefault="000926C0" w:rsidP="000367E6">
      <w:pPr>
        <w:overflowPunct w:val="0"/>
        <w:autoSpaceDE w:val="0"/>
        <w:autoSpaceDN w:val="0"/>
        <w:adjustRightInd w:val="0"/>
        <w:spacing w:after="240" w:line="240" w:lineRule="auto"/>
        <w:jc w:val="center"/>
        <w:rPr>
          <w:rFonts w:ascii="Times New Roman CYR" w:eastAsia="Times New Roman" w:hAnsi="Times New Roman CYR"/>
          <w:b/>
          <w:sz w:val="30"/>
          <w:szCs w:val="30"/>
          <w:lang w:eastAsia="ru-RU"/>
        </w:rPr>
      </w:pPr>
      <w:r>
        <w:rPr>
          <w:rFonts w:ascii="Times New Roman CYR" w:eastAsia="Times New Roman" w:hAnsi="Times New Roman CYR"/>
          <w:b/>
          <w:sz w:val="30"/>
          <w:szCs w:val="30"/>
          <w:lang w:eastAsia="ru-RU"/>
        </w:rPr>
        <w:t xml:space="preserve">по </w:t>
      </w:r>
      <w:r w:rsidR="00E62E37">
        <w:rPr>
          <w:rFonts w:ascii="Times New Roman CYR" w:eastAsia="Times New Roman" w:hAnsi="Times New Roman CYR"/>
          <w:b/>
          <w:sz w:val="30"/>
          <w:szCs w:val="30"/>
          <w:lang w:eastAsia="ru-RU"/>
        </w:rPr>
        <w:t>практическому заданию</w:t>
      </w:r>
      <w:r w:rsidR="000367E6">
        <w:rPr>
          <w:rFonts w:ascii="Times New Roman CYR" w:eastAsia="Times New Roman" w:hAnsi="Times New Roman CYR"/>
          <w:b/>
          <w:sz w:val="30"/>
          <w:szCs w:val="30"/>
          <w:lang w:eastAsia="ru-RU"/>
        </w:rPr>
        <w:t xml:space="preserve"> №</w:t>
      </w:r>
      <w:r w:rsidR="00422857">
        <w:rPr>
          <w:rFonts w:ascii="Times New Roman CYR" w:eastAsia="Times New Roman" w:hAnsi="Times New Roman CYR"/>
          <w:b/>
          <w:sz w:val="30"/>
          <w:szCs w:val="30"/>
          <w:lang w:eastAsia="ru-RU"/>
        </w:rPr>
        <w:t>3</w:t>
      </w:r>
    </w:p>
    <w:p w14:paraId="38D609C2" w14:textId="77777777" w:rsidR="000367E6" w:rsidRDefault="000367E6" w:rsidP="000367E6">
      <w:pPr>
        <w:overflowPunct w:val="0"/>
        <w:autoSpaceDE w:val="0"/>
        <w:autoSpaceDN w:val="0"/>
        <w:adjustRightInd w:val="0"/>
        <w:spacing w:after="240" w:line="240" w:lineRule="auto"/>
        <w:jc w:val="center"/>
        <w:rPr>
          <w:rFonts w:ascii="Times New Roman CYR" w:eastAsia="Times New Roman" w:hAnsi="Times New Roman CYR"/>
          <w:b/>
          <w:spacing w:val="40"/>
          <w:sz w:val="30"/>
          <w:szCs w:val="30"/>
          <w:lang w:eastAsia="ru-RU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268"/>
        <w:gridCol w:w="6946"/>
      </w:tblGrid>
      <w:tr w:rsidR="000367E6" w14:paraId="6E6D448B" w14:textId="77777777" w:rsidTr="000367E6">
        <w:trPr>
          <w:trHeight w:val="397"/>
        </w:trPr>
        <w:tc>
          <w:tcPr>
            <w:tcW w:w="2268" w:type="dxa"/>
            <w:vAlign w:val="center"/>
            <w:hideMark/>
          </w:tcPr>
          <w:p w14:paraId="0641264E" w14:textId="77777777" w:rsidR="000367E6" w:rsidRDefault="000367E6">
            <w:pPr>
              <w:tabs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Cs w:val="20"/>
                <w:lang w:eastAsia="ru-RU"/>
              </w:rPr>
            </w:pPr>
            <w:r>
              <w:rPr>
                <w:rFonts w:ascii="Times New Roman CYR" w:eastAsia="Times New Roman" w:hAnsi="Times New Roman CYR"/>
                <w:szCs w:val="20"/>
                <w:lang w:eastAsia="ru-RU"/>
              </w:rPr>
              <w:t>по дисциплине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C67351D" w14:textId="7CC93D7C" w:rsidR="000367E6" w:rsidRDefault="000367E6">
            <w:pPr>
              <w:tabs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Управление качеством и требованиями к программному обеспечению</w:t>
            </w:r>
          </w:p>
        </w:tc>
      </w:tr>
    </w:tbl>
    <w:p w14:paraId="70EB6C5F" w14:textId="77777777" w:rsidR="000367E6" w:rsidRDefault="000367E6" w:rsidP="000367E6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0"/>
          <w:lang w:eastAsia="ru-RU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560"/>
        <w:gridCol w:w="7654"/>
      </w:tblGrid>
      <w:tr w:rsidR="000367E6" w14:paraId="2CB69C37" w14:textId="77777777" w:rsidTr="000367E6">
        <w:trPr>
          <w:trHeight w:val="340"/>
        </w:trPr>
        <w:tc>
          <w:tcPr>
            <w:tcW w:w="1560" w:type="dxa"/>
            <w:vAlign w:val="center"/>
            <w:hideMark/>
          </w:tcPr>
          <w:p w14:paraId="12A97DAA" w14:textId="77777777" w:rsidR="000367E6" w:rsidRDefault="000367E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113" w:right="113"/>
              <w:jc w:val="right"/>
              <w:rPr>
                <w:rFonts w:ascii="Times New Roman CYR" w:eastAsia="Times New Roman" w:hAnsi="Times New Roman CYR"/>
                <w:szCs w:val="28"/>
                <w:lang w:eastAsia="ru-RU"/>
              </w:rPr>
            </w:pPr>
            <w:r>
              <w:rPr>
                <w:rFonts w:ascii="Times New Roman CYR" w:eastAsia="Times New Roman" w:hAnsi="Times New Roman CYR"/>
                <w:szCs w:val="28"/>
                <w:lang w:eastAsia="ru-RU"/>
              </w:rPr>
              <w:t>на тему</w:t>
            </w:r>
          </w:p>
        </w:tc>
        <w:tc>
          <w:tcPr>
            <w:tcW w:w="765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B468DB2" w14:textId="0C6E413B" w:rsidR="000367E6" w:rsidRPr="000367E6" w:rsidRDefault="000367E6" w:rsidP="00422857">
            <w:pPr>
              <w:tabs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Моделирование бизнес-процессов и потоков данных. Нотации EPC и DFD (вариант 13 «Автосервис»)</w:t>
            </w:r>
          </w:p>
        </w:tc>
      </w:tr>
    </w:tbl>
    <w:p w14:paraId="7493A672" w14:textId="77777777" w:rsidR="000367E6" w:rsidRDefault="000367E6" w:rsidP="000367E6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8"/>
          <w:lang w:eastAsia="ru-RU"/>
        </w:rPr>
      </w:pPr>
    </w:p>
    <w:p w14:paraId="5F6553A8" w14:textId="77777777" w:rsidR="000367E6" w:rsidRDefault="000367E6" w:rsidP="000367E6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8"/>
          <w:lang w:eastAsia="ru-RU"/>
        </w:rPr>
      </w:pPr>
    </w:p>
    <w:p w14:paraId="4D4731C4" w14:textId="77777777" w:rsidR="000367E6" w:rsidRDefault="000367E6" w:rsidP="000367E6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8"/>
          <w:lang w:eastAsia="ru-RU"/>
        </w:rPr>
      </w:pPr>
    </w:p>
    <w:p w14:paraId="3F4D0EF5" w14:textId="77777777" w:rsidR="000367E6" w:rsidRDefault="000367E6" w:rsidP="000367E6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8"/>
          <w:lang w:eastAsia="ru-RU"/>
        </w:rPr>
      </w:pPr>
    </w:p>
    <w:p w14:paraId="0A43B648" w14:textId="77777777" w:rsidR="000367E6" w:rsidRDefault="000367E6" w:rsidP="000367E6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8"/>
          <w:lang w:eastAsia="ru-RU"/>
        </w:rPr>
      </w:pPr>
    </w:p>
    <w:p w14:paraId="62B4A37F" w14:textId="77777777" w:rsidR="000367E6" w:rsidRDefault="000367E6" w:rsidP="000367E6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8"/>
          <w:lang w:eastAsia="ru-RU"/>
        </w:rPr>
      </w:pPr>
    </w:p>
    <w:tbl>
      <w:tblPr>
        <w:tblW w:w="9090" w:type="dxa"/>
        <w:tblInd w:w="229" w:type="dxa"/>
        <w:tblLayout w:type="fixed"/>
        <w:tblLook w:val="04A0" w:firstRow="1" w:lastRow="0" w:firstColumn="1" w:lastColumn="0" w:noHBand="0" w:noVBand="1"/>
      </w:tblPr>
      <w:tblGrid>
        <w:gridCol w:w="1898"/>
        <w:gridCol w:w="1674"/>
        <w:gridCol w:w="1871"/>
        <w:gridCol w:w="1531"/>
        <w:gridCol w:w="2116"/>
      </w:tblGrid>
      <w:tr w:rsidR="000367E6" w14:paraId="7C96AB48" w14:textId="77777777" w:rsidTr="000367E6">
        <w:trPr>
          <w:trHeight w:val="454"/>
        </w:trPr>
        <w:tc>
          <w:tcPr>
            <w:tcW w:w="1898" w:type="dxa"/>
            <w:vAlign w:val="bottom"/>
            <w:hideMark/>
          </w:tcPr>
          <w:p w14:paraId="46F139F2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rPr>
                <w:rFonts w:ascii="Times" w:eastAsia="Times" w:hAnsi="Times" w:cs="Times"/>
                <w:b/>
                <w:sz w:val="24"/>
                <w:szCs w:val="24"/>
              </w:rPr>
            </w:pPr>
            <w:r>
              <w:rPr>
                <w:rFonts w:ascii="Times" w:eastAsia="Times" w:hAnsi="Times" w:cs="Times"/>
                <w:b/>
                <w:sz w:val="24"/>
                <w:szCs w:val="24"/>
              </w:rPr>
              <w:t>Преподаватель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  <w:hideMark/>
          </w:tcPr>
          <w:p w14:paraId="2F48C797" w14:textId="73070959" w:rsidR="000367E6" w:rsidRDefault="00422857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доцент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161DBB0F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0D9DE1B4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14:paraId="7CE87327" w14:textId="23A36979" w:rsidR="000367E6" w:rsidRDefault="00422857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Е</w:t>
            </w:r>
            <w:r w:rsidR="000367E6">
              <w:rPr>
                <w:rFonts w:ascii="Times" w:eastAsia="Times" w:hAnsi="Times" w:cs="Times"/>
                <w:sz w:val="24"/>
                <w:szCs w:val="24"/>
              </w:rPr>
              <w:t>.</w:t>
            </w:r>
            <w:r>
              <w:rPr>
                <w:rFonts w:ascii="Times" w:eastAsia="Times" w:hAnsi="Times" w:cs="Times"/>
                <w:sz w:val="24"/>
                <w:szCs w:val="24"/>
              </w:rPr>
              <w:t>В</w:t>
            </w:r>
            <w:r w:rsidR="000367E6">
              <w:rPr>
                <w:rFonts w:ascii="Times" w:eastAsia="Times" w:hAnsi="Times" w:cs="Times"/>
                <w:sz w:val="24"/>
                <w:szCs w:val="24"/>
              </w:rPr>
              <w:t xml:space="preserve">. </w:t>
            </w:r>
            <w:r>
              <w:rPr>
                <w:rFonts w:ascii="Times" w:eastAsia="Times" w:hAnsi="Times" w:cs="Times"/>
                <w:sz w:val="24"/>
                <w:szCs w:val="24"/>
              </w:rPr>
              <w:t>Панюкова</w:t>
            </w:r>
          </w:p>
        </w:tc>
      </w:tr>
      <w:tr w:rsidR="000367E6" w14:paraId="6E91CE17" w14:textId="77777777" w:rsidTr="000367E6">
        <w:trPr>
          <w:trHeight w:val="454"/>
        </w:trPr>
        <w:tc>
          <w:tcPr>
            <w:tcW w:w="1898" w:type="dxa"/>
            <w:vAlign w:val="bottom"/>
            <w:hideMark/>
          </w:tcPr>
          <w:p w14:paraId="44465927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rPr>
                <w:rFonts w:ascii="Times" w:eastAsia="Times" w:hAnsi="Times" w:cs="Times"/>
                <w:b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Times" w:eastAsia="Times" w:hAnsi="Times" w:cs="Times"/>
                <w:b/>
                <w:sz w:val="24"/>
                <w:szCs w:val="24"/>
              </w:rPr>
              <w:t>Студенты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  <w:hideMark/>
          </w:tcPr>
          <w:p w14:paraId="59D71804" w14:textId="354A087A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hAnsi="Times" w:cs="Times" w:eastAsia="Times"/>
                <w:b w:val="0"/>
                <w:i w:val="0"/>
                <w:sz w:val="24"/>
              </w:rPr>
              <w:t>3-ИАИТ-119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2BC12C0B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2CC36CA0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02B0CAA" w14:textId="74340549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hAnsi="Times" w:cs="Times" w:eastAsia="Times"/>
                <w:b w:val="0"/>
                <w:i w:val="0"/>
                <w:sz w:val="24"/>
              </w:rPr>
              <w:t>И.Д. Царегородцев</w:t>
            </w:r>
          </w:p>
        </w:tc>
      </w:tr>
      <w:tr w:rsidR="000367E6" w14:paraId="31D7B44B" w14:textId="77777777" w:rsidTr="000367E6">
        <w:trPr>
          <w:trHeight w:val="227"/>
        </w:trPr>
        <w:tc>
          <w:tcPr>
            <w:tcW w:w="1898" w:type="dxa"/>
          </w:tcPr>
          <w:p w14:paraId="6A9C3D9E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6F4BA95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>
              <w:rPr>
                <w:rFonts w:ascii="Times" w:eastAsia="Times" w:hAnsi="Times" w:cs="Times"/>
                <w:sz w:val="18"/>
                <w:szCs w:val="18"/>
              </w:rPr>
              <w:t>(группа)</w:t>
            </w:r>
          </w:p>
        </w:tc>
        <w:tc>
          <w:tcPr>
            <w:tcW w:w="1871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5A693FB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>
              <w:rPr>
                <w:rFonts w:ascii="Times" w:eastAsia="Times" w:hAnsi="Times" w:cs="Times"/>
                <w:sz w:val="18"/>
                <w:szCs w:val="18"/>
              </w:rPr>
              <w:t>(подпись)</w:t>
            </w:r>
          </w:p>
        </w:tc>
        <w:tc>
          <w:tcPr>
            <w:tcW w:w="1531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12880AAF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>
              <w:rPr>
                <w:rFonts w:ascii="Times" w:eastAsia="Times" w:hAnsi="Times" w:cs="Times"/>
                <w:sz w:val="18"/>
                <w:szCs w:val="18"/>
              </w:rPr>
              <w:t>(дата)</w:t>
            </w:r>
          </w:p>
        </w:tc>
        <w:tc>
          <w:tcPr>
            <w:tcW w:w="211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080E90DA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>
              <w:rPr>
                <w:rFonts w:ascii="Times" w:eastAsia="Times" w:hAnsi="Times" w:cs="Times"/>
                <w:sz w:val="18"/>
                <w:szCs w:val="18"/>
              </w:rPr>
              <w:t>(инициалы, фамилия)</w:t>
            </w:r>
          </w:p>
        </w:tc>
      </w:tr>
      <w:tr w:rsidR="000367E6" w14:paraId="263F22A1" w14:textId="77777777" w:rsidTr="000367E6">
        <w:trPr>
          <w:trHeight w:val="454"/>
        </w:trPr>
        <w:tc>
          <w:tcPr>
            <w:tcW w:w="1898" w:type="dxa"/>
            <w:vAlign w:val="bottom"/>
          </w:tcPr>
          <w:p w14:paraId="3B2C6475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rPr>
                <w:rFonts w:ascii="Times" w:eastAsia="Times" w:hAnsi="Times" w:cs="Times"/>
                <w:b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  <w:hideMark/>
          </w:tcPr>
          <w:p w14:paraId="3116B3B9" w14:textId="0ABBC0FA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hAnsi="Times" w:cs="Times" w:eastAsia="Times"/>
                <w:b w:val="0"/>
                <w:i w:val="0"/>
                <w:sz w:val="24"/>
              </w:rPr>
              <w:t>3-ИАИТ-119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4EF9842B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555035CB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12C943A" w14:textId="5FE6E93F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hAnsi="Times" w:cs="Times" w:eastAsia="Times"/>
                <w:b w:val="0"/>
                <w:i w:val="0"/>
                <w:sz w:val="24"/>
              </w:rPr>
              <w:t>П.М. Марченко</w:t>
            </w:r>
          </w:p>
        </w:tc>
      </w:tr>
      <w:tr w:rsidR="000367E6" w14:paraId="160F6CC2" w14:textId="77777777" w:rsidTr="000367E6">
        <w:trPr>
          <w:trHeight w:val="227"/>
        </w:trPr>
        <w:tc>
          <w:tcPr>
            <w:tcW w:w="1898" w:type="dxa"/>
          </w:tcPr>
          <w:p w14:paraId="5F203EBF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3141CEF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>
              <w:rPr>
                <w:rFonts w:ascii="Times" w:eastAsia="Times" w:hAnsi="Times" w:cs="Times"/>
                <w:sz w:val="18"/>
                <w:szCs w:val="18"/>
              </w:rPr>
              <w:t>(группа)</w:t>
            </w:r>
          </w:p>
        </w:tc>
        <w:tc>
          <w:tcPr>
            <w:tcW w:w="1871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5A6E26D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>
              <w:rPr>
                <w:rFonts w:ascii="Times" w:eastAsia="Times" w:hAnsi="Times" w:cs="Times"/>
                <w:sz w:val="18"/>
                <w:szCs w:val="18"/>
              </w:rPr>
              <w:t>(подпись)</w:t>
            </w:r>
          </w:p>
        </w:tc>
        <w:tc>
          <w:tcPr>
            <w:tcW w:w="1531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E495520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>
              <w:rPr>
                <w:rFonts w:ascii="Times" w:eastAsia="Times" w:hAnsi="Times" w:cs="Times"/>
                <w:sz w:val="18"/>
                <w:szCs w:val="18"/>
              </w:rPr>
              <w:t>(дата)</w:t>
            </w:r>
          </w:p>
        </w:tc>
        <w:tc>
          <w:tcPr>
            <w:tcW w:w="211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6E538B2F" w14:textId="77777777" w:rsidR="000367E6" w:rsidRDefault="000367E6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>
              <w:rPr>
                <w:rFonts w:ascii="Times" w:eastAsia="Times" w:hAnsi="Times" w:cs="Times"/>
                <w:sz w:val="18"/>
                <w:szCs w:val="18"/>
              </w:rPr>
              <w:t>(инициалы, фамилия)</w:t>
            </w:r>
          </w:p>
        </w:tc>
      </w:tr>
    </w:tbl>
    <w:p w14:paraId="06C4332B" w14:textId="5D3AAD21" w:rsidR="000367E6" w:rsidRDefault="000367E6" w:rsidP="000367E6">
      <w:pPr>
        <w:tabs>
          <w:tab w:val="left" w:pos="7230"/>
          <w:tab w:val="left" w:pos="8789"/>
        </w:tabs>
        <w:spacing w:after="0" w:line="240" w:lineRule="auto"/>
        <w:rPr>
          <w:rFonts w:ascii="Times" w:eastAsia="Times" w:hAnsi="Times" w:cs="Times"/>
          <w:sz w:val="24"/>
          <w:szCs w:val="24"/>
        </w:rPr>
      </w:pPr>
    </w:p>
    <w:p w14:paraId="2F10A9EC" w14:textId="2D53A1E5" w:rsidR="003750D6" w:rsidRDefault="003750D6" w:rsidP="000367E6">
      <w:pPr>
        <w:tabs>
          <w:tab w:val="left" w:pos="7230"/>
          <w:tab w:val="left" w:pos="8789"/>
        </w:tabs>
        <w:spacing w:after="0" w:line="240" w:lineRule="auto"/>
        <w:rPr>
          <w:rFonts w:ascii="Times" w:eastAsia="Times" w:hAnsi="Times" w:cs="Times"/>
          <w:sz w:val="24"/>
          <w:szCs w:val="24"/>
        </w:rPr>
      </w:pPr>
    </w:p>
    <w:p w14:paraId="7C769BE4" w14:textId="6D476187" w:rsidR="003750D6" w:rsidRDefault="003750D6" w:rsidP="000367E6">
      <w:pPr>
        <w:tabs>
          <w:tab w:val="left" w:pos="7230"/>
          <w:tab w:val="left" w:pos="8789"/>
        </w:tabs>
        <w:spacing w:after="0" w:line="240" w:lineRule="auto"/>
        <w:rPr>
          <w:rFonts w:ascii="Times" w:eastAsia="Times" w:hAnsi="Times" w:cs="Times"/>
          <w:sz w:val="24"/>
          <w:szCs w:val="24"/>
        </w:rPr>
      </w:pPr>
    </w:p>
    <w:p w14:paraId="667560DE" w14:textId="401202FC" w:rsidR="003750D6" w:rsidRDefault="003750D6" w:rsidP="000367E6">
      <w:pPr>
        <w:tabs>
          <w:tab w:val="left" w:pos="7230"/>
          <w:tab w:val="left" w:pos="8789"/>
        </w:tabs>
        <w:spacing w:after="0" w:line="240" w:lineRule="auto"/>
        <w:rPr>
          <w:rFonts w:ascii="Times" w:eastAsia="Times" w:hAnsi="Times" w:cs="Times"/>
          <w:sz w:val="24"/>
          <w:szCs w:val="24"/>
        </w:rPr>
      </w:pPr>
    </w:p>
    <w:p w14:paraId="0E094B53" w14:textId="77777777" w:rsidR="003750D6" w:rsidRDefault="003750D6" w:rsidP="000367E6">
      <w:pPr>
        <w:tabs>
          <w:tab w:val="left" w:pos="7230"/>
          <w:tab w:val="left" w:pos="8789"/>
        </w:tabs>
        <w:spacing w:after="0" w:line="240" w:lineRule="auto"/>
        <w:rPr>
          <w:rFonts w:ascii="Times" w:eastAsia="Times" w:hAnsi="Times" w:cs="Times"/>
          <w:sz w:val="24"/>
          <w:szCs w:val="24"/>
        </w:rPr>
      </w:pPr>
    </w:p>
    <w:p w14:paraId="2FEBB756" w14:textId="77777777" w:rsidR="000367E6" w:rsidRDefault="000367E6" w:rsidP="000367E6">
      <w:pPr>
        <w:tabs>
          <w:tab w:val="left" w:pos="7230"/>
          <w:tab w:val="left" w:pos="8789"/>
        </w:tabs>
        <w:spacing w:after="0" w:line="240" w:lineRule="auto"/>
        <w:jc w:val="center"/>
        <w:rPr>
          <w:rFonts w:ascii="Times" w:eastAsia="Times" w:hAnsi="Times" w:cs="Times"/>
          <w:sz w:val="24"/>
          <w:szCs w:val="24"/>
        </w:rPr>
      </w:pPr>
    </w:p>
    <w:p w14:paraId="7CCB70AA" w14:textId="77777777" w:rsidR="00E62E37" w:rsidRDefault="00E62E37" w:rsidP="000367E6">
      <w:pPr>
        <w:tabs>
          <w:tab w:val="left" w:pos="7230"/>
          <w:tab w:val="left" w:pos="8789"/>
        </w:tabs>
        <w:spacing w:after="0" w:line="240" w:lineRule="auto"/>
        <w:jc w:val="center"/>
        <w:rPr>
          <w:rFonts w:ascii="Times" w:eastAsia="Times" w:hAnsi="Times" w:cs="Times"/>
          <w:sz w:val="24"/>
          <w:szCs w:val="24"/>
        </w:rPr>
      </w:pPr>
    </w:p>
    <w:p w14:paraId="6AD49C63" w14:textId="77777777" w:rsidR="00E62E37" w:rsidRDefault="00E62E37" w:rsidP="000367E6">
      <w:pPr>
        <w:tabs>
          <w:tab w:val="left" w:pos="7230"/>
          <w:tab w:val="left" w:pos="8789"/>
        </w:tabs>
        <w:spacing w:after="0" w:line="240" w:lineRule="auto"/>
        <w:jc w:val="center"/>
        <w:rPr>
          <w:rFonts w:ascii="Times" w:eastAsia="Times" w:hAnsi="Times" w:cs="Times"/>
          <w:sz w:val="24"/>
          <w:szCs w:val="24"/>
        </w:rPr>
      </w:pPr>
    </w:p>
    <w:p w14:paraId="52509A78" w14:textId="77777777" w:rsidR="00E62E37" w:rsidRDefault="00E62E37" w:rsidP="000367E6">
      <w:pPr>
        <w:tabs>
          <w:tab w:val="left" w:pos="7230"/>
          <w:tab w:val="left" w:pos="8789"/>
        </w:tabs>
        <w:spacing w:after="0" w:line="240" w:lineRule="auto"/>
        <w:jc w:val="center"/>
        <w:rPr>
          <w:rFonts w:ascii="Times" w:eastAsia="Times" w:hAnsi="Times" w:cs="Times"/>
          <w:sz w:val="24"/>
          <w:szCs w:val="24"/>
        </w:rPr>
      </w:pPr>
    </w:p>
    <w:p w14:paraId="00E5395C" w14:textId="582826CF" w:rsidR="000367E6" w:rsidRPr="002E6267" w:rsidRDefault="000367E6" w:rsidP="000367E6">
      <w:pPr>
        <w:tabs>
          <w:tab w:val="left" w:pos="7230"/>
          <w:tab w:val="left" w:pos="8789"/>
        </w:tabs>
        <w:spacing w:after="0" w:line="240" w:lineRule="auto"/>
        <w:jc w:val="center"/>
        <w:rPr>
          <w:b/>
          <w:bCs/>
          <w:sz w:val="32"/>
          <w:szCs w:val="32"/>
          <w:lang w:eastAsia="ru-RU"/>
        </w:rPr>
      </w:pPr>
      <w:r>
        <w:rPr>
          <w:rFonts w:ascii="Times" w:eastAsia="Times" w:hAnsi="Times" w:cs="Times"/>
          <w:sz w:val="24"/>
          <w:szCs w:val="24"/>
        </w:rPr>
        <w:t>Самара 202</w:t>
      </w:r>
      <w:r w:rsidR="007227CC">
        <w:rPr>
          <w:rFonts w:ascii="Times" w:eastAsia="Times" w:hAnsi="Times" w:cs="Times"/>
          <w:sz w:val="24"/>
          <w:szCs w:val="24"/>
        </w:rPr>
        <w:t>6</w:t>
      </w:r>
    </w:p>
    <w:p>
      <w:r>
        <w:br w:type="page"/>
      </w:r>
    </w:p>
    <w:p>
      <w:pPr>
        <w:keepNext/>
        <w:spacing w:line="360" w:lineRule="auto" w:before="240" w:after="120"/>
        <w:ind w:firstLine="0"/>
        <w:jc w:val="center"/>
        <w:outlineLvl w:val="0"/>
      </w:pPr>
      <w:r>
        <w:rPr>
          <w:rFonts w:ascii="Times New Roman" w:hAnsi="Times New Roman" w:cs="Times New Roman" w:eastAsia="Times New Roman"/>
          <w:b/>
          <w:i w:val="0"/>
          <w:sz w:val="28"/>
        </w:rPr>
        <w:t>Цель работы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Ознакомиться с нотацией процессного моделирования бизнес-процессов EPC и получить навыки использования основных методов анализа предметной области. Сформировать навыки управления требованиями к ПО с помощью диаграммы структурного анализа и проектирования – диаграммы потоков данных DFD.</w:t>
      </w:r>
    </w:p>
    <w:p>
      <w:pPr>
        <w:keepNext/>
        <w:spacing w:line="360" w:lineRule="auto" w:before="240" w:after="120"/>
        <w:ind w:firstLine="0"/>
        <w:jc w:val="center"/>
        <w:outlineLvl w:val="0"/>
      </w:pPr>
      <w:r>
        <w:rPr>
          <w:rFonts w:ascii="Times New Roman" w:hAnsi="Times New Roman" w:cs="Times New Roman" w:eastAsia="Times New Roman"/>
          <w:b/>
          <w:i w:val="0"/>
          <w:sz w:val="28"/>
        </w:rPr>
        <w:t>Порядок выполнения работы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Провести моделирование бизнес-процесса предметной области с использованием нотации EPC – преобразовать модель процесса IDEF0 (из работы №1) в модель EPC. Для каждого процесса из декомпозиции контекстной диаграммы разработать процессные модели EPC.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Описать логику выполнения бизнес-процесса – определить логические операторы для ветвлений процесса.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Проверить логику и корректность моделей.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Разработать диаграммы потоков данных DFD к разработанным диаграммам процессов в нотации EPC.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 Выделить основные компоненты DFD-диаграмм – процессы, внешние сущности, потоки данных, накопители данных.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 На основе анализа диаграмм потоков данных уточнить требования к компонентам программного модуля (модель FURPS+).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7. Сделать выводы по работе.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Предметная область: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вариант 13 «Автосервис». Исходные данные – функциональная модель IDEF0 основного бизнес-процесса «Обслуживать заказ клиента автосервиса» (работа №1): блоки A1 «Принять заявку и зарегистрировать клиента», A2 «Спланировать работы и назначить исполнителя», A3 «Выполнить ремонтные работы», A4 «Рассчитать стоимость, принять оплату, выдать квитанцию», A5 «Сформировать отчётность», а также спецификация требований FURPS+, уточнённая в работе №2.</w:t>
      </w:r>
    </w:p>
    <w:p>
      <w:pPr>
        <w:keepNext/>
        <w:spacing w:line="360" w:lineRule="auto" w:before="240" w:after="120"/>
        <w:ind w:firstLine="0"/>
        <w:jc w:val="center"/>
        <w:outlineLvl w:val="0"/>
      </w:pPr>
      <w:r>
        <w:rPr>
          <w:rFonts w:ascii="Times New Roman" w:hAnsi="Times New Roman" w:cs="Times New Roman" w:eastAsia="Times New Roman"/>
          <w:b/>
          <w:i w:val="0"/>
          <w:sz w:val="28"/>
        </w:rPr>
        <w:t>1 Нотация EPC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EPC (Event-driven Process Chain, событийная цепочка процессов) – нотация моделирования бизнес-процессов, разработанная А.-В. Шеером в рамках методологии ARIS. Процесс в EPC описывается как последовательность чередующихся событий и функций: событие описывает состояние, которое запускает функцию или является её результатом, функция – действие, переводящее процесс из одного состояния в другое. Ветвления и слияния потока задаются логическими операторами. Расширенная нотация eEPC дополнительно показывает организационные единицы (исполнителей), информационные объекты и прикладные системы, связанные с функциями. Основные элементы нотации приведены на рисунке 1 и в таблице 1.</w:t>
      </w:r>
    </w:p>
    <w:p>
      <w:pPr>
        <w:keepNext/>
        <w:spacing w:line="24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1745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c_leg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174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1 – Основные элементы нотации eEPC</w:t>
      </w:r>
    </w:p>
    <w:p>
      <w:pPr>
        <w:keepNext/>
        <w:spacing w:line="360" w:lineRule="auto" w:before="12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1 – Элементы нотации EPC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77"/>
        <w:gridCol w:w="4677"/>
      </w:tblGrid>
      <w:tr>
        <w:trPr>
          <w:tblHeader w:val="true"/>
          <w:cantSplit/>
        </w:trPr>
        <w:tc>
          <w:tcPr>
            <w:tcW w:type="dxa" w:w="2551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Элемент</w:t>
            </w:r>
          </w:p>
        </w:tc>
        <w:tc>
          <w:tcPr>
            <w:tcW w:type="dxa" w:w="6803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Событие</w:t>
            </w:r>
          </w:p>
        </w:tc>
        <w:tc>
          <w:tcPr>
            <w:tcW w:type="dxa" w:w="6803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Состояние, предшествующее функции или наступающее в результате её выполнения. Процесс начинается стартовым и заканчивается финальным событием</w:t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Функция</w:t>
            </w:r>
          </w:p>
        </w:tc>
        <w:tc>
          <w:tcPr>
            <w:tcW w:type="dxa" w:w="6803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Действие (работа), выполняемое в процессе; формулируется глаголом. Значок иерархии показывает, что функция детализирована отдельной моделью</w:t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Интерфейс процесса</w:t>
            </w:r>
          </w:p>
        </w:tc>
        <w:tc>
          <w:tcPr>
            <w:tcW w:type="dxa" w:w="6803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Ссылка на предшествующий или последующий процесс; связывает модели между собой</w:t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Оператор XOR</w:t>
            </w:r>
          </w:p>
        </w:tc>
        <w:tc>
          <w:tcPr>
            <w:tcW w:type="dxa" w:w="6803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Исключающее «или»: выполняется ровно одна из ветвей (ветвление) или процесс продолжается после завершения любой одной ветви (слияние)</w:t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Оператор AND (∧)</w:t>
            </w:r>
          </w:p>
        </w:tc>
        <w:tc>
          <w:tcPr>
            <w:tcW w:type="dxa" w:w="6803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Логическое «и»: все ветви выполняются параллельно; слияние ожидает завершения всех ветвей</w:t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Оператор OR (∨)</w:t>
            </w:r>
          </w:p>
        </w:tc>
        <w:tc>
          <w:tcPr>
            <w:tcW w:type="dxa" w:w="6803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Включающее «или»: выполняется одна или несколько ветвей</w:t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Организационная единица</w:t>
            </w:r>
          </w:p>
        </w:tc>
        <w:tc>
          <w:tcPr>
            <w:tcW w:type="dxa" w:w="6803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Исполнитель функции (должность, роль, внешний участник)</w:t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Информационный объект</w:t>
            </w:r>
          </w:p>
        </w:tc>
        <w:tc>
          <w:tcPr>
            <w:tcW w:type="dxa" w:w="6803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Документ или данные, используемые (вход) или создаваемые (выход) функцией</w:t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Прикладная система</w:t>
            </w:r>
          </w:p>
        </w:tc>
        <w:tc>
          <w:tcPr>
            <w:tcW w:type="dxa" w:w="6803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Программная система, поддерживающая или выполняющая функцию</w:t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Поток управления</w:t>
            </w:r>
          </w:p>
        </w:tc>
        <w:tc>
          <w:tcPr>
            <w:tcW w:type="dxa" w:w="6803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Порядок следования событий, функций и операторов</w:t>
            </w:r>
          </w:p>
        </w:tc>
      </w:tr>
    </w:tbl>
    <w:p>
      <w:pPr>
        <w:keepNext w:val="0"/>
        <w:spacing w:line="240" w:lineRule="auto" w:before="0" w:after="0"/>
        <w:ind w:firstLine="709"/>
        <w:jc w:val="both"/>
      </w:pP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Основные правила построения EPC: события и функции чередуются; каждая функция имеет хотя бы одно входное и одно выходное событие; событие не принимает решений, поэтому после события не может стоять ветвление XOR или OR; модель не содержит «висячих» стрелок и элементов без связей.</w:t>
      </w:r>
    </w:p>
    <w:p>
      <w:pPr>
        <w:keepNext/>
        <w:spacing w:line="360" w:lineRule="auto" w:before="240" w:after="120"/>
        <w:ind w:firstLine="0"/>
        <w:jc w:val="center"/>
        <w:outlineLvl w:val="0"/>
      </w:pPr>
      <w:r>
        <w:rPr>
          <w:rFonts w:ascii="Times New Roman" w:hAnsi="Times New Roman" w:cs="Times New Roman" w:eastAsia="Times New Roman"/>
          <w:b/>
          <w:i w:val="0"/>
          <w:sz w:val="28"/>
        </w:rPr>
        <w:t>2 Модели бизнес-процесса в нотации EPC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Преобразование модели IDEF0 в модель EPC выполнено по правилам, приведённым в таблице 2.</w:t>
      </w:r>
    </w:p>
    <w:p>
      <w:pPr>
        <w:keepNext/>
        <w:spacing w:line="360" w:lineRule="auto" w:before="12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2 – Соответствие элементов IDEF0 и EPC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rPr>
          <w:tblHeader w:val="true"/>
          <w:cantSplit/>
        </w:trPr>
        <w:tc>
          <w:tcPr>
            <w:tcW w:type="dxa" w:w="2494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Элемент IDEF0</w:t>
            </w:r>
          </w:p>
        </w:tc>
        <w:tc>
          <w:tcPr>
            <w:tcW w:type="dxa" w:w="3175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Элемент EPC</w:t>
            </w:r>
          </w:p>
        </w:tc>
        <w:tc>
          <w:tcPr>
            <w:tcW w:type="dxa" w:w="3685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Пример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Функциональный блок</w:t>
            </w:r>
          </w:p>
        </w:tc>
        <w:tc>
          <w:tcPr>
            <w:tcW w:type="dxa" w:w="317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Функция (на верхнем уровне – с декомпозицией)</w:t>
            </w:r>
          </w:p>
        </w:tc>
        <w:tc>
          <w:tcPr>
            <w:tcW w:type="dxa" w:w="368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A1 «Принять заявку и зарегистрировать клиента»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Вход, внешний по отношению к модели</w:t>
            </w:r>
          </w:p>
        </w:tc>
        <w:tc>
          <w:tcPr>
            <w:tcW w:type="dxa" w:w="317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Стартовое событие</w:t>
            </w:r>
          </w:p>
        </w:tc>
        <w:tc>
          <w:tcPr>
            <w:tcW w:type="dxa" w:w="368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«Поступило обращение клиента»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Стрелка «выход – вход» между блоками</w:t>
            </w:r>
          </w:p>
        </w:tc>
        <w:tc>
          <w:tcPr>
            <w:tcW w:type="dxa" w:w="317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Событие между функциями</w:t>
            </w:r>
          </w:p>
        </w:tc>
        <w:tc>
          <w:tcPr>
            <w:tcW w:type="dxa" w:w="368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«Заявка зарегистрирована»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Выход модели</w:t>
            </w:r>
          </w:p>
        </w:tc>
        <w:tc>
          <w:tcPr>
            <w:tcW w:type="dxa" w:w="317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Финальное событие, информационный объект</w:t>
            </w:r>
          </w:p>
        </w:tc>
        <w:tc>
          <w:tcPr>
            <w:tcW w:type="dxa" w:w="368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«Заказ закрыт», «Квитанция, кассовый чек»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Управление</w:t>
            </w:r>
          </w:p>
        </w:tc>
        <w:tc>
          <w:tcPr>
            <w:tcW w:type="dxa" w:w="317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Информационный объект, условие ветвления</w:t>
            </w:r>
          </w:p>
        </w:tc>
        <w:tc>
          <w:tcPr>
            <w:tcW w:type="dxa" w:w="368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«Прейскурант», «Регламенты ТО»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Механизм</w:t>
            </w:r>
          </w:p>
        </w:tc>
        <w:tc>
          <w:tcPr>
            <w:tcW w:type="dxa" w:w="317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Организационная единица, прикладная система</w:t>
            </w:r>
          </w:p>
        </w:tc>
        <w:tc>
          <w:tcPr>
            <w:tcW w:type="dxa" w:w="368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«Мастер-приёмщик», «ИС автосервиса»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Обратная связь</w:t>
            </w:r>
          </w:p>
        </w:tc>
        <w:tc>
          <w:tcPr>
            <w:tcW w:type="dxa" w:w="317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Цикл с операторами XOR</w:t>
            </w:r>
          </w:p>
        </w:tc>
        <w:tc>
          <w:tcPr>
            <w:tcW w:type="dxa" w:w="368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Согласование доп. работ в A3</w:t>
            </w:r>
          </w:p>
        </w:tc>
      </w:tr>
    </w:tbl>
    <w:p>
      <w:pPr>
        <w:keepNext w:val="0"/>
        <w:spacing w:line="240" w:lineRule="auto" w:before="0" w:after="0"/>
        <w:ind w:firstLine="709"/>
        <w:jc w:val="both"/>
      </w:pPr>
    </w:p>
    <w:p>
      <w:pPr>
        <w:keepNext/>
        <w:spacing w:line="360" w:lineRule="auto" w:before="12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2.1 Модель верхнего уровня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Модель верхнего уровня (рисунок 2) повторяет диаграмму декомпозиции A0: функции A1–A4 образуют цепочку обслуживания заказа, связанную событиями, функция A5 – отдельный процесс отчётности, который запускается в конце рабочего дня или по запросу руководителя. После приёма заявки оператор XOR разделяет процесс: заявка зарегистрирована либо клиент отказался. Все функции имеют значок декомпозиции – каждая детализирована отдельной моделью EPC.</w:t>
      </w:r>
    </w:p>
    <w:p>
      <w:pPr>
        <w:sectPr>
          <w:footerReference w:type="default" r:id="rId7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>
      <w:pPr>
        <w:keepNext/>
        <w:spacing w:line="24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000000" cy="46615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c_a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4661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2 – Модель EPC верхнего уровня «Обслуживание заказа клиента автосервиса»</w:t>
      </w:r>
    </w:p>
    <w:p>
      <w:pPr>
        <w:sectPr>
          <w:pgSz w:w="16838" w:h="11906" w:orient="landscape"/>
          <w:pgMar w:top="850" w:right="1134" w:bottom="850" w:left="1134" w:header="708" w:footer="708" w:gutter="0"/>
          <w:cols w:space="708"/>
          <w:titlePg/>
          <w:docGrid w:linePitch="381"/>
        </w:sectPr>
      </w:pPr>
    </w:p>
    <w:p>
      <w:pPr>
        <w:keepNext/>
        <w:spacing w:line="360" w:lineRule="auto" w:before="12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2.2 Модель процесса A1 «Принять заявку и зарегистрировать клиента»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Процесс (рисунок 3) начинается событием «Поступило обращение клиента». ИС выполняет поиск клиента; по результату (оператор XOR) данные либо подставляются в заявку, либо мастер регистрирует нового клиента и автомобиль, после чего ветви сливаются. Мастер осматривает автомобиль и заполняет заявку, ИС рассчитывает предварительную стоимость по прейскуранту, мастер согласует её с клиентом. Второй оператор XOR задаёт два исхода: отказ фиксируется с причиной (событие «Заявка отклонена»), при согласии заявка сохраняется и печатается акт приёма, после чего управление передаётся процессу A2.</w:t>
      </w:r>
    </w:p>
    <w:p>
      <w:r>
        <w:br w:type="page"/>
      </w:r>
    </w:p>
    <w:p>
      <w:pPr>
        <w:keepNext/>
        <w:spacing w:line="24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71134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c_a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113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3 – Модель EPC процесса A1 «Принять заявку и зарегистрировать клиента»</w:t>
      </w:r>
    </w:p>
    <w:p>
      <w:pPr>
        <w:keepNext/>
        <w:spacing w:line="360" w:lineRule="auto" w:before="12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2.3 Модель процесса A2 «Спланировать работы и назначить исполнителя»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Мастер определяет состав работ по регламенту ТО и выбирает пост, механика и время (рисунок 4). ИС проверяет пересечения по графику загрузки. Оператор XOR после проверки образует цикл: при обнаружении пересечения управление возвращается через оператор слияния к выбору времени. Если пересечений нет, ИС формирует заказ-наряд, а мастер сообщает клиенту плановую дату готовности.</w:t>
      </w:r>
    </w:p>
    <w:p>
      <w:r>
        <w:br w:type="page"/>
      </w:r>
    </w:p>
    <w:p>
      <w:pPr>
        <w:keepNext/>
        <w:spacing w:line="24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62512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c_a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251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4 – Модель EPC процесса A2 «Спланировать работы и назначить исполнителя»</w:t>
      </w:r>
    </w:p>
    <w:p>
      <w:pPr>
        <w:keepNext/>
        <w:spacing w:line="360" w:lineRule="auto" w:before="12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2.4 Модель процесса A3 «Выполнить ремонтные работы»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Механик выполняет работы по заказ-наряду (рисунок 5). Оператор XOR разделяет поток в зависимости от того, выявлены ли дополнительные неисправности. При их выявлении мастер согласует работы с клиентом; второй оператор XOR задаёт исход согласования: при согласии работы добавляются в заказ-наряд, стоимость и срок пересчитываются, и процесс возвращается к выполнению работ (цикл); при отказе или отсутствии ответа в течение 2 часов отказ фиксируется. Ветви сливаются перед отметкой запчастей, после чего ИС устанавливает статус «Выполнен» и уведомляет клиента.</w:t>
      </w:r>
    </w:p>
    <w:p>
      <w:r>
        <w:br w:type="page"/>
      </w:r>
    </w:p>
    <w:p>
      <w:pPr>
        <w:keepNext/>
        <w:spacing w:line="24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67040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c_a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704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5 – Модель EPC процесса A3 «Выполнить ремонтные работы»</w:t>
      </w:r>
    </w:p>
    <w:p>
      <w:pPr>
        <w:keepNext/>
        <w:spacing w:line="360" w:lineRule="auto" w:before="12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2.5 Модель процесса A4 «Рассчитать стоимость, принять оплату, выдать квитанцию»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ИС проверяет полноту заказа (рисунок 6); при расхождениях мастер их устраняет, и проверка повторяется (цикл через операторы XOR). Затем ИС рассчитывает стоимость и формирует квитанцию, мастер предъявляет её клиенту, после оплаты ИС фиксирует платёж и пробивает чек на ККТ. Оператор AND запускает параллельно закрытие заказа в ИС и выдачу автомобиля; оператор слияния AND обеспечивает, что событие «Заказ закрыт» наступает только после выполнения обеих функций.</w:t>
      </w:r>
    </w:p>
    <w:p>
      <w:r>
        <w:br w:type="page"/>
      </w:r>
    </w:p>
    <w:p>
      <w:pPr>
        <w:keepNext/>
        <w:spacing w:line="24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66874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c_a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687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6 – Модель EPC процесса A4 «Рассчитать стоимость, принять оплату, выдать квитанцию»</w:t>
      </w:r>
    </w:p>
    <w:p>
      <w:pPr>
        <w:keepNext/>
        <w:spacing w:line="360" w:lineRule="auto" w:before="12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2.6 Модель процесса A5 «Сформировать отчётность»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Процесс имеет два стартовых события (рисунок 7): наступление времени ежедневного отчёта (21:00) и потребность руководителя в отчёте, для которой руководитель задаёт период и вид отчёта. Ветви сливаются оператором XOR. ИС выбирает закрытые заказы и оплаты за период, затем оператор AND запускает параллельный расчёт трёх групп показателей. После формирования отчёта руководитель анализирует его, и оператор XOR определяет, требуется ли выгрузка в Excel.</w:t>
      </w:r>
    </w:p>
    <w:p>
      <w:r>
        <w:br w:type="page"/>
      </w:r>
    </w:p>
    <w:p>
      <w:pPr>
        <w:keepNext/>
        <w:spacing w:line="24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71560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c_a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156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7 – Модель EPC процесса A5 «Сформировать отчётность»</w:t>
      </w:r>
    </w:p>
    <w:p>
      <w:pPr>
        <w:keepNext/>
        <w:spacing w:line="360" w:lineRule="auto" w:before="240" w:after="120"/>
        <w:ind w:firstLine="0"/>
        <w:jc w:val="center"/>
        <w:outlineLvl w:val="0"/>
      </w:pPr>
      <w:r>
        <w:rPr>
          <w:rFonts w:ascii="Times New Roman" w:hAnsi="Times New Roman" w:cs="Times New Roman" w:eastAsia="Times New Roman"/>
          <w:b/>
          <w:i w:val="0"/>
          <w:sz w:val="28"/>
        </w:rPr>
        <w:t>3 Логика выполнения процесса и проверка корректности моделей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Логические операторы, использованные в моделях, и условия ветвлений приведены в таблице 3. Оператор OR не потребовался: во всех точках ветвления варианты либо взаимоисключающие (XOR), либо выполняются все одновременно (AND).</w:t>
      </w:r>
    </w:p>
    <w:p>
      <w:pPr>
        <w:keepNext/>
        <w:spacing w:line="360" w:lineRule="auto" w:before="12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3 – Логические операторы моделей EPC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  <w:cantSplit/>
        </w:trPr>
        <w:tc>
          <w:tcPr>
            <w:tcW w:type="dxa" w:w="1474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Модель</w:t>
            </w:r>
          </w:p>
        </w:tc>
        <w:tc>
          <w:tcPr>
            <w:tcW w:type="dxa" w:w="1871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Оператор</w:t>
            </w:r>
          </w:p>
        </w:tc>
        <w:tc>
          <w:tcPr>
            <w:tcW w:type="dxa" w:w="2324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Место в процессе</w:t>
            </w:r>
          </w:p>
        </w:tc>
        <w:tc>
          <w:tcPr>
            <w:tcW w:type="dxa" w:w="3685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Логика</w:t>
            </w:r>
          </w:p>
        </w:tc>
      </w:tr>
      <w:tr>
        <w:trPr>
          <w:cantSplit/>
        </w:trPr>
        <w:tc>
          <w:tcPr>
            <w:tcW w:type="dxa" w:w="147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Верхний уровень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XOR (ветвление)</w:t>
            </w:r>
          </w:p>
        </w:tc>
        <w:tc>
          <w:tcPr>
            <w:tcW w:type="dxa" w:w="232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После функции A1</w:t>
            </w:r>
          </w:p>
        </w:tc>
        <w:tc>
          <w:tcPr>
            <w:tcW w:type="dxa" w:w="368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Заявка зарегистрирована или клиент отказался</w:t>
            </w:r>
          </w:p>
        </w:tc>
      </w:tr>
      <w:tr>
        <w:trPr>
          <w:cantSplit/>
        </w:trPr>
        <w:tc>
          <w:tcPr>
            <w:tcW w:type="dxa" w:w="147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Верхний уровень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XOR (слияние)</w:t>
            </w:r>
          </w:p>
        </w:tc>
        <w:tc>
          <w:tcPr>
            <w:tcW w:type="dxa" w:w="232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Перед функцией A5</w:t>
            </w:r>
          </w:p>
        </w:tc>
        <w:tc>
          <w:tcPr>
            <w:tcW w:type="dxa" w:w="368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Отчёт запускается по времени или по запросу руководителя</w:t>
            </w:r>
          </w:p>
        </w:tc>
      </w:tr>
      <w:tr>
        <w:trPr>
          <w:cantSplit/>
        </w:trPr>
        <w:tc>
          <w:tcPr>
            <w:tcW w:type="dxa" w:w="147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A1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XOR (ветвление / слияние)</w:t>
            </w:r>
          </w:p>
        </w:tc>
        <w:tc>
          <w:tcPr>
            <w:tcW w:type="dxa" w:w="232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После поиска клиента</w:t>
            </w:r>
          </w:p>
        </w:tc>
        <w:tc>
          <w:tcPr>
            <w:tcW w:type="dxa" w:w="368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Клиент найден – данные подставляются; не найден – регистрируется новый клиент</w:t>
            </w:r>
          </w:p>
        </w:tc>
      </w:tr>
      <w:tr>
        <w:trPr>
          <w:cantSplit/>
        </w:trPr>
        <w:tc>
          <w:tcPr>
            <w:tcW w:type="dxa" w:w="147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A1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XOR (ветвление)</w:t>
            </w:r>
          </w:p>
        </w:tc>
        <w:tc>
          <w:tcPr>
            <w:tcW w:type="dxa" w:w="232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После согласования стоимости</w:t>
            </w:r>
          </w:p>
        </w:tc>
        <w:tc>
          <w:tcPr>
            <w:tcW w:type="dxa" w:w="368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Клиент согласен – заявка сохраняется; отказался – фиксируется отказ (два финальных события)</w:t>
            </w:r>
          </w:p>
        </w:tc>
      </w:tr>
      <w:tr>
        <w:trPr>
          <w:cantSplit/>
        </w:trPr>
        <w:tc>
          <w:tcPr>
            <w:tcW w:type="dxa" w:w="147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A2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XOR (слияние)</w:t>
            </w:r>
          </w:p>
        </w:tc>
        <w:tc>
          <w:tcPr>
            <w:tcW w:type="dxa" w:w="232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Перед выбором поста и времени</w:t>
            </w:r>
          </w:p>
        </w:tc>
        <w:tc>
          <w:tcPr>
            <w:tcW w:type="dxa" w:w="368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Первый выбор или повторный выбор после конфликта</w:t>
            </w:r>
          </w:p>
        </w:tc>
      </w:tr>
      <w:tr>
        <w:trPr>
          <w:cantSplit/>
        </w:trPr>
        <w:tc>
          <w:tcPr>
            <w:tcW w:type="dxa" w:w="147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A2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XOR (ветвление)</w:t>
            </w:r>
          </w:p>
        </w:tc>
        <w:tc>
          <w:tcPr>
            <w:tcW w:type="dxa" w:w="232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После проверки пересечений</w:t>
            </w:r>
          </w:p>
        </w:tc>
        <w:tc>
          <w:tcPr>
            <w:tcW w:type="dxa" w:w="368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Пересечений нет – формируется заказ-наряд; есть – возврат к выбору (цикл)</w:t>
            </w:r>
          </w:p>
        </w:tc>
      </w:tr>
      <w:tr>
        <w:trPr>
          <w:cantSplit/>
        </w:trPr>
        <w:tc>
          <w:tcPr>
            <w:tcW w:type="dxa" w:w="147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A3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XOR (слияние)</w:t>
            </w:r>
          </w:p>
        </w:tc>
        <w:tc>
          <w:tcPr>
            <w:tcW w:type="dxa" w:w="232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Перед выполнением работ</w:t>
            </w:r>
          </w:p>
        </w:tc>
        <w:tc>
          <w:tcPr>
            <w:tcW w:type="dxa" w:w="368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Первое выполнение или продолжение после изменения заказ-наряда</w:t>
            </w:r>
          </w:p>
        </w:tc>
      </w:tr>
      <w:tr>
        <w:trPr>
          <w:cantSplit/>
        </w:trPr>
        <w:tc>
          <w:tcPr>
            <w:tcW w:type="dxa" w:w="147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A3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XOR (ветвление)</w:t>
            </w:r>
          </w:p>
        </w:tc>
        <w:tc>
          <w:tcPr>
            <w:tcW w:type="dxa" w:w="232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После выполнения работ</w:t>
            </w:r>
          </w:p>
        </w:tc>
        <w:tc>
          <w:tcPr>
            <w:tcW w:type="dxa" w:w="368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Доп. неисправности выявлены или нет</w:t>
            </w:r>
          </w:p>
        </w:tc>
      </w:tr>
      <w:tr>
        <w:trPr>
          <w:cantSplit/>
        </w:trPr>
        <w:tc>
          <w:tcPr>
            <w:tcW w:type="dxa" w:w="147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A3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XOR (ветвление)</w:t>
            </w:r>
          </w:p>
        </w:tc>
        <w:tc>
          <w:tcPr>
            <w:tcW w:type="dxa" w:w="232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После согласования доп. работ</w:t>
            </w:r>
          </w:p>
        </w:tc>
        <w:tc>
          <w:tcPr>
            <w:tcW w:type="dxa" w:w="368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Клиент согласен – цикл; отказ или нет ответа за 2 ч – фиксация отказа</w:t>
            </w:r>
          </w:p>
        </w:tc>
      </w:tr>
      <w:tr>
        <w:trPr>
          <w:cantSplit/>
        </w:trPr>
        <w:tc>
          <w:tcPr>
            <w:tcW w:type="dxa" w:w="147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A3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XOR (слияние)</w:t>
            </w:r>
          </w:p>
        </w:tc>
        <w:tc>
          <w:tcPr>
            <w:tcW w:type="dxa" w:w="232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Перед отметкой запчастей</w:t>
            </w:r>
          </w:p>
        </w:tc>
        <w:tc>
          <w:tcPr>
            <w:tcW w:type="dxa" w:w="368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Работы без доп. неисправностей или после отказа клиента</w:t>
            </w:r>
          </w:p>
        </w:tc>
      </w:tr>
      <w:tr>
        <w:trPr>
          <w:cantSplit/>
        </w:trPr>
        <w:tc>
          <w:tcPr>
            <w:tcW w:type="dxa" w:w="147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A4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XOR (слияние / ветвление)</w:t>
            </w:r>
          </w:p>
        </w:tc>
        <w:tc>
          <w:tcPr>
            <w:tcW w:type="dxa" w:w="232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Проверка полноты заказа</w:t>
            </w:r>
          </w:p>
        </w:tc>
        <w:tc>
          <w:tcPr>
            <w:tcW w:type="dxa" w:w="368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Заказ полный – расчёт; есть расхождения – устранение и повторная проверка</w:t>
            </w:r>
          </w:p>
        </w:tc>
      </w:tr>
      <w:tr>
        <w:trPr>
          <w:cantSplit/>
        </w:trPr>
        <w:tc>
          <w:tcPr>
            <w:tcW w:type="dxa" w:w="147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A4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AND (ветвление / слияние)</w:t>
            </w:r>
          </w:p>
        </w:tc>
        <w:tc>
          <w:tcPr>
            <w:tcW w:type="dxa" w:w="232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После фиксации оплаты</w:t>
            </w:r>
          </w:p>
        </w:tc>
        <w:tc>
          <w:tcPr>
            <w:tcW w:type="dxa" w:w="368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Закрытие заказа и выдача автомобиля выполняются параллельно, финальное событие – после обеих</w:t>
            </w:r>
          </w:p>
        </w:tc>
      </w:tr>
      <w:tr>
        <w:trPr>
          <w:cantSplit/>
        </w:trPr>
        <w:tc>
          <w:tcPr>
            <w:tcW w:type="dxa" w:w="147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A5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XOR (слияние)</w:t>
            </w:r>
          </w:p>
        </w:tc>
        <w:tc>
          <w:tcPr>
            <w:tcW w:type="dxa" w:w="232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Перед выборкой данных</w:t>
            </w:r>
          </w:p>
        </w:tc>
        <w:tc>
          <w:tcPr>
            <w:tcW w:type="dxa" w:w="368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Запуск по таймеру или по запросу руководителя</w:t>
            </w:r>
          </w:p>
        </w:tc>
      </w:tr>
      <w:tr>
        <w:trPr>
          <w:cantSplit/>
        </w:trPr>
        <w:tc>
          <w:tcPr>
            <w:tcW w:type="dxa" w:w="147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A5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AND (ветвление / слияние)</w:t>
            </w:r>
          </w:p>
        </w:tc>
        <w:tc>
          <w:tcPr>
            <w:tcW w:type="dxa" w:w="232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Расчёт показателей</w:t>
            </w:r>
          </w:p>
        </w:tc>
        <w:tc>
          <w:tcPr>
            <w:tcW w:type="dxa" w:w="368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Выручка, выработка механиков и показатели по клиентам рассчитываются параллельно</w:t>
            </w:r>
          </w:p>
        </w:tc>
      </w:tr>
      <w:tr>
        <w:trPr>
          <w:cantSplit/>
        </w:trPr>
        <w:tc>
          <w:tcPr>
            <w:tcW w:type="dxa" w:w="147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A5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XOR (ветвление)</w:t>
            </w:r>
          </w:p>
        </w:tc>
        <w:tc>
          <w:tcPr>
            <w:tcW w:type="dxa" w:w="232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После анализа отчёта</w:t>
            </w:r>
          </w:p>
        </w:tc>
        <w:tc>
          <w:tcPr>
            <w:tcW w:type="dxa" w:w="368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Выгрузка в Excel требуется или нет (два финальных события)</w:t>
            </w:r>
          </w:p>
        </w:tc>
      </w:tr>
    </w:tbl>
    <w:p>
      <w:pPr>
        <w:keepNext w:val="0"/>
        <w:spacing w:line="240" w:lineRule="auto" w:before="0" w:after="0"/>
        <w:ind w:firstLine="709"/>
        <w:jc w:val="both"/>
      </w:pP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Проверка логики и корректности моделей выполнена по критериям, приведённым в методических указаниях. Результаты проверки приведены в таблице 4.</w:t>
      </w:r>
    </w:p>
    <w:p>
      <w:pPr>
        <w:keepNext/>
        <w:spacing w:line="360" w:lineRule="auto" w:before="12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4 – Проверка корректности моделей EPC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77"/>
        <w:gridCol w:w="4677"/>
      </w:tblGrid>
      <w:tr>
        <w:trPr>
          <w:tblHeader w:val="true"/>
          <w:cantSplit/>
        </w:trPr>
        <w:tc>
          <w:tcPr>
            <w:tcW w:type="dxa" w:w="3175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Критерий</w:t>
            </w:r>
          </w:p>
        </w:tc>
        <w:tc>
          <w:tcPr>
            <w:tcW w:type="dxa" w:w="6180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Результат проверки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Каждая модель имеет стартовое и финальное событие</w:t>
            </w:r>
          </w:p>
        </w:tc>
        <w:tc>
          <w:tcPr>
            <w:tcW w:type="dxa" w:w="6180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Выполняется. Модели A2–A4 начинаются интерфейсом предыдущего процесса и стартовым событием, A2 и A3 заканчиваются интерфейсом следующего процесса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Все функции имеют входные и выходные события</w:t>
            </w:r>
          </w:p>
        </w:tc>
        <w:tc>
          <w:tcPr>
            <w:tcW w:type="dxa" w:w="6180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Выполняется. В точках ветвления и слияния функция связана с событием через оператор (например, «Зарегистрировать клиента и автомобиль» → XOR → «Данные клиента внесены в заявку»)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События и функции чередуются</w:t>
            </w:r>
          </w:p>
        </w:tc>
        <w:tc>
          <w:tcPr>
            <w:tcW w:type="dxa" w:w="6180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Выполняется: нигде не стоят подряд два события или две функции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После события нет ветвления XOR / OR</w:t>
            </w:r>
          </w:p>
        </w:tc>
        <w:tc>
          <w:tcPr>
            <w:tcW w:type="dxa" w:w="6180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Выполняется. Все ветвления XOR следуют за функциями, принимающими решение; после событий используются только слияния и оператор AND (модель A4)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Операторы ветвления и слияния согласованы</w:t>
            </w:r>
          </w:p>
        </w:tc>
        <w:tc>
          <w:tcPr>
            <w:tcW w:type="dxa" w:w="6180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Выполняется. Каждому ветвлению соответствует слияние того же типа, либо ветви заканчиваются собственными финальными событиями (A1, A5)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Нет «висячих» стрелок и несвязанных элементов</w:t>
            </w:r>
          </w:p>
        </w:tc>
        <w:tc>
          <w:tcPr>
            <w:tcW w:type="dxa" w:w="6180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Выполняется: каждый элемент имеет входящую и исходящую связь, кроме стартовых и финальных событий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Циклы имеют условие выхода</w:t>
            </w:r>
          </w:p>
        </w:tc>
        <w:tc>
          <w:tcPr>
            <w:tcW w:type="dxa" w:w="6180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Выполняется: циклы в A2, A3, A4 завершаются при наступлении события «Пересечений нет», «Отказ зафиксирован» или «Заказ полный»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Функциям назначены исполнители и данные</w:t>
            </w:r>
          </w:p>
        </w:tc>
        <w:tc>
          <w:tcPr>
            <w:tcW w:type="dxa" w:w="6180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Выполняется для функций основного пути; для функций боковых ветвей исполнитель совпадает с исполнителем функции, принявшей решение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Соответствие модели IDEF0</w:t>
            </w:r>
          </w:p>
        </w:tc>
        <w:tc>
          <w:tcPr>
            <w:tcW w:type="dxa" w:w="6180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Выполняется: функции верхнего уровня совпадают с блоками A1–A5, механизмы IDEF0 стали организационными единицами, управление – информационными объектами</w:t>
            </w:r>
          </w:p>
        </w:tc>
      </w:tr>
    </w:tbl>
    <w:p>
      <w:pPr>
        <w:keepNext w:val="0"/>
        <w:spacing w:line="240" w:lineRule="auto" w:before="0" w:after="0"/>
        <w:ind w:firstLine="709"/>
        <w:jc w:val="both"/>
      </w:pPr>
    </w:p>
    <w:p>
      <w:pPr>
        <w:keepNext/>
        <w:spacing w:line="360" w:lineRule="auto" w:before="240" w:after="120"/>
        <w:ind w:firstLine="0"/>
        <w:jc w:val="center"/>
        <w:outlineLvl w:val="0"/>
      </w:pPr>
      <w:r>
        <w:rPr>
          <w:rFonts w:ascii="Times New Roman" w:hAnsi="Times New Roman" w:cs="Times New Roman" w:eastAsia="Times New Roman"/>
          <w:b/>
          <w:i w:val="0"/>
          <w:sz w:val="28"/>
        </w:rPr>
        <w:t>4 Диаграммы потоков данных DFD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Диаграмма потоков данных (DFD) показывает, какие данные поступают в систему, как они преобразуются процессами, где хранятся и кому передаются. В отличие от EPC, DFD не отражает порядок выполнения и условия, а описывает информационные связи, поэтому её удобно использовать для выделения компонентов программного модуля и требований к данным. Диаграммы построены в нотации Гейна–Сарсона, её элементы приведены в таблице 5.</w:t>
      </w:r>
    </w:p>
    <w:p>
      <w:pPr>
        <w:keepNext/>
        <w:spacing w:line="360" w:lineRule="auto" w:before="12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5 – Элементы DFD в нотации Гейна–Сарсона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rPr>
          <w:tblHeader w:val="true"/>
          <w:cantSplit/>
        </w:trPr>
        <w:tc>
          <w:tcPr>
            <w:tcW w:type="dxa" w:w="1984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Элемент</w:t>
            </w:r>
          </w:p>
        </w:tc>
        <w:tc>
          <w:tcPr>
            <w:tcW w:type="dxa" w:w="3402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Обозначение</w:t>
            </w:r>
          </w:p>
        </w:tc>
        <w:tc>
          <w:tcPr>
            <w:tcW w:type="dxa" w:w="3969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Процесс</w:t>
            </w:r>
          </w:p>
        </w:tc>
        <w:tc>
          <w:tcPr>
            <w:tcW w:type="dxa" w:w="3402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Прямоугольник со скруглёнными углами, в верхней части – номер</w:t>
            </w:r>
          </w:p>
        </w:tc>
        <w:tc>
          <w:tcPr>
            <w:tcW w:type="dxa" w:w="3969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Преобразование входных потоков данных в выходные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Внешняя сущность</w:t>
            </w:r>
          </w:p>
        </w:tc>
        <w:tc>
          <w:tcPr>
            <w:tcW w:type="dxa" w:w="3402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Прямоугольник с тенью; повторное изображение отмечается косой чертой в углу</w:t>
            </w:r>
          </w:p>
        </w:tc>
        <w:tc>
          <w:tcPr>
            <w:tcW w:type="dxa" w:w="3969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Источник или получатель данных вне системы: человек, внешняя ИС, оборудование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Накопитель данных</w:t>
            </w:r>
          </w:p>
        </w:tc>
        <w:tc>
          <w:tcPr>
            <w:tcW w:type="dxa" w:w="3402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Открытый справа прямоугольник с идентификатором D1, D2, …</w:t>
            </w:r>
          </w:p>
        </w:tc>
        <w:tc>
          <w:tcPr>
            <w:tcW w:type="dxa" w:w="3969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Хранилище данных, к которому обращаются процессы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Поток данных</w:t>
            </w:r>
          </w:p>
        </w:tc>
        <w:tc>
          <w:tcPr>
            <w:tcW w:type="dxa" w:w="3402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Стрелка с подписью</w:t>
            </w:r>
          </w:p>
        </w:tc>
        <w:tc>
          <w:tcPr>
            <w:tcW w:type="dxa" w:w="3969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Передача данных между элементами; двунаправленная стрелка – чтение и запись</w:t>
            </w:r>
          </w:p>
        </w:tc>
      </w:tr>
    </w:tbl>
    <w:p>
      <w:pPr>
        <w:keepNext w:val="0"/>
        <w:spacing w:line="240" w:lineRule="auto" w:before="0" w:after="0"/>
        <w:ind w:firstLine="709"/>
        <w:jc w:val="both"/>
      </w:pP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DFD разработаны по уровням: контекстная диаграмма (рисунок 8) показывает систему как единый процесс и её окружение; диаграмма первого уровня (рисунок 9) раскрывает процессы 1–5, соответствующие моделям EPC A1–A5; диаграммы второго уровня (рисунки 10–14) детализируют каждый процесс до функций моделей EPC. Диаграммы сбалансированы: потоки на границе диаграммы нижнего уровня совпадают с потоками родительского процесса.</w:t>
      </w:r>
    </w:p>
    <w:p>
      <w:pPr>
        <w:sectPr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>
      <w:pPr>
        <w:keepNext/>
        <w:spacing w:line="24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000000" cy="505970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contex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5059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8 – Контекстная диаграмма DFD (уровень 0)</w:t>
      </w:r>
    </w:p>
    <w:p>
      <w:pPr>
        <w:keepNext w:val="0"/>
        <w:pageBreakBefore/>
        <w:spacing w:line="276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диаграмме первого уровня (рисунок 9) помимо процессов, соответствующих блокам IDEF0, появился процесс 6 «Вести справочники и прейскурант»: в IDEF0 прейскурант и регламенты были управляющими стрелками, но анализ потоков данных показал, что накопитель D3 должен кем-то заполняться и изменяться. Внешние сущности, связанные с несколькими процессами, изображены повторно.</w:t>
      </w:r>
    </w:p>
    <w:p>
      <w:pPr>
        <w:keepNext/>
        <w:spacing w:line="24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840000" cy="4894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level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489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9 – Диаграмма DFD первого уровня</w:t>
      </w:r>
    </w:p>
    <w:p>
      <w:pPr>
        <w:keepNext w:val="0"/>
        <w:pageBreakBefore/>
        <w:spacing w:line="276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Детализация процесса 1 «Принять заявку и зарегистрировать клиента» приведена на рисунке 10. Процессы 1.1–1.5 соответствуют функциям модели EPC A1. Накопитель D1 используется для поиска и регистрации клиента, D3 – для расчёта предварительной стоимости, итог – заявка в D2.</w:t>
      </w:r>
    </w:p>
    <w:p>
      <w:pPr>
        <w:keepNext/>
        <w:spacing w:line="24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640000" cy="488347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4883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10 – Диаграмма DFD второго уровня: процесс 1 «Принять заявку и зарегистрировать клиента»</w:t>
      </w:r>
    </w:p>
    <w:p>
      <w:pPr>
        <w:keepNext w:val="0"/>
        <w:pageBreakBefore/>
        <w:spacing w:line="276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Детализация процесса 2 «Спланировать работы и назначить исполнителя» приведена на рисунке 11. Процессы 2.1–2.5 соответствуют модели EPC A2. Накопитель D4 «График постов» читается при подборе времени и проверке пересечений и изменяется при бронировании.</w:t>
      </w:r>
    </w:p>
    <w:p>
      <w:pPr>
        <w:keepNext/>
        <w:spacing w:line="24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640000" cy="505043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5050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11 – Диаграмма DFD второго уровня: процесс 2 «Спланировать работы и назначить исполнителя»</w:t>
      </w:r>
    </w:p>
    <w:p>
      <w:pPr>
        <w:keepNext w:val="0"/>
        <w:pageBreakBefore/>
        <w:spacing w:line="276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Детализация процесса 3 «Учесть выполнение работ» приведена на рисунке 12. Процессы 3.1–3.5 соответствуют модели EPC A3. Почти все процессы изменяют накопитель D2, а уведомления клиенту отправляются через внешнюю сущность «SMS-шлюз».</w:t>
      </w:r>
    </w:p>
    <w:p>
      <w:pPr>
        <w:keepNext/>
        <w:spacing w:line="24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640000" cy="495469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4954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12 – Диаграмма DFD второго уровня: процесс 3 «Учесть выполнение работ»</w:t>
      </w:r>
    </w:p>
    <w:p>
      <w:pPr>
        <w:keepNext w:val="0"/>
        <w:pageBreakBefore/>
        <w:spacing w:line="276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Детализация процесса 4 «Рассчитать стоимость и принять оплату» приведена на рисунке 13. Процессы 4.1–4.5 соответствуют модели EPC A4. Данные об оплате и фискальный признак чека, полученный от ККТ, сохраняются в накопителе D5.</w:t>
      </w:r>
    </w:p>
    <w:p>
      <w:pPr>
        <w:keepNext/>
        <w:spacing w:line="24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640000" cy="487279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4872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13 – Диаграмма DFD второго уровня: процесс 4 «Рассчитать стоимость и принять оплату»</w:t>
      </w:r>
    </w:p>
    <w:p>
      <w:pPr>
        <w:keepNext w:val="0"/>
        <w:pageBreakBefore/>
        <w:spacing w:line="276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Детализация процесса 5 «Сформировать отчётность» приведена на рисунке 14. Процессы 5.1–5.5 соответствуют модели EPC A5. Отчёты строятся по данным D1, D2, D5 и сохраняются в новом накопителе D6 «Архив отчётов».</w:t>
      </w:r>
    </w:p>
    <w:p>
      <w:pPr>
        <w:keepNext/>
        <w:spacing w:line="24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640000" cy="496695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4966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14 – Диаграмма DFD второго уровня: процесс 5 «Сформировать отчётность»</w:t>
      </w:r>
    </w:p>
    <w:p>
      <w:pPr>
        <w:sectPr>
          <w:pgSz w:w="16838" w:h="11906" w:orient="landscape"/>
          <w:pgMar w:top="850" w:right="1134" w:bottom="850" w:left="1134" w:header="708" w:footer="708" w:gutter="0"/>
          <w:cols w:space="708"/>
          <w:titlePg/>
          <w:docGrid w:linePitch="381"/>
        </w:sectPr>
      </w:pPr>
    </w:p>
    <w:p>
      <w:pPr>
        <w:keepNext/>
        <w:spacing w:line="360" w:lineRule="auto" w:before="240" w:after="120"/>
        <w:ind w:firstLine="0"/>
        <w:jc w:val="center"/>
        <w:outlineLvl w:val="0"/>
      </w:pPr>
      <w:r>
        <w:rPr>
          <w:rFonts w:ascii="Times New Roman" w:hAnsi="Times New Roman" w:cs="Times New Roman" w:eastAsia="Times New Roman"/>
          <w:b/>
          <w:i w:val="0"/>
          <w:sz w:val="28"/>
        </w:rPr>
        <w:t>5 Компоненты DFD-диаграмм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Основные компоненты разработанных диаграмм потоков данных приведены в таблице 6 (по форме таблицы 1 задания).</w:t>
      </w:r>
    </w:p>
    <w:p>
      <w:pPr>
        <w:keepNext/>
        <w:spacing w:line="360" w:lineRule="auto" w:before="12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6 – Компоненты DFD-диаграмм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rPr>
          <w:tblHeader w:val="true"/>
          <w:cantSplit/>
        </w:trPr>
        <w:tc>
          <w:tcPr>
            <w:tcW w:type="dxa" w:w="737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№</w:t>
            </w:r>
          </w:p>
        </w:tc>
        <w:tc>
          <w:tcPr>
            <w:tcW w:type="dxa" w:w="2551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Компонент DFD-диаграммы</w:t>
            </w:r>
          </w:p>
        </w:tc>
        <w:tc>
          <w:tcPr>
            <w:tcW w:type="dxa" w:w="6066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Наименование компонента</w:t>
            </w:r>
          </w:p>
        </w:tc>
      </w:tr>
      <w:tr>
        <w:trPr>
          <w:cantSplit/>
        </w:trPr>
        <w:tc>
          <w:tcPr>
            <w:tcW w:type="dxa" w:w="737"/>
            <w:vAlign w:val="top"/>
            <w:shd w:val="clear" w:color="auto" w:fill="F2F2F2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1</w:t>
            </w:r>
          </w:p>
        </w:tc>
        <w:tc>
          <w:tcPr>
            <w:tcW w:type="dxa" w:w="2551"/>
            <w:vAlign w:val="top"/>
            <w:shd w:val="clear" w:color="auto" w:fill="F2F2F2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Внешняя сущность</w:t>
            </w:r>
          </w:p>
        </w:tc>
        <w:tc>
          <w:tcPr>
            <w:tcW w:type="dxa" w:w="6066"/>
            <w:vAlign w:val="top"/>
            <w:shd w:val="clear" w:color="auto" w:fill="F2F2F2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>
              <w:rPr>
                <w:b/>
              </w:rPr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1.1</w:t>
            </w:r>
          </w:p>
        </w:tc>
        <w:tc>
          <w:tcPr>
            <w:tcW w:type="dxa" w:w="255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</w:p>
        </w:tc>
        <w:tc>
          <w:tcPr>
            <w:tcW w:type="dxa" w:w="6066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Клиент – владелец автомобиля (субъект)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1.2</w:t>
            </w:r>
          </w:p>
        </w:tc>
        <w:tc>
          <w:tcPr>
            <w:tcW w:type="dxa" w:w="255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</w:p>
        </w:tc>
        <w:tc>
          <w:tcPr>
            <w:tcW w:type="dxa" w:w="6066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Мастер-приёмщик – пользователь системы (субъект)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1.3</w:t>
            </w:r>
          </w:p>
        </w:tc>
        <w:tc>
          <w:tcPr>
            <w:tcW w:type="dxa" w:w="255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</w:p>
        </w:tc>
        <w:tc>
          <w:tcPr>
            <w:tcW w:type="dxa" w:w="6066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Автомеханик – пользователь системы (субъект)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1.4</w:t>
            </w:r>
          </w:p>
        </w:tc>
        <w:tc>
          <w:tcPr>
            <w:tcW w:type="dxa" w:w="255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</w:p>
        </w:tc>
        <w:tc>
          <w:tcPr>
            <w:tcW w:type="dxa" w:w="6066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Руководитель – пользователь системы (субъект)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1.5</w:t>
            </w:r>
          </w:p>
        </w:tc>
        <w:tc>
          <w:tcPr>
            <w:tcW w:type="dxa" w:w="255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</w:p>
        </w:tc>
        <w:tc>
          <w:tcPr>
            <w:tcW w:type="dxa" w:w="6066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SMS-шлюз – внешняя ИС провайдера рассылок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1.6</w:t>
            </w:r>
          </w:p>
        </w:tc>
        <w:tc>
          <w:tcPr>
            <w:tcW w:type="dxa" w:w="255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</w:p>
        </w:tc>
        <w:tc>
          <w:tcPr>
            <w:tcW w:type="dxa" w:w="6066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ККТ – контрольно-кассовая техника (внешняя система)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1.7</w:t>
            </w:r>
          </w:p>
        </w:tc>
        <w:tc>
          <w:tcPr>
            <w:tcW w:type="dxa" w:w="255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</w:p>
        </w:tc>
        <w:tc>
          <w:tcPr>
            <w:tcW w:type="dxa" w:w="6066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Таймер (расписание) – системный источник событий по времени</w:t>
            </w:r>
          </w:p>
        </w:tc>
      </w:tr>
      <w:tr>
        <w:trPr>
          <w:cantSplit/>
        </w:trPr>
        <w:tc>
          <w:tcPr>
            <w:tcW w:type="dxa" w:w="737"/>
            <w:vAlign w:val="top"/>
            <w:shd w:val="clear" w:color="auto" w:fill="F2F2F2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2</w:t>
            </w:r>
          </w:p>
        </w:tc>
        <w:tc>
          <w:tcPr>
            <w:tcW w:type="dxa" w:w="2551"/>
            <w:vAlign w:val="top"/>
            <w:shd w:val="clear" w:color="auto" w:fill="F2F2F2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Процесс</w:t>
            </w:r>
          </w:p>
        </w:tc>
        <w:tc>
          <w:tcPr>
            <w:tcW w:type="dxa" w:w="6066"/>
            <w:vAlign w:val="top"/>
            <w:shd w:val="clear" w:color="auto" w:fill="F2F2F2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>
              <w:rPr>
                <w:b/>
              </w:rPr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2.1</w:t>
            </w:r>
          </w:p>
        </w:tc>
        <w:tc>
          <w:tcPr>
            <w:tcW w:type="dxa" w:w="255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</w:p>
        </w:tc>
        <w:tc>
          <w:tcPr>
            <w:tcW w:type="dxa" w:w="6066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 «Принять заявку и зарегистрировать клиента»: 1.1 Найти клиента в базе; 1.2 Зарегистрировать клиента и автомобиль; 1.3 Оформить заявку; 1.4 Рассчитать предварительную стоимость; 1.5 Зафиксировать решение, сохранить заявку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2.2</w:t>
            </w:r>
          </w:p>
        </w:tc>
        <w:tc>
          <w:tcPr>
            <w:tcW w:type="dxa" w:w="255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</w:p>
        </w:tc>
        <w:tc>
          <w:tcPr>
            <w:tcW w:type="dxa" w:w="6066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 «Спланировать работы и назначить исполнителя»: 2.1 Сформировать состав работ; 2.2 Подобрать пост, механика и время; 2.3 Проверить пересечения; 2.4 Сформировать заказ-наряд; 2.5 Уведомить клиента о сроке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2.3</w:t>
            </w:r>
          </w:p>
        </w:tc>
        <w:tc>
          <w:tcPr>
            <w:tcW w:type="dxa" w:w="255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</w:p>
        </w:tc>
        <w:tc>
          <w:tcPr>
            <w:tcW w:type="dxa" w:w="6066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 «Учесть выполнение работ»: 3.1 Зафиксировать начало работ; 3.2 Оформить доп. работы; 3.3 Согласовать доп. работы; 3.4 Учесть запчасти, завершить работы; 3.5 Уведомить о готовности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2.4</w:t>
            </w:r>
          </w:p>
        </w:tc>
        <w:tc>
          <w:tcPr>
            <w:tcW w:type="dxa" w:w="255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</w:p>
        </w:tc>
        <w:tc>
          <w:tcPr>
            <w:tcW w:type="dxa" w:w="6066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4 «Рассчитать стоимость и принять оплату»: 4.1 Проверить полноту заказа; 4.2 Рассчитать стоимость, сформировать квитанцию; 4.3 Зафиксировать оплату; 4.4 Пробить кассовый чек; 4.5 Закрыть заказ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2.5</w:t>
            </w:r>
          </w:p>
        </w:tc>
        <w:tc>
          <w:tcPr>
            <w:tcW w:type="dxa" w:w="255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</w:p>
        </w:tc>
        <w:tc>
          <w:tcPr>
            <w:tcW w:type="dxa" w:w="6066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5 «Сформировать отчётность»: 5.1 Принять параметры отчёта; 5.2 Выбрать данные за период; 5.3 Рассчитать показатели; 5.4 Сформировать отчёт; 5.5 Экспортировать отчёт в Excel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2.6</w:t>
            </w:r>
          </w:p>
        </w:tc>
        <w:tc>
          <w:tcPr>
            <w:tcW w:type="dxa" w:w="255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</w:p>
        </w:tc>
        <w:tc>
          <w:tcPr>
            <w:tcW w:type="dxa" w:w="6066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6 «Вести справочники и прейскурант»</w:t>
            </w:r>
          </w:p>
        </w:tc>
      </w:tr>
      <w:tr>
        <w:trPr>
          <w:cantSplit/>
        </w:trPr>
        <w:tc>
          <w:tcPr>
            <w:tcW w:type="dxa" w:w="737"/>
            <w:vAlign w:val="top"/>
            <w:shd w:val="clear" w:color="auto" w:fill="F2F2F2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3</w:t>
            </w:r>
          </w:p>
        </w:tc>
        <w:tc>
          <w:tcPr>
            <w:tcW w:type="dxa" w:w="2551"/>
            <w:vAlign w:val="top"/>
            <w:shd w:val="clear" w:color="auto" w:fill="F2F2F2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Поток данных</w:t>
            </w:r>
          </w:p>
        </w:tc>
        <w:tc>
          <w:tcPr>
            <w:tcW w:type="dxa" w:w="6066"/>
            <w:vAlign w:val="top"/>
            <w:shd w:val="clear" w:color="auto" w:fill="F2F2F2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>
              <w:rPr>
                <w:b/>
              </w:rPr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3.1</w:t>
            </w:r>
          </w:p>
        </w:tc>
        <w:tc>
          <w:tcPr>
            <w:tcW w:type="dxa" w:w="255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</w:p>
        </w:tc>
        <w:tc>
          <w:tcPr>
            <w:tcW w:type="dxa" w:w="6066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Онлайн-заявка (Клиент → 1)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3.2</w:t>
            </w:r>
          </w:p>
        </w:tc>
        <w:tc>
          <w:tcPr>
            <w:tcW w:type="dxa" w:w="255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</w:p>
        </w:tc>
        <w:tc>
          <w:tcPr>
            <w:tcW w:type="dxa" w:w="6066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Данные клиента и автомобиля, заявка, решение клиента (Мастер-приёмщик → 1)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3.3</w:t>
            </w:r>
          </w:p>
        </w:tc>
        <w:tc>
          <w:tcPr>
            <w:tcW w:type="dxa" w:w="255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</w:p>
        </w:tc>
        <w:tc>
          <w:tcPr>
            <w:tcW w:type="dxa" w:w="6066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Карточка клиента / новый клиент и автомобиль (D1 ↔ 1)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3.4</w:t>
            </w:r>
          </w:p>
        </w:tc>
        <w:tc>
          <w:tcPr>
            <w:tcW w:type="dxa" w:w="255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</w:p>
        </w:tc>
        <w:tc>
          <w:tcPr>
            <w:tcW w:type="dxa" w:w="6066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Предварительная стоимость, акт приёма (1 → Мастер-приёмщик)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3.5</w:t>
            </w:r>
          </w:p>
        </w:tc>
        <w:tc>
          <w:tcPr>
            <w:tcW w:type="dxa" w:w="255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</w:p>
        </w:tc>
        <w:tc>
          <w:tcPr>
            <w:tcW w:type="dxa" w:w="6066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Заявка (1 → D2, D2 → 2)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3.6</w:t>
            </w:r>
          </w:p>
        </w:tc>
        <w:tc>
          <w:tcPr>
            <w:tcW w:type="dxa" w:w="255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</w:p>
        </w:tc>
        <w:tc>
          <w:tcPr>
            <w:tcW w:type="dxa" w:w="6066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Подтверждение записи, плановая дата (1, 2 → SMS-шлюз)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3.7</w:t>
            </w:r>
          </w:p>
        </w:tc>
        <w:tc>
          <w:tcPr>
            <w:tcW w:type="dxa" w:w="255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</w:p>
        </w:tc>
        <w:tc>
          <w:tcPr>
            <w:tcW w:type="dxa" w:w="6066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Цены работ, нормо-часы, регламент ТО (D3 → 1, 2, 3, 4)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3.8</w:t>
            </w:r>
          </w:p>
        </w:tc>
        <w:tc>
          <w:tcPr>
            <w:tcW w:type="dxa" w:w="255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</w:p>
        </w:tc>
        <w:tc>
          <w:tcPr>
            <w:tcW w:type="dxa" w:w="6066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Выбор поста, механика, времени (Мастер-приёмщик → 2)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3.9</w:t>
            </w:r>
          </w:p>
        </w:tc>
        <w:tc>
          <w:tcPr>
            <w:tcW w:type="dxa" w:w="255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</w:p>
        </w:tc>
        <w:tc>
          <w:tcPr>
            <w:tcW w:type="dxa" w:w="6066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Предупреждение о пересечении (2 → Мастер-приёмщик)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3.10</w:t>
            </w:r>
          </w:p>
        </w:tc>
        <w:tc>
          <w:tcPr>
            <w:tcW w:type="dxa" w:w="255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</w:p>
        </w:tc>
        <w:tc>
          <w:tcPr>
            <w:tcW w:type="dxa" w:w="6066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Свободное время, занятость постов / бронь (D4 ↔ 2)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3.11</w:t>
            </w:r>
          </w:p>
        </w:tc>
        <w:tc>
          <w:tcPr>
            <w:tcW w:type="dxa" w:w="255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</w:p>
        </w:tc>
        <w:tc>
          <w:tcPr>
            <w:tcW w:type="dxa" w:w="6066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Заказ-наряд (2 → D2, 2 → Автомеханик)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3.12</w:t>
            </w:r>
          </w:p>
        </w:tc>
        <w:tc>
          <w:tcPr>
            <w:tcW w:type="dxa" w:w="255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</w:p>
        </w:tc>
        <w:tc>
          <w:tcPr>
            <w:tcW w:type="dxa" w:w="6066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Статус работ, доп. работы, запчасти (Автомеханик → 3)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3.13</w:t>
            </w:r>
          </w:p>
        </w:tc>
        <w:tc>
          <w:tcPr>
            <w:tcW w:type="dxa" w:w="255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</w:p>
        </w:tc>
        <w:tc>
          <w:tcPr>
            <w:tcW w:type="dxa" w:w="6066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Уведомление о доп. работах (3 → Мастер-приёмщик)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3.14</w:t>
            </w:r>
          </w:p>
        </w:tc>
        <w:tc>
          <w:tcPr>
            <w:tcW w:type="dxa" w:w="255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</w:p>
        </w:tc>
        <w:tc>
          <w:tcPr>
            <w:tcW w:type="dxa" w:w="6066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Решение по доп. работам (Клиент, Мастер-приёмщик → 3)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3.15</w:t>
            </w:r>
          </w:p>
        </w:tc>
        <w:tc>
          <w:tcPr>
            <w:tcW w:type="dxa" w:w="255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</w:p>
        </w:tc>
        <w:tc>
          <w:tcPr>
            <w:tcW w:type="dxa" w:w="6066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Изменения заказа: статус, доп. работы, стоимость, срок, запчасти (3 ↔ D2)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3.16</w:t>
            </w:r>
          </w:p>
        </w:tc>
        <w:tc>
          <w:tcPr>
            <w:tcW w:type="dxa" w:w="255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</w:p>
        </w:tc>
        <w:tc>
          <w:tcPr>
            <w:tcW w:type="dxa" w:w="6066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Запрос согласования, SMS о готовности (3 → SMS-шлюз)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3.17</w:t>
            </w:r>
          </w:p>
        </w:tc>
        <w:tc>
          <w:tcPr>
            <w:tcW w:type="dxa" w:w="255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</w:p>
        </w:tc>
        <w:tc>
          <w:tcPr>
            <w:tcW w:type="dxa" w:w="6066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Статус доставки SMS (SMS-шлюз → 3)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3.18</w:t>
            </w:r>
          </w:p>
        </w:tc>
        <w:tc>
          <w:tcPr>
            <w:tcW w:type="dxa" w:w="255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</w:p>
        </w:tc>
        <w:tc>
          <w:tcPr>
            <w:tcW w:type="dxa" w:w="6066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Работы, запчасти / статус «Выдан» (D2 ↔ 4)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3.19</w:t>
            </w:r>
          </w:p>
        </w:tc>
        <w:tc>
          <w:tcPr>
            <w:tcW w:type="dxa" w:w="255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</w:p>
        </w:tc>
        <w:tc>
          <w:tcPr>
            <w:tcW w:type="dxa" w:w="6066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Квитанция, список расхождений (4 → Мастер-приёмщик)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3.20</w:t>
            </w:r>
          </w:p>
        </w:tc>
        <w:tc>
          <w:tcPr>
            <w:tcW w:type="dxa" w:w="255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</w:p>
        </w:tc>
        <w:tc>
          <w:tcPr>
            <w:tcW w:type="dxa" w:w="6066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Отметка об оплате (Мастер-приёмщик → 4)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3.21</w:t>
            </w:r>
          </w:p>
        </w:tc>
        <w:tc>
          <w:tcPr>
            <w:tcW w:type="dxa" w:w="255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</w:p>
        </w:tc>
        <w:tc>
          <w:tcPr>
            <w:tcW w:type="dxa" w:w="6066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Данные кассового чека (4 → ККТ)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3.22</w:t>
            </w:r>
          </w:p>
        </w:tc>
        <w:tc>
          <w:tcPr>
            <w:tcW w:type="dxa" w:w="255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</w:p>
        </w:tc>
        <w:tc>
          <w:tcPr>
            <w:tcW w:type="dxa" w:w="6066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Фискальный признак чека (ККТ → 4)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3.23</w:t>
            </w:r>
          </w:p>
        </w:tc>
        <w:tc>
          <w:tcPr>
            <w:tcW w:type="dxa" w:w="255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</w:p>
        </w:tc>
        <w:tc>
          <w:tcPr>
            <w:tcW w:type="dxa" w:w="6066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Оплата, чек (4 → D5)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3.24</w:t>
            </w:r>
          </w:p>
        </w:tc>
        <w:tc>
          <w:tcPr>
            <w:tcW w:type="dxa" w:w="255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</w:p>
        </w:tc>
        <w:tc>
          <w:tcPr>
            <w:tcW w:type="dxa" w:w="6066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Электронная квитанция и чек (4 → Клиент)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3.25</w:t>
            </w:r>
          </w:p>
        </w:tc>
        <w:tc>
          <w:tcPr>
            <w:tcW w:type="dxa" w:w="255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</w:p>
        </w:tc>
        <w:tc>
          <w:tcPr>
            <w:tcW w:type="dxa" w:w="6066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Сигнал расписания (Таймер → 5)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3.26</w:t>
            </w:r>
          </w:p>
        </w:tc>
        <w:tc>
          <w:tcPr>
            <w:tcW w:type="dxa" w:w="255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</w:p>
        </w:tc>
        <w:tc>
          <w:tcPr>
            <w:tcW w:type="dxa" w:w="6066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Параметры отчёта (Руководитель → 5)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3.27</w:t>
            </w:r>
          </w:p>
        </w:tc>
        <w:tc>
          <w:tcPr>
            <w:tcW w:type="dxa" w:w="255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</w:p>
        </w:tc>
        <w:tc>
          <w:tcPr>
            <w:tcW w:type="dxa" w:w="6066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Клиенты, закрытые заказы, оплаты (D1, D2, D5 → 5)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3.28</w:t>
            </w:r>
          </w:p>
        </w:tc>
        <w:tc>
          <w:tcPr>
            <w:tcW w:type="dxa" w:w="255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</w:p>
        </w:tc>
        <w:tc>
          <w:tcPr>
            <w:tcW w:type="dxa" w:w="6066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Отчёты, файл XLSX (5 → Руководитель, 5 → D6)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3.29</w:t>
            </w:r>
          </w:p>
        </w:tc>
        <w:tc>
          <w:tcPr>
            <w:tcW w:type="dxa" w:w="255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</w:p>
        </w:tc>
        <w:tc>
          <w:tcPr>
            <w:tcW w:type="dxa" w:w="6066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Прейскурант, регламенты (Руководитель → 6)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3.30</w:t>
            </w:r>
          </w:p>
        </w:tc>
        <w:tc>
          <w:tcPr>
            <w:tcW w:type="dxa" w:w="255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</w:p>
        </w:tc>
        <w:tc>
          <w:tcPr>
            <w:tcW w:type="dxa" w:w="6066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Справочные данные (6 → D3)</w:t>
            </w:r>
          </w:p>
        </w:tc>
      </w:tr>
      <w:tr>
        <w:trPr>
          <w:cantSplit/>
        </w:trPr>
        <w:tc>
          <w:tcPr>
            <w:tcW w:type="dxa" w:w="737"/>
            <w:vAlign w:val="top"/>
            <w:shd w:val="clear" w:color="auto" w:fill="F2F2F2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4</w:t>
            </w:r>
          </w:p>
        </w:tc>
        <w:tc>
          <w:tcPr>
            <w:tcW w:type="dxa" w:w="2551"/>
            <w:vAlign w:val="top"/>
            <w:shd w:val="clear" w:color="auto" w:fill="F2F2F2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Хранилище (накопитель данных)</w:t>
            </w:r>
          </w:p>
        </w:tc>
        <w:tc>
          <w:tcPr>
            <w:tcW w:type="dxa" w:w="6066"/>
            <w:vAlign w:val="top"/>
            <w:shd w:val="clear" w:color="auto" w:fill="F2F2F2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>
              <w:rPr>
                <w:b/>
              </w:rPr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4.1</w:t>
            </w:r>
          </w:p>
        </w:tc>
        <w:tc>
          <w:tcPr>
            <w:tcW w:type="dxa" w:w="255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</w:p>
        </w:tc>
        <w:tc>
          <w:tcPr>
            <w:tcW w:type="dxa" w:w="6066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D1 «Клиенты и автомобили» – клиенты, контакты, согласие на обработку ПД, автомобили (марка, модель, госномер, VIN)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4.2</w:t>
            </w:r>
          </w:p>
        </w:tc>
        <w:tc>
          <w:tcPr>
            <w:tcW w:type="dxa" w:w="255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</w:p>
        </w:tc>
        <w:tc>
          <w:tcPr>
            <w:tcW w:type="dxa" w:w="6066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D2 «Заказы» – заявки, заказ-наряды, работы и доп. работы, запчасти, статусы и их история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4.3</w:t>
            </w:r>
          </w:p>
        </w:tc>
        <w:tc>
          <w:tcPr>
            <w:tcW w:type="dxa" w:w="255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</w:p>
        </w:tc>
        <w:tc>
          <w:tcPr>
            <w:tcW w:type="dxa" w:w="6066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D3 «Прейскурант и регламенты ТО» – виды работ, нормо-часы, цены, регламенты ТО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4.4</w:t>
            </w:r>
          </w:p>
        </w:tc>
        <w:tc>
          <w:tcPr>
            <w:tcW w:type="dxa" w:w="255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</w:p>
        </w:tc>
        <w:tc>
          <w:tcPr>
            <w:tcW w:type="dxa" w:w="6066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D4 «График постов» – посты, механики, бронирование времени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4.5</w:t>
            </w:r>
          </w:p>
        </w:tc>
        <w:tc>
          <w:tcPr>
            <w:tcW w:type="dxa" w:w="255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</w:p>
        </w:tc>
        <w:tc>
          <w:tcPr>
            <w:tcW w:type="dxa" w:w="6066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D5 «Оплаты и чеки» – платежи, способ оплаты, фискальные признаки чеков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4.6</w:t>
            </w:r>
          </w:p>
        </w:tc>
        <w:tc>
          <w:tcPr>
            <w:tcW w:type="dxa" w:w="255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</w:p>
        </w:tc>
        <w:tc>
          <w:tcPr>
            <w:tcW w:type="dxa" w:w="6066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D6 «Архив отчётов» – сформированные отчёты с параметрами</w:t>
            </w:r>
          </w:p>
        </w:tc>
      </w:tr>
    </w:tbl>
    <w:p>
      <w:pPr>
        <w:keepNext w:val="0"/>
        <w:spacing w:line="240" w:lineRule="auto" w:before="0" w:after="0"/>
        <w:ind w:firstLine="709"/>
        <w:jc w:val="both"/>
      </w:pPr>
    </w:p>
    <w:p>
      <w:pPr>
        <w:keepNext/>
        <w:spacing w:line="360" w:lineRule="auto" w:before="240" w:after="120"/>
        <w:ind w:firstLine="0"/>
        <w:jc w:val="center"/>
        <w:outlineLvl w:val="0"/>
      </w:pPr>
      <w:r>
        <w:rPr>
          <w:rFonts w:ascii="Times New Roman" w:hAnsi="Times New Roman" w:cs="Times New Roman" w:eastAsia="Times New Roman"/>
          <w:b/>
          <w:i w:val="0"/>
          <w:sz w:val="28"/>
        </w:rPr>
        <w:t>6 Уточнение требований к компонентам программного модуля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Анализ диаграмм потоков данных позволил разделить программный модуль на компоненты: процессы, работающие с одними и теми же накопителями и внешними сущностями, объединены в один компонент. Состав компонентов приведён в таблице 7.</w:t>
      </w:r>
    </w:p>
    <w:p>
      <w:pPr>
        <w:keepNext/>
        <w:spacing w:line="360" w:lineRule="auto" w:before="12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7 – Компоненты программного модуля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  <w:cantSplit/>
        </w:trPr>
        <w:tc>
          <w:tcPr>
            <w:tcW w:type="dxa" w:w="2494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Компонент</w:t>
            </w:r>
          </w:p>
        </w:tc>
        <w:tc>
          <w:tcPr>
            <w:tcW w:type="dxa" w:w="1814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Процессы DFD</w:t>
            </w:r>
          </w:p>
        </w:tc>
        <w:tc>
          <w:tcPr>
            <w:tcW w:type="dxa" w:w="2041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Накопители</w:t>
            </w:r>
          </w:p>
        </w:tc>
        <w:tc>
          <w:tcPr>
            <w:tcW w:type="dxa" w:w="3005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Внешние сущности / интерфейсы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К1 «Клиенты и заявки»</w:t>
            </w:r>
          </w:p>
        </w:tc>
        <w:tc>
          <w:tcPr>
            <w:tcW w:type="dxa" w:w="181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1.1–1.5</w:t>
            </w:r>
          </w:p>
        </w:tc>
        <w:tc>
          <w:tcPr>
            <w:tcW w:type="dxa" w:w="204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D1, D2, D3 (чтение)</w:t>
            </w:r>
          </w:p>
        </w:tc>
        <w:tc>
          <w:tcPr>
            <w:tcW w:type="dxa" w:w="300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Клиент (онлайн-запись), мастер-приёмщик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К2 «Планирование»</w:t>
            </w:r>
          </w:p>
        </w:tc>
        <w:tc>
          <w:tcPr>
            <w:tcW w:type="dxa" w:w="181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2.1–2.4</w:t>
            </w:r>
          </w:p>
        </w:tc>
        <w:tc>
          <w:tcPr>
            <w:tcW w:type="dxa" w:w="204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D2, D3 (чтение), D4</w:t>
            </w:r>
          </w:p>
        </w:tc>
        <w:tc>
          <w:tcPr>
            <w:tcW w:type="dxa" w:w="300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Мастер-приёмщик, автомеханик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К3 «Выполнение работ» (рабочее место механика)</w:t>
            </w:r>
          </w:p>
        </w:tc>
        <w:tc>
          <w:tcPr>
            <w:tcW w:type="dxa" w:w="181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3.1–3.4</w:t>
            </w:r>
          </w:p>
        </w:tc>
        <w:tc>
          <w:tcPr>
            <w:tcW w:type="dxa" w:w="204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D2, D3 (чтение)</w:t>
            </w:r>
          </w:p>
        </w:tc>
        <w:tc>
          <w:tcPr>
            <w:tcW w:type="dxa" w:w="300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Автомеханик, мастер-приёмщик, клиент (ответ из SMS)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К4 «Расчёты и оплата»</w:t>
            </w:r>
          </w:p>
        </w:tc>
        <w:tc>
          <w:tcPr>
            <w:tcW w:type="dxa" w:w="181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4.1–4.5</w:t>
            </w:r>
          </w:p>
        </w:tc>
        <w:tc>
          <w:tcPr>
            <w:tcW w:type="dxa" w:w="204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D2, D3 (чтение), D5</w:t>
            </w:r>
          </w:p>
        </w:tc>
        <w:tc>
          <w:tcPr>
            <w:tcW w:type="dxa" w:w="300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Мастер-приёмщик, ККТ, клиент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К5 «Отчётность»</w:t>
            </w:r>
          </w:p>
        </w:tc>
        <w:tc>
          <w:tcPr>
            <w:tcW w:type="dxa" w:w="181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5.1–5.5</w:t>
            </w:r>
          </w:p>
        </w:tc>
        <w:tc>
          <w:tcPr>
            <w:tcW w:type="dxa" w:w="204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D1, D2, D5 (чтение), D6</w:t>
            </w:r>
          </w:p>
        </w:tc>
        <w:tc>
          <w:tcPr>
            <w:tcW w:type="dxa" w:w="300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Руководитель, таймер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К6 «Справочники»</w:t>
            </w:r>
          </w:p>
        </w:tc>
        <w:tc>
          <w:tcPr>
            <w:tcW w:type="dxa" w:w="181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204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D3</w:t>
            </w:r>
          </w:p>
        </w:tc>
        <w:tc>
          <w:tcPr>
            <w:tcW w:type="dxa" w:w="300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Руководитель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К7 «Уведомления»</w:t>
            </w:r>
          </w:p>
        </w:tc>
        <w:tc>
          <w:tcPr>
            <w:tcW w:type="dxa" w:w="181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1.5, 2.5, 3.3, 3.5 (отправка SMS)</w:t>
            </w:r>
          </w:p>
        </w:tc>
        <w:tc>
          <w:tcPr>
            <w:tcW w:type="dxa" w:w="204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D1 (чтение), журнал уведомлений</w:t>
            </w:r>
          </w:p>
        </w:tc>
        <w:tc>
          <w:tcPr>
            <w:tcW w:type="dxa" w:w="3005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SMS-шлюз</w:t>
            </w:r>
          </w:p>
        </w:tc>
      </w:tr>
    </w:tbl>
    <w:p>
      <w:pPr>
        <w:keepNext w:val="0"/>
        <w:spacing w:line="240" w:lineRule="auto" w:before="0" w:after="0"/>
        <w:ind w:firstLine="709"/>
        <w:jc w:val="both"/>
      </w:pP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результатам анализа DFD спецификация требований из работы №2 уточнена: добавлены требования к данным в накопителях, к взаимодействию компонентов и к интерфейсам с внешними системами. Новые и изменённые требования приведены в таблице 8; в начале формулировки указан компонент, к которому относится требование.</w:t>
      </w:r>
    </w:p>
    <w:p>
      <w:pPr>
        <w:keepNext/>
        <w:spacing w:line="360" w:lineRule="auto" w:before="12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8 – Уточнённые требования к компонентам программного модуля (FURPS+)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  <w:cantSplit/>
        </w:trPr>
        <w:tc>
          <w:tcPr>
            <w:tcW w:type="dxa" w:w="964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ID</w:t>
            </w:r>
          </w:p>
        </w:tc>
        <w:tc>
          <w:tcPr>
            <w:tcW w:type="dxa" w:w="3118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Требование</w:t>
            </w:r>
          </w:p>
        </w:tc>
        <w:tc>
          <w:tcPr>
            <w:tcW w:type="dxa" w:w="1417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Приоритет</w:t>
            </w:r>
          </w:p>
          <w:p>
            <w:pPr>
              <w:keepNext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(важность)</w:t>
            </w:r>
          </w:p>
        </w:tc>
        <w:tc>
          <w:tcPr>
            <w:tcW w:type="dxa" w:w="1871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Тестируемость</w:t>
            </w:r>
          </w:p>
          <w:p>
            <w:pPr>
              <w:keepNext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(проверяемость)</w:t>
            </w:r>
          </w:p>
        </w:tc>
        <w:tc>
          <w:tcPr>
            <w:tcW w:type="dxa" w:w="1984"/>
            <w:vAlign w:val="top"/>
            <w:shd w:val="clear" w:color="auto" w:fill="E7E6E6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Сложность</w:t>
            </w:r>
          </w:p>
          <w:p>
            <w:pPr>
              <w:keepNext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реализации</w:t>
            </w:r>
          </w:p>
          <w:p>
            <w:pPr>
              <w:keepNext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(выполнимость)</w:t>
            </w:r>
          </w:p>
        </w:tc>
      </w:tr>
      <w:tr>
        <w:trPr>
          <w:cantSplit/>
        </w:trPr>
        <w:tc>
          <w:tcPr>
            <w:tcW w:type="dxa" w:w="1984"/>
            <w:gridSpan w:val="5"/>
            <w:vAlign w:val="top"/>
            <w:shd w:val="clear" w:color="auto" w:fill="F2F2F2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Функциональные требования (Functionality)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F-04</w:t>
            </w:r>
          </w:p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(изм.)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[К6] Руководитель должен вести справочники видов работ (наименование, нормо-часы, цена), регламентов ТО по моделям автомобилей, постов и механиков; изменять справочники могут только пользователи с ролью «Руководитель»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Высокий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Низкая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F-17</w:t>
            </w:r>
          </w:p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(изм.)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[Все] Права доступа ролей к накопителям: мастер-приёмщик – чтение и запись D1, D2, D4, D5; автомеханик – только свои заказ-наряды в D2; руководитель – все накопители, запись в D3 и D6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Высокий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Средняя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F-35</w:t>
            </w:r>
          </w:p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(нов.)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[К1] Клиент в D1 должен однозначно идентифицироваться номером телефона, автомобиль – VIN и госномером; у клиента может быть несколько автомобилей, история обслуживания хранится по автомобилю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Высокий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Низкая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F-36</w:t>
            </w:r>
          </w:p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(нов.)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[К6, К4] При изменении прейскуранта система должна сохранять историю цен с датой начала действия; в заказе фиксируются цены на момент расчёта, поэтому изменение прейскуранта не меняет сохранённые заказы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Высокий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Средняя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F-37</w:t>
            </w:r>
          </w:p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(нов.)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[К7] Сообщения от процессов 1.5, 2.5, 3.3, 3.5 должны ставиться в очередь компонента «Уведомления», который отправляет их через SMS-шлюз и сохраняет статус доставки в журнале уведомлений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Средний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Средняя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F-38</w:t>
            </w:r>
          </w:p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(нов.)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[К4] Для каждого платежа в D5 должны храниться сумма, способ и дата оплаты, ссылка на заказ и фискальный признак чека; платёж без фискального признака отмечается «чек не пробит»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Высокий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Средняя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F-39</w:t>
            </w:r>
          </w:p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(нов.)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[К3] Рабочее место механика должно показывать только назначенные ему заказ-наряды и сведения об автомобиле, без персональных данных клиента (ФИО, телефон)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Средний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Низкая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F-40</w:t>
            </w:r>
          </w:p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(нов.)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[К5] Сформированные отчёты должны сохраняться в архиве D6 (дата, параметры, автор) и открываться повторно без пересчёта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Низкий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Низкая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F-41</w:t>
            </w:r>
          </w:p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(нов.)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[К5] Отчёты должны строиться только по закрытым заказам (статус «Выдан») и оплатам с фискальным признаком; данные отчёта не редактируются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Средний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Низкая</w:t>
            </w:r>
          </w:p>
        </w:tc>
      </w:tr>
      <w:tr>
        <w:trPr>
          <w:cantSplit/>
        </w:trPr>
        <w:tc>
          <w:tcPr>
            <w:tcW w:type="dxa" w:w="1984"/>
            <w:gridSpan w:val="5"/>
            <w:vAlign w:val="top"/>
            <w:shd w:val="clear" w:color="auto" w:fill="F2F2F2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Требования к удобству использования (Usability)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U-06</w:t>
            </w:r>
          </w:p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(нов.)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[К1] При онлайн-записи клиент вводит только телефон, марку автомобиля, вид работ и желаемое время; остальные данные мастер-приёмщик заполняет при приёме автомобиля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Низкий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Средняя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Низкая</w:t>
            </w:r>
          </w:p>
        </w:tc>
      </w:tr>
      <w:tr>
        <w:trPr>
          <w:cantSplit/>
        </w:trPr>
        <w:tc>
          <w:tcPr>
            <w:tcW w:type="dxa" w:w="1984"/>
            <w:gridSpan w:val="5"/>
            <w:vAlign w:val="top"/>
            <w:shd w:val="clear" w:color="auto" w:fill="F2F2F2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Требования к надёжности (Reliability)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R-06</w:t>
            </w:r>
          </w:p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(нов.)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[К2] Бронирование поста и механика в D4 должно выполняться атомарно, исключая двойное бронирование при одновременной работе нескольких мастеров-приёмщиков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Высокий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Средняя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R-07</w:t>
            </w:r>
          </w:p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(нов.)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[Все] Система должна обеспечивать ссылочную целостность накопителей: нельзя удалить клиента или автомобиль, по которым есть заказы, и заказ, по которому есть оплаты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Высокий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Низкая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R-08</w:t>
            </w:r>
          </w:p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(нов.)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[К7] Недоступность SMS-шлюза не должна блокировать процессы 1–4: сообщения остаются в очереди и отправляются после восстановления связи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Средний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Средняя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Средняя</w:t>
            </w:r>
          </w:p>
        </w:tc>
      </w:tr>
      <w:tr>
        <w:trPr>
          <w:cantSplit/>
        </w:trPr>
        <w:tc>
          <w:tcPr>
            <w:tcW w:type="dxa" w:w="1984"/>
            <w:gridSpan w:val="5"/>
            <w:vAlign w:val="top"/>
            <w:shd w:val="clear" w:color="auto" w:fill="F2F2F2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Требования к производительности (Performance)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P-05</w:t>
            </w:r>
          </w:p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(нов.)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[К7] SMS-уведомление должно передаваться в SMS-шлюз не позднее 1 минуты после события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Средний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Низкая</w:t>
            </w:r>
          </w:p>
        </w:tc>
      </w:tr>
      <w:tr>
        <w:trPr>
          <w:cantSplit/>
        </w:trPr>
        <w:tc>
          <w:tcPr>
            <w:tcW w:type="dxa" w:w="1984"/>
            <w:gridSpan w:val="5"/>
            <w:vAlign w:val="top"/>
            <w:shd w:val="clear" w:color="auto" w:fill="F2F2F2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Требования к поддерживаемости (Supportability)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S-04</w:t>
            </w:r>
          </w:p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(нов.)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[Все] Компоненты К1–К7 должны взаимодействовать через внутренний программный интерфейс (API); прямой доступ компонента к накопителям другого компонента запрещён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Средний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Средняя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Средняя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S-05</w:t>
            </w:r>
          </w:p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(нов.)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[К4, К7] Взаимодействие с SMS-шлюзом и ККТ должно быть вынесено в отдельные модули-адаптеры, чтобы смена провайдера или модели ККТ не затрагивала другие компоненты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Средний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Средняя</w:t>
            </w:r>
          </w:p>
        </w:tc>
      </w:tr>
      <w:tr>
        <w:trPr>
          <w:cantSplit/>
        </w:trPr>
        <w:tc>
          <w:tcPr>
            <w:tcW w:type="dxa" w:w="1984"/>
            <w:gridSpan w:val="5"/>
            <w:vAlign w:val="top"/>
            <w:shd w:val="clear" w:color="auto" w:fill="F2F2F2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Ограничения (+)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C-07</w:t>
            </w:r>
          </w:p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(нов.)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Ограничение интерфейсов: обмен с SMS-шлюзом – по протоколу HTTPS через API провайдера; обмен с ККТ – через драйвер производителя с поддержкой формата фискальных документов 1.2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Высокий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Средняя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Средняя</w:t>
            </w:r>
          </w:p>
        </w:tc>
      </w:tr>
      <w:tr>
        <w:trPr>
          <w:cantSplit/>
        </w:trPr>
        <w:tc>
          <w:tcPr>
            <w:tcW w:type="dxa" w:w="96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C-08</w:t>
            </w:r>
          </w:p>
          <w:p>
            <w:pPr>
              <w:keepNext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(нов.)</w:t>
            </w:r>
          </w:p>
        </w:tc>
        <w:tc>
          <w:tcPr>
            <w:tcW w:type="dxa" w:w="3118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Ограничение проектирования: накопители D1–D6 реализуются таблицами одной базы данных PostgreSQL (C-01); резервные копии, содержащие персональные данные (D1), хранятся в зашифрованном виде</w:t>
            </w:r>
          </w:p>
        </w:tc>
        <w:tc>
          <w:tcPr>
            <w:tcW w:type="dxa" w:w="1417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Средний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Средняя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Средняя</w:t>
            </w:r>
          </w:p>
        </w:tc>
      </w:tr>
    </w:tbl>
    <w:p>
      <w:pPr>
        <w:keepNext w:val="0"/>
        <w:spacing w:line="240" w:lineRule="auto" w:before="0" w:after="0"/>
        <w:ind w:firstLine="709"/>
        <w:jc w:val="both"/>
      </w:pP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Итого добавлено 16 новых требований и изменено 2; общее число требований в спецификации – 73.</w:t>
      </w:r>
    </w:p>
    <w:p>
      <w:pPr>
        <w:keepNext/>
        <w:spacing w:line="360" w:lineRule="auto" w:before="240" w:after="120"/>
        <w:ind w:firstLine="0"/>
        <w:jc w:val="center"/>
        <w:outlineLvl w:val="0"/>
      </w:pPr>
      <w:r>
        <w:rPr>
          <w:rFonts w:ascii="Times New Roman" w:hAnsi="Times New Roman" w:cs="Times New Roman" w:eastAsia="Times New Roman"/>
          <w:b/>
          <w:i w:val="0"/>
          <w:sz w:val="28"/>
        </w:rPr>
        <w:t>Выводы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ходе работы модель IDEF0 основного бизнес-процесса автосервиса преобразована в модели EPC: построены модель верхнего уровня и пять моделей процессов A1–A5. Для ветвлений определены логические операторы: XOR – для взаимоисключающих вариантов и циклов (поиск клиента, согласование стоимости и доп. работ, проверка пересечений и полноты заказа), AND – для параллельных действий (закрытие заказа и выдача автомобиля, расчёт показателей отчёта). Проверка показала, что модели корректны: все функции имеют входные и выходные события, «висячих» связей нет, ветвления после событий отсутствуют, циклы имеют условия выхода.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моделям EPC разработаны диаграммы потоков данных в нотации Гейна–Сарсона: контекстная, первого уровня и пять диаграмм второго уровня. Выделены 7 внешних сущностей, 6 процессов первого уровня (25 процессов второго уровня), 30 потоков данных и 6 накопителей. Анализ DFD выявил элементы, не видимые в моделях IDEF0 и EPC: процесс ведения справочников, накопитель «Архив отчётов» и общий для нескольких процессов компонент уведомлений.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основе DFD программный модуль разделён на 7 компонентов, а спецификация требований FURPS+ уточнена: добавлено 16 требований и изменено 2. Они касаются структуры и целостности данных в накопителях, разграничения доступа к ним, надёжной работы с внешними системами (SMS-шлюз, ККТ) и взаимодействия компонентов через API.</w:t>
      </w:r>
    </w:p>
    <w:sectPr w:rsidR="000367E6" w:rsidRPr="002E6267" w:rsidSect="00B76D14"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02DB29" w14:textId="77777777" w:rsidR="00FA36F8" w:rsidRDefault="00FA36F8" w:rsidP="00B76D14">
      <w:pPr>
        <w:spacing w:after="0" w:line="240" w:lineRule="auto"/>
      </w:pPr>
      <w:r>
        <w:separator/>
      </w:r>
    </w:p>
  </w:endnote>
  <w:endnote w:type="continuationSeparator" w:id="0">
    <w:p w14:paraId="2CB8AB12" w14:textId="77777777" w:rsidR="00FA36F8" w:rsidRDefault="00FA36F8" w:rsidP="00B76D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CYR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17714315"/>
      <w:docPartObj>
        <w:docPartGallery w:val="Page Numbers (Bottom of Page)"/>
        <w:docPartUnique/>
      </w:docPartObj>
    </w:sdtPr>
    <w:sdtEndPr/>
    <w:sdtContent>
      <w:p w14:paraId="7B92A8DC" w14:textId="71808045" w:rsidR="00B76D14" w:rsidRDefault="00B76D14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5F39D63" w14:textId="77777777" w:rsidR="00B76D14" w:rsidRDefault="00B76D1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3ADDE0" w14:textId="77777777" w:rsidR="00FA36F8" w:rsidRDefault="00FA36F8" w:rsidP="00B76D14">
      <w:pPr>
        <w:spacing w:after="0" w:line="240" w:lineRule="auto"/>
      </w:pPr>
      <w:r>
        <w:separator/>
      </w:r>
    </w:p>
  </w:footnote>
  <w:footnote w:type="continuationSeparator" w:id="0">
    <w:p w14:paraId="6085C995" w14:textId="77777777" w:rsidR="00FA36F8" w:rsidRDefault="00FA36F8" w:rsidP="00B76D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E45"/>
    <w:rsid w:val="0002463C"/>
    <w:rsid w:val="00031EA4"/>
    <w:rsid w:val="000367E6"/>
    <w:rsid w:val="000926C0"/>
    <w:rsid w:val="000D6BFD"/>
    <w:rsid w:val="00115E45"/>
    <w:rsid w:val="00130861"/>
    <w:rsid w:val="001408D8"/>
    <w:rsid w:val="0028041F"/>
    <w:rsid w:val="002816FA"/>
    <w:rsid w:val="00290A39"/>
    <w:rsid w:val="002B3727"/>
    <w:rsid w:val="002D1D8E"/>
    <w:rsid w:val="002E6267"/>
    <w:rsid w:val="003100F8"/>
    <w:rsid w:val="003750D6"/>
    <w:rsid w:val="003E2B7D"/>
    <w:rsid w:val="00422857"/>
    <w:rsid w:val="004A1C35"/>
    <w:rsid w:val="004B4875"/>
    <w:rsid w:val="004D39CA"/>
    <w:rsid w:val="004F3DD8"/>
    <w:rsid w:val="005F3349"/>
    <w:rsid w:val="006F63C5"/>
    <w:rsid w:val="00715FAB"/>
    <w:rsid w:val="007227CC"/>
    <w:rsid w:val="00732F23"/>
    <w:rsid w:val="007A71B2"/>
    <w:rsid w:val="008139AB"/>
    <w:rsid w:val="00847B1E"/>
    <w:rsid w:val="00876730"/>
    <w:rsid w:val="008838C1"/>
    <w:rsid w:val="00900575"/>
    <w:rsid w:val="00923CC4"/>
    <w:rsid w:val="00956B77"/>
    <w:rsid w:val="009B13FF"/>
    <w:rsid w:val="00AB10E3"/>
    <w:rsid w:val="00B67E70"/>
    <w:rsid w:val="00B76D14"/>
    <w:rsid w:val="00C671B8"/>
    <w:rsid w:val="00D663B2"/>
    <w:rsid w:val="00D70E32"/>
    <w:rsid w:val="00E62E37"/>
    <w:rsid w:val="00E97C39"/>
    <w:rsid w:val="00EA6184"/>
    <w:rsid w:val="00EC4ACF"/>
    <w:rsid w:val="00EF7438"/>
    <w:rsid w:val="00FA36F8"/>
    <w:rsid w:val="00FF1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89427"/>
  <w15:chartTrackingRefBased/>
  <w15:docId w15:val="{E5EC0E15-DF14-4863-A1C6-58C5B0AF6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367E6"/>
    <w:pPr>
      <w:spacing w:line="256" w:lineRule="auto"/>
    </w:pPr>
    <w:rPr>
      <w:rFonts w:ascii="Times New Roman" w:hAnsi="Times New Roman"/>
      <w:color w:val="000000" w:themeColor="text1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arkedcontent">
    <w:name w:val="markedcontent"/>
    <w:basedOn w:val="a0"/>
    <w:rsid w:val="00422857"/>
  </w:style>
  <w:style w:type="paragraph" w:styleId="a3">
    <w:name w:val="header"/>
    <w:basedOn w:val="a"/>
    <w:link w:val="a4"/>
    <w:uiPriority w:val="99"/>
    <w:unhideWhenUsed/>
    <w:rsid w:val="00B76D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76D14"/>
    <w:rPr>
      <w:rFonts w:ascii="Times New Roman" w:hAnsi="Times New Roman"/>
      <w:color w:val="000000" w:themeColor="text1"/>
      <w:sz w:val="28"/>
    </w:rPr>
  </w:style>
  <w:style w:type="paragraph" w:styleId="a5">
    <w:name w:val="footer"/>
    <w:basedOn w:val="a"/>
    <w:link w:val="a6"/>
    <w:uiPriority w:val="99"/>
    <w:unhideWhenUsed/>
    <w:rsid w:val="00B76D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76D14"/>
    <w:rPr>
      <w:rFonts w:ascii="Times New Roman" w:hAnsi="Times New Roman"/>
      <w:color w:val="000000" w:themeColor="text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578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Нуянзин</dc:creator>
  <cp:keywords/>
  <dc:description/>
  <cp:lastModifiedBy>RePack by Diakov</cp:lastModifiedBy>
  <cp:revision>7</cp:revision>
  <dcterms:created xsi:type="dcterms:W3CDTF">2022-09-14T06:56:00Z</dcterms:created>
  <dcterms:modified xsi:type="dcterms:W3CDTF">2026-09-02T10:05:00Z</dcterms:modified>
</cp:coreProperties>
</file>