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2021"/>
        <w:gridCol w:w="7902"/>
      </w:tblGrid>
      <w:tr w:rsidR="000367E6" w14:paraId="68F235F7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5C35D89C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7902" w:type="dxa"/>
            <w:vMerge w:val="restart"/>
            <w:vAlign w:val="center"/>
          </w:tcPr>
          <w:p w14:paraId="18C3BB0E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МИНИСТЕРСТВО ОБРАЗОВАНИЯ И НАУКИ</w:t>
            </w:r>
          </w:p>
          <w:p w14:paraId="27EBCE8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РОССИЙСКОЙ ФЕДЕРАЦИИ</w:t>
            </w:r>
          </w:p>
          <w:p w14:paraId="1C5E9444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736AC74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высшего образования</w:t>
            </w:r>
          </w:p>
          <w:p w14:paraId="626BA8B6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САМАРСКИЙ ГОСУДАРСТВЕННЫЙ ТЕХНИЧЕСКИЙ УНИВЕРСИТЕТ</w:t>
            </w:r>
          </w:p>
          <w:p w14:paraId="573437B1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Cs w:val="20"/>
                <w:lang w:eastAsia="ru-RU"/>
              </w:rPr>
            </w:pPr>
          </w:p>
          <w:p w14:paraId="0949588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Институт автоматики и информационных технологий</w:t>
            </w:r>
          </w:p>
          <w:p w14:paraId="5DD5AA46" w14:textId="11B70053" w:rsidR="000367E6" w:rsidRPr="002E6267" w:rsidRDefault="000367E6" w:rsidP="002E6267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Кафедра «</w:t>
            </w:r>
            <w:r w:rsid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Информатика и в</w:t>
            </w: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ычислительная техника</w:t>
            </w: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»</w:t>
            </w:r>
          </w:p>
        </w:tc>
      </w:tr>
      <w:tr w:rsidR="000367E6" w14:paraId="05B09F9C" w14:textId="77777777" w:rsidTr="000367E6">
        <w:trPr>
          <w:trHeight w:val="1702"/>
        </w:trPr>
        <w:tc>
          <w:tcPr>
            <w:tcW w:w="2021" w:type="dxa"/>
            <w:vAlign w:val="center"/>
            <w:hideMark/>
          </w:tcPr>
          <w:p w14:paraId="2F0D2C35" w14:textId="1F2C7105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  <w:r>
              <w:rPr>
                <w:rFonts w:ascii="Times New Roman CYR" w:eastAsia="Times New Roman" w:hAnsi="Times New Roman CYR"/>
                <w:noProof/>
                <w:szCs w:val="28"/>
                <w:lang w:eastAsia="ru-RU"/>
              </w:rPr>
              <w:drawing>
                <wp:inline distT="0" distB="0" distL="0" distR="0" wp14:anchorId="2BD9C3B6" wp14:editId="0C908434">
                  <wp:extent cx="1121410" cy="1077595"/>
                  <wp:effectExtent l="0" t="0" r="2540" b="825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8" t="3870" r="51303" b="5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410" cy="1077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Merge/>
            <w:vAlign w:val="center"/>
            <w:hideMark/>
          </w:tcPr>
          <w:p w14:paraId="2765C12D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  <w:tr w:rsidR="000367E6" w14:paraId="60E40B24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63E7E95A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2F01F0D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</w:tbl>
    <w:p w14:paraId="278C409E" w14:textId="77777777" w:rsidR="000367E6" w:rsidRDefault="000367E6" w:rsidP="000367E6">
      <w:pPr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4A97AD63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37E38D73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2FB6507E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03AB1D7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>ОТЧЕТ</w:t>
      </w:r>
    </w:p>
    <w:p w14:paraId="66C54431" w14:textId="77880601" w:rsidR="000367E6" w:rsidRPr="000367E6" w:rsidRDefault="000926C0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 xml:space="preserve">по </w:t>
      </w:r>
      <w:r w:rsidR="00E62E37">
        <w:rPr>
          <w:rFonts w:ascii="Times New Roman CYR" w:eastAsia="Times New Roman" w:hAnsi="Times New Roman CYR"/>
          <w:b/>
          <w:sz w:val="30"/>
          <w:szCs w:val="30"/>
          <w:lang w:eastAsia="ru-RU"/>
        </w:rPr>
        <w:t>практическому заданию</w:t>
      </w:r>
      <w:r w:rsidR="000367E6">
        <w:rPr>
          <w:rFonts w:ascii="Times New Roman CYR" w:eastAsia="Times New Roman" w:hAnsi="Times New Roman CYR"/>
          <w:b/>
          <w:sz w:val="30"/>
          <w:szCs w:val="30"/>
          <w:lang w:eastAsia="ru-RU"/>
        </w:rPr>
        <w:t xml:space="preserve"> №</w:t>
      </w:r>
      <w:r w:rsidR="00422857">
        <w:rPr>
          <w:rFonts w:ascii="Times New Roman CYR" w:eastAsia="Times New Roman" w:hAnsi="Times New Roman CYR"/>
          <w:b/>
          <w:sz w:val="30"/>
          <w:szCs w:val="30"/>
          <w:lang w:eastAsia="ru-RU"/>
        </w:rPr>
        <w:t>2</w:t>
      </w:r>
    </w:p>
    <w:p w14:paraId="38D609C2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pacing w:val="40"/>
          <w:sz w:val="30"/>
          <w:szCs w:val="30"/>
          <w:lang w:eastAsia="ru-RU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6946"/>
      </w:tblGrid>
      <w:tr w:rsidR="000367E6" w14:paraId="6E6D448B" w14:textId="77777777" w:rsidTr="000367E6">
        <w:trPr>
          <w:trHeight w:val="397"/>
        </w:trPr>
        <w:tc>
          <w:tcPr>
            <w:tcW w:w="2268" w:type="dxa"/>
            <w:vAlign w:val="center"/>
            <w:hideMark/>
          </w:tcPr>
          <w:p w14:paraId="0641264E" w14:textId="77777777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0"/>
                <w:lang w:eastAsia="ru-RU"/>
              </w:rPr>
              <w:t>по дисциплине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C67351D" w14:textId="7CC93D7C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Управление качеством и требованиями к программному обеспечению</w:t>
            </w:r>
          </w:p>
        </w:tc>
      </w:tr>
    </w:tbl>
    <w:p w14:paraId="70EB6C5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0"/>
          <w:lang w:eastAsia="ru-RU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60"/>
        <w:gridCol w:w="7654"/>
      </w:tblGrid>
      <w:tr w:rsidR="000367E6" w14:paraId="2CB69C37" w14:textId="77777777" w:rsidTr="000367E6">
        <w:trPr>
          <w:trHeight w:val="340"/>
        </w:trPr>
        <w:tc>
          <w:tcPr>
            <w:tcW w:w="1560" w:type="dxa"/>
            <w:vAlign w:val="center"/>
            <w:hideMark/>
          </w:tcPr>
          <w:p w14:paraId="12A97DAA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right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8"/>
                <w:lang w:eastAsia="ru-RU"/>
              </w:rPr>
              <w:t>на тему</w:t>
            </w:r>
          </w:p>
        </w:tc>
        <w:tc>
          <w:tcPr>
            <w:tcW w:w="76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B468DB2" w14:textId="0C6E413B" w:rsidR="000367E6" w:rsidRPr="000367E6" w:rsidRDefault="000367E6" w:rsidP="00422857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Моделирование бизнес-процессов. Нотация BPMN (вариант 13 «Автосервис»)</w:t>
            </w:r>
          </w:p>
        </w:tc>
      </w:tr>
    </w:tbl>
    <w:p w14:paraId="7493A672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5F6553A8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4D4731C4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3F4D0EF5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A43B648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62B4A37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tbl>
      <w:tblPr>
        <w:tblW w:w="9090" w:type="dxa"/>
        <w:tblInd w:w="229" w:type="dxa"/>
        <w:tblLayout w:type="fixed"/>
        <w:tblLook w:val="04A0" w:firstRow="1" w:lastRow="0" w:firstColumn="1" w:lastColumn="0" w:noHBand="0" w:noVBand="1"/>
      </w:tblPr>
      <w:tblGrid>
        <w:gridCol w:w="1898"/>
        <w:gridCol w:w="1674"/>
        <w:gridCol w:w="1871"/>
        <w:gridCol w:w="1531"/>
        <w:gridCol w:w="2116"/>
      </w:tblGrid>
      <w:tr w:rsidR="000367E6" w14:paraId="7C96AB48" w14:textId="77777777" w:rsidTr="000367E6">
        <w:trPr>
          <w:trHeight w:val="454"/>
        </w:trPr>
        <w:tc>
          <w:tcPr>
            <w:tcW w:w="1898" w:type="dxa"/>
            <w:vAlign w:val="bottom"/>
            <w:hideMark/>
          </w:tcPr>
          <w:p w14:paraId="46F139F2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r>
              <w:rPr>
                <w:rFonts w:ascii="Times" w:eastAsia="Times" w:hAnsi="Times" w:cs="Times"/>
                <w:b/>
                <w:sz w:val="24"/>
                <w:szCs w:val="24"/>
              </w:rPr>
              <w:t>Преподаватель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2F48C797" w14:textId="73070959" w:rsidR="000367E6" w:rsidRDefault="00422857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доцент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161DBB0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0D9DE1B4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  <w:hideMark/>
          </w:tcPr>
          <w:p w14:paraId="7CE87327" w14:textId="23A36979" w:rsidR="000367E6" w:rsidRDefault="00422857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Е</w:t>
            </w:r>
            <w:r w:rsidR="000367E6">
              <w:rPr>
                <w:rFonts w:ascii="Times" w:eastAsia="Times" w:hAnsi="Times" w:cs="Times"/>
                <w:sz w:val="24"/>
                <w:szCs w:val="24"/>
              </w:rPr>
              <w:t>.</w:t>
            </w:r>
            <w:r>
              <w:rPr>
                <w:rFonts w:ascii="Times" w:eastAsia="Times" w:hAnsi="Times" w:cs="Times"/>
                <w:sz w:val="24"/>
                <w:szCs w:val="24"/>
              </w:rPr>
              <w:t>В</w:t>
            </w:r>
            <w:r w:rsidR="000367E6">
              <w:rPr>
                <w:rFonts w:ascii="Times" w:eastAsia="Times" w:hAnsi="Times" w:cs="Times"/>
                <w:sz w:val="24"/>
                <w:szCs w:val="24"/>
              </w:rPr>
              <w:t xml:space="preserve">. </w:t>
            </w:r>
            <w:r>
              <w:rPr>
                <w:rFonts w:ascii="Times" w:eastAsia="Times" w:hAnsi="Times" w:cs="Times"/>
                <w:sz w:val="24"/>
                <w:szCs w:val="24"/>
              </w:rPr>
              <w:t>Панюкова</w:t>
            </w:r>
          </w:p>
        </w:tc>
      </w:tr>
      <w:tr w:rsidR="000367E6" w14:paraId="6E91CE17" w14:textId="77777777" w:rsidTr="000367E6">
        <w:trPr>
          <w:trHeight w:val="454"/>
        </w:trPr>
        <w:tc>
          <w:tcPr>
            <w:tcW w:w="1898" w:type="dxa"/>
            <w:vAlign w:val="bottom"/>
            <w:hideMark/>
          </w:tcPr>
          <w:p w14:paraId="44465927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ascii="Times" w:eastAsia="Times" w:hAnsi="Times" w:cs="Times"/>
                <w:b/>
                <w:sz w:val="24"/>
                <w:szCs w:val="24"/>
              </w:rPr>
              <w:t>Студенты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59D71804" w14:textId="354A087A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2BC12C0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2CC36CA0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02B0CAA" w14:textId="74340549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И.Д. Царегородцев</w:t>
            </w:r>
          </w:p>
        </w:tc>
      </w:tr>
      <w:tr w:rsidR="000367E6" w14:paraId="31D7B44B" w14:textId="77777777" w:rsidTr="000367E6">
        <w:trPr>
          <w:trHeight w:val="227"/>
        </w:trPr>
        <w:tc>
          <w:tcPr>
            <w:tcW w:w="1898" w:type="dxa"/>
          </w:tcPr>
          <w:p w14:paraId="6A9C3D9E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4BA95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A693F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2880AA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80E90DA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(инициалы, фамилия)</w:t>
            </w:r>
          </w:p>
        </w:tc>
      </w:tr>
      <w:tr w:rsidR="000367E6" w14:paraId="263F22A1" w14:textId="77777777" w:rsidTr="000367E6">
        <w:trPr>
          <w:trHeight w:val="454"/>
        </w:trPr>
        <w:tc>
          <w:tcPr>
            <w:tcW w:w="1898" w:type="dxa"/>
            <w:vAlign w:val="bottom"/>
          </w:tcPr>
          <w:p w14:paraId="3B2C6475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3116B3B9" w14:textId="0ABBC0FA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EF9842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555035C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12C943A" w14:textId="5FE6E93F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П.М. Марченко</w:t>
            </w:r>
          </w:p>
        </w:tc>
      </w:tr>
      <w:tr w:rsidR="000367E6" w14:paraId="160F6CC2" w14:textId="77777777" w:rsidTr="000367E6">
        <w:trPr>
          <w:trHeight w:val="227"/>
        </w:trPr>
        <w:tc>
          <w:tcPr>
            <w:tcW w:w="1898" w:type="dxa"/>
          </w:tcPr>
          <w:p w14:paraId="5F203EB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141CE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A6E26D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E495520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E538B2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(инициалы, фамилия)</w:t>
            </w:r>
          </w:p>
        </w:tc>
      </w:tr>
    </w:tbl>
    <w:p w14:paraId="06C4332B" w14:textId="5D3AAD21" w:rsidR="000367E6" w:rsidRDefault="000367E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F10A9EC" w14:textId="2D53A1E5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7C769BE4" w14:textId="6D476187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667560DE" w14:textId="401202FC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0E094B53" w14:textId="77777777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FEBB756" w14:textId="77777777" w:rsidR="000367E6" w:rsidRDefault="000367E6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7CCB70AA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6AD49C63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52509A78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00E5395C" w14:textId="582826CF" w:rsidR="000367E6" w:rsidRPr="002E6267" w:rsidRDefault="000367E6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b/>
          <w:bCs/>
          <w:sz w:val="32"/>
          <w:szCs w:val="32"/>
          <w:lang w:eastAsia="ru-RU"/>
        </w:rPr>
      </w:pPr>
      <w:r>
        <w:rPr>
          <w:rFonts w:ascii="Times" w:eastAsia="Times" w:hAnsi="Times" w:cs="Times"/>
          <w:sz w:val="24"/>
          <w:szCs w:val="24"/>
        </w:rPr>
        <w:t>Самара 202</w:t>
      </w:r>
      <w:r w:rsidR="007227CC">
        <w:rPr>
          <w:rFonts w:ascii="Times" w:eastAsia="Times" w:hAnsi="Times" w:cs="Times"/>
          <w:sz w:val="24"/>
          <w:szCs w:val="24"/>
        </w:rPr>
        <w:t>6</w:t>
      </w:r>
    </w:p>
    <w:p>
      <w:r>
        <w:br w:type="page"/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Ознакомиться с нотацией BPMN, провести анализ и моделирование бизнес-процесса с использованием нотации BPMN.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Порядок выполнения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Ознакомиться с нотацией BPMN 2.0.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Проанализировать основной бизнес-процесс (из работы №1) с использованием методологии BPMN.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Проанализировать процессы декомпозиции контекстной диаграммы IDEF0 (из работы №1) с использованием методологии BPMN.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Внести уточнения в спецификацию требований (модель FURPS+ из работы №1) на основе анализа процессов (нотация BPMN).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Предметная область: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вариант 13 «Автосервис». Основной бизнес-процесс, выделенный в работе №1, – «Обслуживание заказа клиента автосервиса». Его функциональная модель IDEF0 включает пять блоков: A1 «Принять заявку и зарегистрировать клиента», A2 «Спланировать работы и назначить исполнителя», A3 «Выполнить ремонтные работы», A4 «Рассчитать стоимость, принять оплату, выдать квитанцию», A5 «Сформировать отчётность».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1 Нотация BPMN 2.0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BPMN (Business Process Model and Notation) – нотация моделирования бизнес-процессов, разработанная консорциумом OMG. Версия BPMN 2.0 закреплена также в международном стандарте ISO/IEC 19510. Модель в нотации BPMN описывает последовательность выполнения действий процесса, условия ветвления, события, участников процесса и обмен сообщениями между ними. В отличие от IDEF0, где показываются функции и их входы, выходы, управление и механизмы без явного порядка выполнения, BPMN позволяет увидеть порядок действий, точки принятия решений, ожидания и взаимодействия участников. Поэтому BPMN-модель удобно использовать для уточнения требований к информационной системе.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Элементы BPMN разделяются на пять категорий: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элементы потока – события, действия (задачи и подпроцессы) и шлюзы;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данные – объекты данных и хранилища данных;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соединяющие элементы – потоки управления, потоки сообщений и ассоциации;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зоны ответственности – пулы и дорожки;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артефакты – текстовые аннотации и группы.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графические элементы BPMN, используемые в работе, приведены на рисунке 1 и в таблице 1.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1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leg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Основные элементы нотации BPMN 2.0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Элементы BPMN, используемые в моделях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26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Элемент</w:t>
            </w:r>
          </w:p>
        </w:tc>
        <w:tc>
          <w:tcPr>
            <w:tcW w:type="dxa" w:w="379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8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Пример использования в моделях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Пул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Участник процесса (организация, внешний участник). Свёрнутый пул – «чёрный ящик», внутренний процесс которого не раскрывается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Пул «Автосервис», свёрнутый пул «Клиент»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Дорожка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Роль или подразделение внутри пула, ответственное за действия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Мастер-приёмщик, Автомеханик, Руководитель, ИС автосервиса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Задача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Элементарное действие, не подлежащее декомпозиции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«Найти клиента по телефону или госномеру»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Подпроцесс (свёрнутый)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Составное действие, раскрываемое отдельной диаграммой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«Выполнить ремонтные работы» (раскрыт на рисунке 5)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Начальное событие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Начало процесса; триггер показывает причину запуска (сообщение, таймер)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«Получено обращение» (сообщение), «Конец рабочего дня» (таймер)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Промежуточное событие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Событие в ходе процесса: ожидание или отправка сообщения, истечение времени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«Оплата получена», «Автомобиль готов», таймер «2 часа»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Завершающее событие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Результат процесса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«Заявка зарегистрирована», «Заказ закрыт»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Исключающий шлюз (XOR)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Выбор ровно одного пути по условию или слияние альтернативных путей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«Клиент найден?», «Выявлены доп. работы?»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Параллельный шлюз (AND)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Разделение потока на параллельные ветви и их синхронизация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Закрытие заказа и выдача автомобиля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Событийный шлюз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Выбор пути в зависимости от того, какое событие наступит первым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Ожидание согласия, отказа клиента или истечения 2 часов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Поток управления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Порядок выполнения элементов внутри пула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Сплошные стрелки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Поток сообщений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Обмен сообщениями между пулами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Заявка, квитанция, оплата, SMS-уведомления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 данных, хранилище</w:t>
            </w:r>
          </w:p>
        </w:tc>
        <w:tc>
          <w:tcPr>
            <w:tcW w:type="dxa" w:w="379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Документы и данные, используемые или создаваемые действиями</w:t>
            </w:r>
          </w:p>
        </w:tc>
        <w:tc>
          <w:tcPr>
            <w:tcW w:type="dxa" w:w="328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«Заявка», «Заказ-наряд», «БД клиентов и заказов»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2 Модель основного бизнес-процесса в нотации BPMN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основного бизнес-процесса «Обслуживание заказа клиента автосервиса» представлена на рисунке 2. Клиент изображён свёрнутым пулом, так как его внутренние действия не автоматизируются. Пул «Автосервис» разделён на дорожки по исполнителям, которые в модели IDEF0 были механизмами: мастер-приёмщик, автомеханик и руководитель. Функциональные блоки диаграммы A0 представлены свёрнутыми подпроцессами, соответствие элементов моделей приведено в таблице 2.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Соответствие элементов модели IDEF0 и модели BPMN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/>
        </w:trPr>
        <w:tc>
          <w:tcPr>
            <w:tcW w:type="dxa" w:w="260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Элемент IDEF0</w:t>
            </w:r>
          </w:p>
        </w:tc>
        <w:tc>
          <w:tcPr>
            <w:tcW w:type="dxa" w:w="317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Элемент BPMN</w:t>
            </w:r>
          </w:p>
        </w:tc>
        <w:tc>
          <w:tcPr>
            <w:tcW w:type="dxa" w:w="187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Дорожка</w:t>
            </w:r>
          </w:p>
        </w:tc>
        <w:tc>
          <w:tcPr>
            <w:tcW w:type="dxa" w:w="170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Детальная модель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A1 «Принять заявку и зарегистрировать клиента»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Подпроцесс «Принять заявку и зарегистрировать клиента»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Мастер-приёмщик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Рисунок 3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A2 «Спланировать работы и назначить исполнителя»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Подпроцесс «Спланировать работы, назначить исполнителя»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Мастер-приёмщик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Рисунок 4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A3 «Выполнить ремонтные работы»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Подпроцесс «Выполнить ремонтные работы»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Автомеханик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Рисунок 5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Обратная связь A3 → A2 «Выявленные доп. работы»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Шлюз «Выявлены доп. работы?» и задача «Согласовать доп. работы с клиентом»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Автомеханик, мастер-приёмщик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Рисунок 5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A4 «Рассчитать стоимость, принять оплату, выдать квитанцию»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Подпроцесс «Рассчитать стоимость, принять оплату, выдать квитанцию»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Мастер-приёмщик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Рисунок 6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A5 «Сформировать отчётность»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Отдельный процесс, запускаемый таймером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Рисунок 7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Входы (обращение клиента)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Начальное событие-сообщение, потоки сообщений от клиента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Выходы (автомобиль, квитанция)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Завершающее событие, потоки сообщений клиенту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Механизмы (исполнители, ИС)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Дорожки пула «Автосервис»; хранилище «БД ИС автосервиса»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Управление (прейскурант, регламенты)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Условия шлюзов и содержание задач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Процесс запускается при получении обращения клиента (начальное событие-сообщение). Мастер-приёмщик принимает заявку и планирует работы, после чего заказ-наряд передаётся автомеханику. Если в ходе ремонта выявлены дополнительные работы, мастер-приёмщик согласовывает их с клиентом и работы продолжаются – так в BPMN отражается обратная связь, которая в IDEF0 была стрелкой из A3 в A2. Когда автомобиль готов, клиенту отправляется уведомление, затем выполняется расчёт, приём оплаты и выдача автомобиля. Отчётность формируется отдельным процессом, который запускается по таймеру в конце рабочего дня или периода и использует данные из общего хранилища.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Результаты анализа основного процесса: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процесс содержит шесть потоков сообщений с клиентом: заявка, плановая дата готовности, запрос и решение по дополнительным работам, уведомление о готовности, квитанция и оплата. Информирование клиента – существенная часть процесса, поэтому требование F-16 об уведомлениях нужно расширить и повысить его приоритет;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заказ проходит последовательность состояний (принят – в работе – ожидает согласования – выполнен – выдан), и переходы между ними определяются моделью. Требование F-07 о статусах нужно уточнить;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отчётность формируется не по запросу внутри обслуживания заказа, а отдельным процессом по таймеру. Это требует автоматического формирования отчётов;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хранилище «БД ИС автосервиса» – общий ресурс для приёма, расчёта и отчётности, что подтверждает важность требований к надёжности (R-02, R-03).</w:t>
      </w:r>
    </w:p>
    <w:p>
      <w:pPr>
        <w:sectPr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40522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05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Модель основного бизнес-процесса «Обслуживание заказа клиента автосервиса» (BPMN)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3 Модели процессов декомпозиции диаграммы A0 в нотации BPMN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каждого функционального блока диаграммы декомпозиции A0 построена детальная модель в нотации BPMN. Чтобы выявить, какие действия выполняются людьми, а какие должна выполнять система, в пул «Автосервис» добавлена дорожка «ИС автосервиса». Действия в этой дорожке – прямой источник функциональных требований.</w:t>
      </w:r>
    </w:p>
    <w:p>
      <w:pPr>
        <w:keepNext/>
        <w:spacing w:line="360" w:lineRule="auto" w:before="12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Подпроцесс A1 «Принять заявку и зарегистрировать клиента»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подпроцесса приведена на рисунке 3. Процесс начинается с обращения клиента. Система выполняет поиск клиента по телефону или госномеру: если клиент найден, его данные подставляются в заявку, иначе мастер-приёмщик регистрирует клиента и автомобиль. Затем мастер осматривает автомобиль и заполняет заявку, система рассчитывает предварительную стоимость по прейскуранту, и мастер согласовывает её с клиентом. При отказе клиента процесс завершается событием «Заявка отклонена», при согласии система сохраняет заявку, присваивает номер и печатает акт приёма автомобиля.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Выявленные уточнения: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шлюз «Клиент найден?» показывает, что ветка регистрации должна начинаться с уже введённых при поиске данных (F-19);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событие «Заявка отклонена» – отдельный исход процесса, который сейчас не учитывается; отказы нужно фиксировать с причиной для анализа потерь (F-20, изменение F-07);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поток сообщений «Акт приёма автомобиля» выявил документ, не учтённый в спецификации (F-21);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при регистрации нового клиента необходимо получить согласие на обработку персональных данных (F-22).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36268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a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626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Модель подпроцесса A1 «Принять заявку и зарегистрировать клиента»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12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Подпроцесс A2 «Спланировать работы и назначить исполнителя»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подпроцесса приведена на рисунке 4. Мастер-приёмщик определяет состав работ по регламенту ТО, система показывает загрузку постов и механиков, мастер выбирает пост, механика и время. Система проверяет пересечения по графику: при конфликте мастер получает предупреждение и выбирает другое время (цикл через шлюз «Есть конфликт?»). Если конфликта нет, система формирует заказ-наряд со статусом «Принят», и мастер сообщает клиенту плановую дату готовности.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Выявленные уточнения: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цикл повторного выбора времени показывает, что проверка пересечений должна выполняться автоматически до сохранения заказ-наряда (изменение F-06, приоритет повышен);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чтобы сократить число повторов цикла, система должна сама предлагать ближайшее свободное время с учётом нормо-часов (F-23);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задача «Определить состав работ по регламенту ТО» выполняется вручную; её можно поддержать шаблонами регламентов (F-24);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поток сообщений «Плановая дата готовности» – одно из уведомлений клиента (изменение F-16).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38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a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8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Модель подпроцесса A2 «Спланировать работы и назначить исполнителя»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12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Подпроцесс A3 «Выполнить ремонтные работы»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подпроцесса приведена на рисунке 5. Автомеханик выполняет работы по заказ-наряду. Если выявлены дополнительные неисправности, система фиксирует их и переводит заказ в статус «Ожидает согласования», а мастер-приёмщик запрашивает решение клиента. Событийный шлюз моделирует ожидание: поступает согласие, отказ или истекает время ожидания (2 часа). При согласии система добавляет работы и пересчитывает стоимость и срок, после чего работы продолжаются. При отказе или отсутствии ответа мастер фиксирует отказ. По завершении механик отмечает запчасти, система устанавливает статус «Выполнен», учитывает выработку и отправляет клиенту уведомление о готовности.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Выявленные уточнения: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передача заказа от механика мастеру выполняется через систему, поэтому мастер должен получать уведомление о заказах, ожидающих согласования (F-25);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таймер «2 часа» на событийном шлюзе выявил требование контроля срока ожидания ответа клиента (F-26);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после согласия выполняется пересчёт не только стоимости, но и плановой даты готовности (изменение F-08);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для учёта выработки нужно фиксировать фактическое время выполнения работ (F-27);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отметка запчастей механиком в цехе должна быть максимально простой (U-05).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5238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a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523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– Модель подпроцесса A3 «Выполнить ремонтные работы»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12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sz w:val="28"/>
        </w:rPr>
        <w:t>3.4 Подпроцесс A4 «Рассчитать стоимость, принять оплату, выдать квитанцию»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подпроцесса приведена на рисунке 6. Сначала система проверяет полноту заказа; при расхождениях мастер-приёмщик их устраняет и проверка повторяется. Затем система рассчитывает итоговую стоимость и формирует квитанцию, мастер предъявляет её клиенту и ожидает оплату (промежуточное событие-сообщение). После оплаты система фиксирует её и пробивает чек на ККТ. Далее параллельный шлюз запускает две ветви: система закрывает заказ (статус «Выдан»), а мастер выдаёт клиенту автомобиль и документы. Процесс завершается, когда обе ветви выполнены.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Выявленные уточнения: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цикл «Проверить полноту заказа – Устранить расхождения» требует от системы автоматической проверки заказа перед расчётом (F-28);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задача «Зафиксировать оплату, пробить чек (ККТ)» выполняется в каждом заказе, поэтому интеграция с ККТ становится обязательной (F-29, изменение C-04);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событие ожидания оплаты показывает, что закрывать заказ до получения оплаты нельзя (F-29, F-07);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сбой ККТ не должен останавливать выдачу автомобиля (R-05).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38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a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8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– Модель подпроцесса A4 «Рассчитать стоимость, принять оплату, выдать квитанцию»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12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sz w:val="28"/>
        </w:rPr>
        <w:t>3.5 Процесс A5 «Сформировать отчётность»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процесса приведена на рисунке 7. Процесс имеет два начальных события: таймерное (ежедневно в 21:00) и запрос руководителя, который задаёт период и вид отчёта. Оба пути сходятся в исключающем шлюзе. Система выбирает закрытые заказы за период из базы данных и параллельно рассчитывает показатели: выручку по видам работ, выработку механиков, количество новых и повторных клиентов. Затем система формирует отчёт, руководитель анализирует его и при необходимости выгружает в Excel.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Выявленные уточнения: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таймерное начальное событие означает, что ежедневный отчёт должен формироваться автоматически без участия пользователя и доставляться руководителю (F-30);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задача «Задать период и вид отчёта» уточняет параметры отчётов; модель также показала потребность в отчёте по незакрытым и просроченным заказам (изменение F-13);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параллельный расчёт показателей по большому объёму данных задаёт требование к производительности (P-04).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38375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a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83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– Модель процесса A5 «Сформировать отчётность»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4 Уточнение спецификации требований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BPMN-моделей в спецификацию требований, разработанную в работе №1, внесены изменения: добавлено 15 новых требований и изменено 6 существующих. Перечень изменений с указанием элемента модели, из которого они выявлены, приведён в таблице 3.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– Изменения спецификации требований по результатам анализа BPMN-моделей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/>
        </w:trPr>
        <w:tc>
          <w:tcPr>
            <w:tcW w:type="dxa" w:w="73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680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Вид</w:t>
            </w:r>
          </w:p>
        </w:tc>
        <w:tc>
          <w:tcPr>
            <w:tcW w:type="dxa" w:w="476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  <w:tc>
          <w:tcPr>
            <w:tcW w:type="dxa" w:w="317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Источник (диаграмма, элемент)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F-06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изм.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автоматически проверять пересечение назначаемого заказа с графиком поста и механика и не сохранять заказ-наряд при конфликте без подтверждения мастера-приёмщика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4: задача «Проверить пересечения по графику», шлюз «Есть конфликт?» (приоритет повышен со среднего)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F-07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изм.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поддерживать статусы заказа («Принят», «В работе», «Ожидает согласования», «Выполнен», «Выдан», «Отклонён», «Отменён»), допускать только переходы, предусмотренные моделью процесса (статус «Выдан» – только после оплаты), и хранить историю изменений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2, 3, 6: события «Заявка отклонена», «Оплата получена»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F-08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изм.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добавлять дополнительные работы с отметкой о решении клиента (согласие или отказ, дата, способ) и при согласии автоматически пересчитывать стоимость и плановую дату готовности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5: задачи «Добавить работы, пересчитать стоимость и срок», «Зафиксировать отказ»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F-13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изм.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отчёты с параметрами «период» и «вид отчёта»: по заказам, по выручке в разрезе видов работ, по выработке механиков, по новым и повторным клиентам, по незакрытым и просроченным заказам, с экспортом в Excel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7: задача «Задать период и вид отчёта»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F-16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изм.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отправлять клиенту SMS-уведомления о событиях заказа: приём заявки и плановая дата готовности, необходимость согласования доп. работ, готовность автомобиля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2: потоки сообщений клиенту (приоритет повышен с низкого)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F-19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Если клиент не найден по телефону или госномеру, система должна предлагать регистрацию нового клиента с подстановкой введённых при поиске данных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3: шлюз «Клиент найден?»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F-20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фиксировать результат согласования предварительной стоимости; при отказе заявка сохраняется со статусом «Отклонён» и указанием причины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3: шлюз «Клиент согласен?», событие «Заявка отклонена»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F-21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и печатать акт приёма автомобиля (пробег, комплектность, видимые повреждения, место для подписи клиента)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3: задача «Сохранить заявку…, печать акта приёма», сообщение «Акт приёма автомобиля»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F-22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 регистрации клиента система должна фиксировать его согласие на обработку персональных данных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3: задача «Зарегистрировать клиента и автомобиль»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F-23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предлагать ближайшее свободное время поста и механика с учётом суммарных нормо-часов работ заказа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4: цикл «Выбрать пост… – Проверить пересечения»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F-24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заполнять состав работ заказ-наряда по шаблону регламента ТО для выбранной модели автомобиля и пробега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4: задача «Определить состав работ по регламенту ТО»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F-25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 переводе заказа в статус «Ожидает согласования» система должна уведомлять мастера-приёмщика и отображать список заказов, ожидающих согласования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5: задача «Внести доп. работы, статус «Ожидает согласования»»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F-26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контролировать срок ожидания решения клиента (по умолчанию 2 часа, настраивается) и по его истечении напоминать мастеру и предлагать зафиксировать отказ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5: событийный шлюз, таймер «2 часа»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F-27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фиксировать время начала и окончания работ по заказ-наряду для учёта фактической выработки механиков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5: задача «Статус «Выполнен», учесть выработку»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F-28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Перед расчётом итоговой стоимости система должна проверять полноту заказа (все работы выполнены, по доп. работам есть решение клиента, указаны запчасти) и при нарушениях запрещать формирование квитанции, показывая список расхождений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6: задача «Проверить полноту заказа», шлюз «Заказ полный?»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F-29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передавать данные о расчёте в ККТ для печати кассового чека; закрытие заказа возможно только после фиксации оплаты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6: задача «Зафиксировать оплату, пробить чек (ККТ)», параллельный шлюз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F-30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ежедневно в 21:00 автоматически формировать сводный отчёт (выручка, открытые и закрытые заказы) и отправлять его руководителю по электронной почте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7: таймерное начальное событие «Ежедневно в 21:00»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U-05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Механик должен указывать запчасти выбором из справочника или сканированием штрихкода камерой планшета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5: задача «Отметить запчасти, завершить работы»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R-05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 недоступности ККТ система должна позволять завершить выдачу автомобиля с отметкой «чек не пробит» и автоматически отправить чек после восстановления связи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6: задача «Зафиксировать оплату, пробить чек (ККТ)»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P-04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Формирование отчёта за год должно занимать не более 30 секунд и не должно замедлять работу других пользователей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7: параллельный расчёт показателей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C-04</w:t>
            </w:r>
          </w:p>
        </w:tc>
        <w:tc>
          <w:tcPr>
            <w:tcW w:type="dxa" w:w="680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изм.</w:t>
            </w:r>
          </w:p>
        </w:tc>
        <w:tc>
          <w:tcPr>
            <w:tcW w:type="dxa" w:w="476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интерфейсов: взаимодействие с контрольно-кассовой техникой в соответствии с 54-ФЗ при приёме оплаты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Рис. 6: ККТ используется в каждом заказе (приоритет повышен со среднего)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Уточнённая спецификация требований, классифицированная по модели FURPS+, приведена в таблице 4. Новые и изменённые требования выделены полужирным шрифтом и отмечены в столбце ID.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– Уточнённая спецификация требований по модели FURPS+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  <w:cantSplit/>
        </w:trPr>
        <w:tc>
          <w:tcPr>
            <w:tcW w:type="dxa" w:w="964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311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  <w:tc>
          <w:tcPr>
            <w:tcW w:type="dxa" w:w="141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Приоритет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(важность)</w:t>
            </w:r>
          </w:p>
        </w:tc>
        <w:tc>
          <w:tcPr>
            <w:tcW w:type="dxa" w:w="187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Тестируемость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(проверяемость)</w:t>
            </w:r>
          </w:p>
        </w:tc>
        <w:tc>
          <w:tcPr>
            <w:tcW w:type="dxa" w:w="1984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Сложность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реализации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(выполнимость)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Функциональные требования (Functionality)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F-01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регистрацию клиента и автомобиля: ФИО, телефон, марка, модель, госномер, VIN, год выпуска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F-02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создавать заявку (ФИО владельца, марка автомобиля, вид работы, дата приёма заказа, предварительная стоимость) с присвоением уникального номера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F-03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поиск клиента и автомобиля по ФИО, телефону и госномеру с автоподстановкой данных в заявку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F-04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вести справочник видов работ и прейскурант (наименование, нормо-часы, цена)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F-05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заказ-наряд с назначением механика, поста и плановой даты готовности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(изм.)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автоматически проверять пересечение назначаемого заказа с графиком поста и механика и не сохранять заказ-наряд при конфликте без подтверждения мастера-приёмщика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F-07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(изм.)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поддерживать статусы заказа («Принят», «В работе», «Ожидает согласования», «Выполнен», «Выдан», «Отклонён», «Отменён»), допускать только переходы, предусмотренные моделью процесса (статус «Выдан» – только после оплаты), и хранить историю изменений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F-08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(изм.)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позволять добавлять дополнительные работы с отметкой о решении клиента (согласие или отказ, дата, способ) и при согласии автоматически пересчитывать стоимость и плановую дату готовности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F-09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фиксировать израсходованные запчасти и материалы по заказу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F-10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автоматически рассчитывать стоимость заказа: Σ(нормо-часы × стоимость нормо-часа) + Σ(запчасти) − скидка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F-11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и печатать квитанцию (акт выполненных работ) с перечнем работ, запчастей и итоговой суммой, сохранять её в PDF и печатать повторно по номеру заказа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F-12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фиксировать факт, дату и способ оплаты заказа (наличные, банковская карта)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F-13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(изм.)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формировать отчёты с параметрами «период» и «вид отчёта»: по заказам, по выручке в разрезе видов работ, по выработке механиков, по новым и повторным клиентам, по незакрытым и просроченным заказам, с экспортом в Excel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F-14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отображать историю обслуживания автомобиля и клиента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F-15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список клиентов, у которых наступает срок планового ТО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(изм.)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отправлять клиенту SMS-уведомления о событиях заказа: приём заявки и плановая дата готовности, необходимость согласования доп. работ, готовность автомобиля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F-17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выполнять аутентификацию по логину и паролю и разграничивать права по ролям: руководитель, мастер-приёмщик, автомеханик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F-18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вести журнал изменений заказов (пользователь, дата, изменённые данные) и запрещать удаление закрытых заказов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F-19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Если клиент не найден по телефону или госномеру, система должна предлагать регистрацию нового клиента с подстановкой введённых при поиске данных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F-20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фиксировать результат согласования предварительной стоимости; при отказе заявка сохраняется со статусом «Отклонён» и указанием причины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F-21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формировать и печатать акт приёма автомобиля (пробег, комплектность, видимые повреждения, место для подписи клиента)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F-22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 регистрации клиента система должна фиксировать его согласие на обработку персональных данных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F-23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предлагать ближайшее свободное время поста и механика с учётом суммарных нормо-часов работ заказа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F-24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заполнять состав работ заказ-наряда по шаблону регламента ТО для выбранной модели автомобиля и пробега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F-25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 переводе заказа в статус «Ожидает согласования» система должна уведомлять мастера-приёмщика и отображать список заказов, ожидающих согласования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контролировать срок ожидания решения клиента (по умолчанию 2 часа, настраивается) и по его истечении напоминать мастеру и предлагать зафиксировать отказ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F-27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фиксировать время начала и окончания работ по заказ-наряду для учёта фактической выработки механиков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F-28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Перед расчётом итоговой стоимости система должна проверять полноту заказа (все работы выполнены, по доп. работам есть решение клиента, указаны запчасти) и при нарушениях запрещать формирование квитанции, показывая список расхождений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F-29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передавать данные о расчёте в ККТ для печати кассового чека; закрытие заказа возможно только после фиксации оплаты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F-30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Система должна ежедневно в 21:00 автоматически формировать сводный отчёт (выручка, открытые и закрытые заказы) и отправлять его руководителю по электронной почте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удобству использования (Usability)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U-01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Оформление заявки для постоянного клиента должно занимать не более 3 минут, для нового клиента – не более 5 минут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U-02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должен быть на русском языке; обучение мастера-приёмщика основным операциям – не более 2 часов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U-03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механика должен работать на планшете, иметь крупные элементы управления (не менее 1×1 см) и позволять сменить статус заказа не более чем в 2 нажатия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U-04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Обязательные поля должны выделяться, для телефона и госномера должна использоваться маска ввода, ошибки ввода сопровождаются понятными сообщениями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U-05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Механик должен указывать запчасти выбором из справочника или сканированием штрихкода камерой планшета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надёжности (Reliability)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R-01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быть доступна в рабочее время автосервиса (8:00–21:00) не менее 99 % времени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R-02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Должно выполняться ежедневное автоматическое резервное копирование базы данных; время восстановления – не более 1 часа, допустимая потеря данных – не более чем за 24 часа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R-03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Сохранение заказа должно выполняться в транзакции: при сбое заказ не должен сохраняться частично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R-04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Среднее время наработки на отказ должно составлять не менее 720 часов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R-05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 недоступности ККТ система должна позволять завершить выдачу автомобиля с отметкой «чек не пробит» и автоматически отправить чек после восстановления связи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производительности (Performance)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P-01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поиска клиента или заказа – не более 2 секунд при объёме базы до 50 000 заказов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P-02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формирования квитанции – не более 3 секунд, месячного отчёта – не более 10 секунд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P-03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одновременную работу не менее 15 пользователей без увеличения времени отклика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P-04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(нов.)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Формирование отчёта за год должно занимать не более 30 секунд и не должно замедлять работу других пользователей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поддерживаемости (Supportability)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S-01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Прейскурант, виды работ, стоимость нормо-часа и шаблон квитанции должны настраиваться без изменения программного кода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S-02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иметь модульную архитектуру (клиенты, заказы, расчёты, отчёты); модуль расчёта стоимости должен быть покрыт модульными тестами не менее чем на 80 %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S-03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Обновление версии системы должно выполняться без потери данных, с автоматической миграцией структуры базы данных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Ограничения (+)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C-01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проектирования: клиент-серверная архитектура с веб-интерфейсом, СУБД PostgreSQL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C-02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реализации: работа на имеющихся ПК под управлением Windows 10/11 (браузер) и на планшетах Android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C-03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интерфейсов: печать на стандартном принтере формата А4, экспорт отчётов в форматы XLSX и PDF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C-04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(изм.)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Ограничение интерфейсов: взаимодействие с контрольно-кассовой техникой в соответствии с 54-ФЗ при приёме оплаты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C-05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Юридическое ограничение: обработка персональных данных клиентов в соответствии с 152-ФЗ «О персональных данных»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96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C-06</w:t>
            </w:r>
          </w:p>
        </w:tc>
        <w:tc>
          <w:tcPr>
            <w:tcW w:type="dxa" w:w="311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сроков: первая версия системы, включающая требования с высоким приоритетом, должна быть введена в эксплуатацию не позднее чем через 3 месяца</w:t>
            </w:r>
          </w:p>
        </w:tc>
        <w:tc>
          <w:tcPr>
            <w:tcW w:type="dxa" w:w="141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87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Итого спецификация содержит 53 требований: 30 функциональных, 5 к удобству использования, 5 к надёжности, 4 к производительности, 3 к поддерживаемости и 6 ограничений.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изучена нотация BPMN 2.0 и построены модели бизнес-процессов автосервиса: модель основного бизнес-процесса «Обслуживание заказа клиента автосервиса» и пять детальных моделей процессов, соответствующих блокам декомпозиции A1–A5 диаграммы IDEF0 из работы №1.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отличие от функциональной модели IDEF0, BPMN-модели показали порядок выполнения действий, точки принятия решений (шлюзы), ожидания событий (таймеры, сообщения), параллельные ветви и взаимодействие с клиентом. Выделение дорожки «ИС автосервиса» позволило явно определить действия, выполняемые системой. На основе анализа моделей спецификация требований FURPS+ уточнена: добавлено 15 новых требований (12 функциональных, по одному к удобству использования, надёжности и производительности) и изменено 6 требований, в том числе повышены приоритеты требований к уведомлениям клиента, контролю пересечений в графике и взаимодействию с ККТ.</w:t>
      </w:r>
    </w:p>
    <w:sectPr w:rsidR="000367E6" w:rsidRPr="002E6267" w:rsidSect="00B76D1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02DB29" w14:textId="77777777" w:rsidR="00FA36F8" w:rsidRDefault="00FA36F8" w:rsidP="00B76D14">
      <w:pPr>
        <w:spacing w:after="0" w:line="240" w:lineRule="auto"/>
      </w:pPr>
      <w:r>
        <w:separator/>
      </w:r>
    </w:p>
  </w:endnote>
  <w:endnote w:type="continuationSeparator" w:id="0">
    <w:p w14:paraId="2CB8AB12" w14:textId="77777777" w:rsidR="00FA36F8" w:rsidRDefault="00FA36F8" w:rsidP="00B76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7714315"/>
      <w:docPartObj>
        <w:docPartGallery w:val="Page Numbers (Bottom of Page)"/>
        <w:docPartUnique/>
      </w:docPartObj>
    </w:sdtPr>
    <w:sdtEndPr/>
    <w:sdtContent>
      <w:p w14:paraId="7B92A8DC" w14:textId="71808045" w:rsidR="00B76D14" w:rsidRDefault="00B76D1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F39D63" w14:textId="77777777" w:rsidR="00B76D14" w:rsidRDefault="00B76D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3ADDE0" w14:textId="77777777" w:rsidR="00FA36F8" w:rsidRDefault="00FA36F8" w:rsidP="00B76D14">
      <w:pPr>
        <w:spacing w:after="0" w:line="240" w:lineRule="auto"/>
      </w:pPr>
      <w:r>
        <w:separator/>
      </w:r>
    </w:p>
  </w:footnote>
  <w:footnote w:type="continuationSeparator" w:id="0">
    <w:p w14:paraId="6085C995" w14:textId="77777777" w:rsidR="00FA36F8" w:rsidRDefault="00FA36F8" w:rsidP="00B76D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E45"/>
    <w:rsid w:val="0002463C"/>
    <w:rsid w:val="00031EA4"/>
    <w:rsid w:val="000367E6"/>
    <w:rsid w:val="000926C0"/>
    <w:rsid w:val="000D6BFD"/>
    <w:rsid w:val="00115E45"/>
    <w:rsid w:val="00130861"/>
    <w:rsid w:val="001408D8"/>
    <w:rsid w:val="0028041F"/>
    <w:rsid w:val="002816FA"/>
    <w:rsid w:val="00290A39"/>
    <w:rsid w:val="002B3727"/>
    <w:rsid w:val="002D1D8E"/>
    <w:rsid w:val="002E6267"/>
    <w:rsid w:val="003100F8"/>
    <w:rsid w:val="003750D6"/>
    <w:rsid w:val="003E2B7D"/>
    <w:rsid w:val="00422857"/>
    <w:rsid w:val="004A1C35"/>
    <w:rsid w:val="004B4875"/>
    <w:rsid w:val="004D39CA"/>
    <w:rsid w:val="004F3DD8"/>
    <w:rsid w:val="005F3349"/>
    <w:rsid w:val="006F63C5"/>
    <w:rsid w:val="00715FAB"/>
    <w:rsid w:val="007227CC"/>
    <w:rsid w:val="00732F23"/>
    <w:rsid w:val="007A71B2"/>
    <w:rsid w:val="008139AB"/>
    <w:rsid w:val="00847B1E"/>
    <w:rsid w:val="00876730"/>
    <w:rsid w:val="008838C1"/>
    <w:rsid w:val="00900575"/>
    <w:rsid w:val="00923CC4"/>
    <w:rsid w:val="00956B77"/>
    <w:rsid w:val="009B13FF"/>
    <w:rsid w:val="00AB10E3"/>
    <w:rsid w:val="00B67E70"/>
    <w:rsid w:val="00B76D14"/>
    <w:rsid w:val="00C671B8"/>
    <w:rsid w:val="00D663B2"/>
    <w:rsid w:val="00D70E32"/>
    <w:rsid w:val="00E62E37"/>
    <w:rsid w:val="00E97C39"/>
    <w:rsid w:val="00EA6184"/>
    <w:rsid w:val="00EC4ACF"/>
    <w:rsid w:val="00EF7438"/>
    <w:rsid w:val="00FA36F8"/>
    <w:rsid w:val="00FF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89427"/>
  <w15:chartTrackingRefBased/>
  <w15:docId w15:val="{E5EC0E15-DF14-4863-A1C6-58C5B0AF6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367E6"/>
    <w:pPr>
      <w:spacing w:line="256" w:lineRule="auto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422857"/>
  </w:style>
  <w:style w:type="paragraph" w:styleId="a3">
    <w:name w:val="header"/>
    <w:basedOn w:val="a"/>
    <w:link w:val="a4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76D14"/>
    <w:rPr>
      <w:rFonts w:ascii="Times New Roman" w:hAnsi="Times New Roman"/>
      <w:color w:val="000000" w:themeColor="text1"/>
      <w:sz w:val="28"/>
    </w:rPr>
  </w:style>
  <w:style w:type="paragraph" w:styleId="a5">
    <w:name w:val="footer"/>
    <w:basedOn w:val="a"/>
    <w:link w:val="a6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76D14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57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Нуянзин</dc:creator>
  <cp:keywords/>
  <dc:description/>
  <cp:lastModifiedBy>RePack by Diakov</cp:lastModifiedBy>
  <cp:revision>7</cp:revision>
  <dcterms:created xsi:type="dcterms:W3CDTF">2022-09-14T06:56:00Z</dcterms:created>
  <dcterms:modified xsi:type="dcterms:W3CDTF">2026-09-02T10:05:00Z</dcterms:modified>
</cp:coreProperties>
</file>