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spacing w:before="0" w:after="240" w:line="360" w:lineRule="auto"/>
        <w:ind w:firstLine="0"/>
        <w:jc w:val="center"/>
      </w:pPr>
      <w:r>
        <w:rPr>
          <w:b/>
          <w:bCs/>
        </w:rPr>
        <w:t xml:space="preserve">ГЛАВА 1 ПЛАНИРОВАНИЕ И ПРОЕКТИРОВАНИЕ КОНВЕЙЕРА ДАННЫХ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1.1 Обоснование потребности в конвейере данных</w:t>
      </w:r>
    </w:p>
    <w:p>
      <w:pPr>
        <w:spacing w:after="0" w:line="360" w:lineRule="auto"/>
        <w:ind w:firstLine="709"/>
        <w:jc w:val="both"/>
      </w:pPr>
      <w:r>
        <w:rPr/>
        <w:t xml:space="preserve">Современная электронная коммерция относится к числу отраслей, в которых данные являются непосредственным производственным ресурсом, а не только материалом для последующей отчётности [1]. Каждое действие посетителя интернет-магазина — открытие карточки товара, добавление позиции в корзину, переход к оформлению заказа — формирует событие, которое может быть зафиксировано, обработано и использовано для принятия решения. Одновременно веб-сервер фиксирует технические события: запросы, коды ответов, время обработки. В совокупности эти потоки образуют непрерывный массив данных, объём которого при интенсивности порядка двухсот событий в секунду превышает полтора десятка миллионов записей в сутки.</w:t>
      </w:r>
    </w:p>
    <w:p>
      <w:pPr>
        <w:spacing w:after="0" w:line="360" w:lineRule="auto"/>
        <w:ind w:firstLine="709"/>
        <w:jc w:val="both"/>
      </w:pPr>
      <w:r>
        <w:rPr/>
        <w:t xml:space="preserve">Ключевая особенность рассматриваемой предметной области состоит в том, что ценность значительной части этих данных быстро убывает со временем. Классический подход, при котором выгрузка и агрегация выполняются ночным пакетным заданием, приводит к отставанию аналитики от фактического состояния магазина на величину до суток. Для ряда задач такое отставание обесценивает результат:</w:t>
      </w:r>
    </w:p>
    <w:p>
      <w:pPr>
        <w:spacing w:after="0" w:line="360" w:lineRule="auto"/>
        <w:ind w:left="992" w:hanging="283"/>
        <w:jc w:val="both"/>
      </w:pPr>
      <w:r>
        <w:rPr/>
        <w:t xml:space="preserve">– напоминание о брошенной корзине, отправленное через сутки после добавления товара, адресуется пользователю, который уже принял решение о покупке в другом месте либо утратил интерес к товару;</w:t>
      </w:r>
    </w:p>
    <w:p>
      <w:pPr>
        <w:spacing w:after="0" w:line="360" w:lineRule="auto"/>
        <w:ind w:left="992" w:hanging="283"/>
        <w:jc w:val="both"/>
      </w:pPr>
      <w:r>
        <w:rPr/>
        <w:t xml:space="preserve">– всплеск ошибок 5xx на этапе оформления заказа, обнаруженный на следующий день, означает, что магазин в течение длительного времени не принимал заказы, и эти заказы безвозвратно потеряны;</w:t>
      </w:r>
    </w:p>
    <w:p>
      <w:pPr>
        <w:spacing w:after="0" w:line="360" w:lineRule="auto"/>
        <w:ind w:left="992" w:hanging="283"/>
        <w:jc w:val="both"/>
      </w:pPr>
      <w:r>
        <w:rPr/>
        <w:t xml:space="preserve">– блок «популярные товары», построенный по данным предыдущих суток, не отражает текущий спрос в периоды акций и распродаж, когда структура спроса меняется в течение часов;</w:t>
      </w:r>
    </w:p>
    <w:p>
      <w:pPr>
        <w:spacing w:after="0" w:line="360" w:lineRule="auto"/>
        <w:ind w:left="992" w:hanging="283"/>
        <w:jc w:val="both"/>
      </w:pPr>
      <w:r>
        <w:rPr/>
        <w:t xml:space="preserve">– оценка конверсии воронки, доступная только в суточном разрезе, не позволяет связать падение показателя с конкретным изменением на сайте или с техническим инцидентом.</w:t>
      </w:r>
    </w:p>
    <w:p>
      <w:pPr>
        <w:spacing w:after="0" w:line="360" w:lineRule="auto"/>
        <w:ind w:firstLine="709"/>
        <w:jc w:val="both"/>
      </w:pPr>
      <w:r>
        <w:rPr/>
        <w:t xml:space="preserve">Помимо задержки, для рассматриваемой задачи характерен ряд недостатков организации работы с данными, типичных при отсутствии выделенного конвейера:</w:t>
      </w:r>
    </w:p>
    <w:p>
      <w:pPr>
        <w:spacing w:after="0" w:line="360" w:lineRule="auto"/>
        <w:ind w:left="992" w:hanging="283"/>
        <w:jc w:val="both"/>
      </w:pPr>
      <w:r>
        <w:rPr/>
        <w:t xml:space="preserve">– разнородность источников: события фронтенда, журналы веб-сервера и подготовленные записи внешней базы данных имеют разные форматы, разные способы доступа и разную периодичность поступления;</w:t>
      </w:r>
    </w:p>
    <w:p>
      <w:pPr>
        <w:spacing w:after="0" w:line="360" w:lineRule="auto"/>
        <w:ind w:left="992" w:hanging="283"/>
        <w:jc w:val="both"/>
      </w:pPr>
      <w:r>
        <w:rPr/>
        <w:t xml:space="preserve">– отсутствие единого хранилища, вследствие чего каждая аналитическая задача решается отдельной выгрузкой, а результаты разных выгрузок расходятся между собой;</w:t>
      </w:r>
    </w:p>
    <w:p>
      <w:pPr>
        <w:spacing w:after="0" w:line="360" w:lineRule="auto"/>
        <w:ind w:left="992" w:hanging="283"/>
        <w:jc w:val="both"/>
      </w:pPr>
      <w:r>
        <w:rPr/>
        <w:t xml:space="preserve">– преобладание ручных операций, которые не воспроизводимы и не документированы, а значит, не могут быть переданы другому исполнителю;</w:t>
      </w:r>
    </w:p>
    <w:p>
      <w:pPr>
        <w:spacing w:after="0" w:line="360" w:lineRule="auto"/>
        <w:ind w:left="992" w:hanging="283"/>
        <w:jc w:val="both"/>
      </w:pPr>
      <w:r>
        <w:rPr/>
        <w:t xml:space="preserve">– отсутствие систематического контроля качества, из-за чего дубли, пропуски обязательных полей и некорректные метки времени попадают в отчётность незамеченными;</w:t>
      </w:r>
    </w:p>
    <w:p>
      <w:pPr>
        <w:spacing w:after="0" w:line="360" w:lineRule="auto"/>
        <w:ind w:left="992" w:hanging="283"/>
        <w:jc w:val="both"/>
      </w:pPr>
      <w:r>
        <w:rPr/>
        <w:t xml:space="preserve">– отсутствие архива событий в исходном виде, что делает невозможным пересчёт показателей при обнаружении ошибки в логике расчёта.</w:t>
      </w:r>
    </w:p>
    <w:p>
      <w:pPr>
        <w:spacing w:after="0" w:line="360" w:lineRule="auto"/>
        <w:ind w:firstLine="709"/>
        <w:jc w:val="both"/>
      </w:pPr>
      <w:r>
        <w:rPr/>
        <w:t xml:space="preserve">Последний пункт имеет принципиальное значение. Если сырые события не сохраняются, любая ошибка в коде агрегации приводит к безвозвратной потере исторических показателей; сохранение же исходных данных позволяет восстановить любую витрину за произвольный период, что является одним из базовых принципов управления данными [2].</w:t>
      </w:r>
    </w:p>
    <w:p>
      <w:pPr>
        <w:spacing w:after="0" w:line="360" w:lineRule="auto"/>
        <w:ind w:firstLine="709"/>
        <w:jc w:val="both"/>
      </w:pPr>
      <w:r>
        <w:rPr/>
        <w:t xml:space="preserve">Целевые показатели, достижение которых обосновывает создание конвейера, приведены в таблице 1.1.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1.1 – Целевые показатели создания конвейера данных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3662"/>
        <w:gridCol w:w="2987"/>
        <w:gridCol w:w="2989"/>
      </w:tblGrid>
      <w:tr>
        <w:trPr>
          <w:trHeight w:val="454" w:hRule="atLeast"/>
          <w:tblHeader/>
        </w:trPr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w="2987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Состояние без конвейера</w:t>
            </w:r>
          </w:p>
        </w:tc>
        <w:tc>
          <w:tcPr>
            <w:tcW w:w="2989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Целевое значение</w:t>
            </w:r>
          </w:p>
        </w:tc>
      </w:tr>
      <w:tr>
        <w:trPr>
          <w:trHeight w:val="454" w:hRule="atLeast"/>
        </w:trPr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Задержка отражения события в аналитике</w:t>
            </w:r>
          </w:p>
        </w:tc>
        <w:tc>
          <w:tcPr>
            <w:tcW w:w="298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до 24 часов</w:t>
            </w:r>
          </w:p>
        </w:tc>
        <w:tc>
          <w:tcPr>
            <w:tcW w:w="298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 более 60 секунд</w:t>
            </w:r>
          </w:p>
        </w:tc>
      </w:tr>
      <w:tr>
        <w:trPr>
          <w:trHeight w:val="454" w:hRule="atLeast"/>
        </w:trPr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Способ формирования отчётности</w:t>
            </w:r>
          </w:p>
        </w:tc>
        <w:tc>
          <w:tcPr>
            <w:tcW w:w="298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ручные выгрузки</w:t>
            </w:r>
          </w:p>
        </w:tc>
        <w:tc>
          <w:tcPr>
            <w:tcW w:w="298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автоматический запуск по расписанию</w:t>
            </w:r>
          </w:p>
        </w:tc>
      </w:tr>
      <w:tr>
        <w:trPr>
          <w:trHeight w:val="454" w:hRule="atLeast"/>
        </w:trPr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Контроль качества данных</w:t>
            </w:r>
          </w:p>
        </w:tc>
        <w:tc>
          <w:tcPr>
            <w:tcW w:w="298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отсутствует либо выборочный</w:t>
            </w:r>
          </w:p>
        </w:tc>
        <w:tc>
          <w:tcPr>
            <w:tcW w:w="298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автоматические проверки на каждом запуске</w:t>
            </w:r>
          </w:p>
        </w:tc>
      </w:tr>
      <w:tr>
        <w:trPr>
          <w:trHeight w:val="454" w:hRule="atLeast"/>
        </w:trPr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Возможность пересчёта исторических витрин</w:t>
            </w:r>
          </w:p>
        </w:tc>
        <w:tc>
          <w:tcPr>
            <w:tcW w:w="298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отсутствует</w:t>
            </w:r>
          </w:p>
        </w:tc>
        <w:tc>
          <w:tcPr>
            <w:tcW w:w="298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полный пересчёт из слоя сырых данных</w:t>
            </w:r>
          </w:p>
        </w:tc>
      </w:tr>
      <w:tr>
        <w:trPr>
          <w:trHeight w:val="454" w:hRule="atLeast"/>
        </w:trPr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Единый источник аналитических показателей</w:t>
            </w:r>
          </w:p>
        </w:tc>
        <w:tc>
          <w:tcPr>
            <w:tcW w:w="298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отсутствует</w:t>
            </w:r>
          </w:p>
        </w:tc>
        <w:tc>
          <w:tcPr>
            <w:tcW w:w="298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хранилище витрин PostgreSQL</w:t>
            </w:r>
          </w:p>
        </w:tc>
      </w:tr>
      <w:tr>
        <w:trPr>
          <w:trHeight w:val="454" w:hRule="atLeast"/>
        </w:trPr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Воспроизводимость развёртывания</w:t>
            </w:r>
          </w:p>
        </w:tc>
        <w:tc>
          <w:tcPr>
            <w:tcW w:w="298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ручная настройка</w:t>
            </w:r>
          </w:p>
        </w:tc>
        <w:tc>
          <w:tcPr>
            <w:tcW w:w="298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развёртывание одной командой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Достижение перечисленных показателей даёт два рода эффектов. Организационный эффект состоит в переходе от разовых выгрузок к регламентированному процессу: аналитические показатели рассчитываются по единым правилам, зафиксированным в коде, а результаты расчёта воспроизводимы. Технический эффект состоит в появлении архива событий и механизма повторной обработки, благодаря которым исправление ошибки в логике расчёта не требует восстановления данных из внешних источников.</w:t>
      </w:r>
    </w:p>
    <w:p>
      <w:pPr>
        <w:spacing w:after="0" w:line="360" w:lineRule="auto"/>
        <w:ind w:firstLine="709"/>
        <w:jc w:val="both"/>
      </w:pPr>
      <w:r>
        <w:rPr/>
        <w:t xml:space="preserve">Таким образом, для решения поставленных задач требуется конвейер данных, сочетающий потоковую обработку, обеспечивающую низкую задержку формирования витрин, и пакетную обработку, обеспечивающую регулярные агрегации, контроль качества и формирование сводных отчётов.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1.2 Анализ предметной области</w:t>
      </w:r>
    </w:p>
    <w:p>
      <w:pPr>
        <w:spacing w:after="0" w:line="360" w:lineRule="auto"/>
        <w:ind w:firstLine="709"/>
        <w:jc w:val="both"/>
      </w:pPr>
      <w:r>
        <w:rPr/>
        <w:t xml:space="preserve">Объектом автоматизации является процесс обработки данных о пользовательской активности интернет-магазина. Основной бизнес-процесс магазина представляет собой последовательность шагов, которые посетитель проходит от знакомства с ассортиментом до оплаты заказа. На каждом шаге часть посетителей прекращает взаимодействие, вследствие чего процесс принято представлять в виде воронки конверсии (рисунок 1.1).</w:t>
      </w:r>
    </w:p>
    <w:p>
      <w:pPr>
        <w:keepNext/>
        <w:spacing w:before="120" w:after="60" w:line="240" w:lineRule="auto"/>
        <w:ind w:firstLine="0"/>
        <w:jc w:val="center"/>
      </w:pPr>
      <w:r>
        <w:drawing>
          <wp:inline distT="0" distB="0" distL="0" distR="0">
            <wp:extent cx="5263311" cy="2643563"/>
            <wp:effectExtent l="0" t="0" r="0" b="0"/>
            <wp:docPr id="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263311" cy="264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60" w:lineRule="auto"/>
        <w:jc w:val="center"/>
      </w:pPr>
      <w:r>
        <w:rPr/>
        <w:t xml:space="preserve">Рисунок 1.1 – Воронка конверсии пользовательской активности интернет-магазина</w:t>
      </w:r>
    </w:p>
    <w:p>
      <w:pPr>
        <w:spacing w:after="0" w:line="360" w:lineRule="auto"/>
        <w:ind w:firstLine="709"/>
        <w:jc w:val="both"/>
      </w:pPr>
      <w:r>
        <w:rPr/>
        <w:t xml:space="preserve">Количественной характеристикой каждого перехода служит коэффициент конверсии, рассчитываемый как отношение числа уникальных сессий, достигших последующего шага воронки, к числу сессий, достигших предыдущего шага, в пределах одного временного окна:</w:t>
      </w:r>
    </w:p>
    <w:p>
      <w:pPr>
        <w:spacing w:line="360" w:lineRule="auto"/>
      </w:pPr>
    </w:p>
    <w:p>
      <w:pPr>
        <w:spacing w:after="0" w:line="360" w:lineRule="auto"/>
        <w:jc w:val="center"/>
      </w:pPr>
      <w:r>
        <w:rPr>
          <w:i/>
          <w:iCs/>
        </w:rPr>
        <w:t xml:space="preserve">CR_i = S_(i+1) / S_i ,</w:t>
      </w:r>
    </w:p>
    <w:p>
      <w:pPr>
        <w:spacing w:after="120" w:line="360" w:lineRule="auto"/>
        <w:jc w:val="right"/>
      </w:pPr>
      <w:r>
        <w:rPr/>
        <w:t xml:space="preserve">(1.1)</w:t>
      </w:r>
    </w:p>
    <w:p>
      <w:pPr>
        <w:spacing w:after="0" w:line="360" w:lineRule="auto"/>
        <w:jc w:val="both"/>
      </w:pPr>
      <w:r>
        <w:rPr/>
        <w:t xml:space="preserve">где CR_i — коэффициент перехода с шага i на шаг i + 1;</w:t>
      </w:r>
    </w:p>
    <w:p>
      <w:pPr>
        <w:spacing w:after="120" w:line="360" w:lineRule="auto"/>
        <w:jc w:val="both"/>
      </w:pPr>
      <w:r>
        <w:rPr/>
        <w:t xml:space="preserve">S_i — число уникальных сессий, достигших шага i в пределах окна, ед.</w:t>
      </w:r>
    </w:p>
    <w:p>
      <w:pPr>
        <w:spacing w:after="0" w:line="360" w:lineRule="auto"/>
        <w:ind w:firstLine="709"/>
        <w:jc w:val="both"/>
      </w:pPr>
      <w:r>
        <w:rPr/>
        <w:t xml:space="preserve">Снижение любого из коэффициентов относительно характерного для него уровня служит индикатором проблемы: падение перехода «просмотр — корзина» указывает на вопросы ассортимента или цены, а падение перехода «корзина — заказ» чаще связано с техническими неисправностями этапа оформления либо с неожиданными для покупателя условиями доставки.</w:t>
      </w:r>
    </w:p>
    <w:p>
      <w:pPr>
        <w:spacing w:after="0" w:line="360" w:lineRule="auto"/>
        <w:ind w:firstLine="709"/>
        <w:jc w:val="both"/>
      </w:pPr>
      <w:r>
        <w:rPr/>
        <w:t xml:space="preserve">Ключевые сущности предметной области, подлежащие отражению в модели данных, приведены в таблице 1.2.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1.2 – Ключевые сущности предметной области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927"/>
        <w:gridCol w:w="4337"/>
        <w:gridCol w:w="3374"/>
      </w:tblGrid>
      <w:tr>
        <w:trPr>
          <w:trHeight w:val="454" w:hRule="atLeast"/>
          <w:tblHeader/>
        </w:trPr>
        <w:tc>
          <w:tcPr>
            <w:tcW w:w="1927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Сущность</w:t>
            </w:r>
          </w:p>
        </w:tc>
        <w:tc>
          <w:tcPr>
            <w:tcW w:w="4337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w="3374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Ключевые атрибуты</w:t>
            </w:r>
          </w:p>
        </w:tc>
      </w:tr>
      <w:tr>
        <w:trPr>
          <w:trHeight w:val="454" w:hRule="atLeast"/>
        </w:trPr>
        <w:tc>
          <w:tcPr>
            <w:tcW w:w="192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Посетитель</w:t>
            </w:r>
          </w:p>
        </w:tc>
        <w:tc>
          <w:tcPr>
            <w:tcW w:w="433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Обезличенный пользователь, которому сопоставлен суррогатный идентификатор</w:t>
            </w:r>
          </w:p>
        </w:tc>
        <w:tc>
          <w:tcPr>
            <w:tcW w:w="337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идентификатор пользователя</w:t>
            </w:r>
          </w:p>
        </w:tc>
      </w:tr>
      <w:tr>
        <w:trPr>
          <w:trHeight w:val="454" w:hRule="atLeast"/>
        </w:trPr>
        <w:tc>
          <w:tcPr>
            <w:tcW w:w="192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Сессия</w:t>
            </w:r>
          </w:p>
        </w:tc>
        <w:tc>
          <w:tcPr>
            <w:tcW w:w="433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Непрерывная последовательность действий посетителя в пределах одного визита</w:t>
            </w:r>
          </w:p>
        </w:tc>
        <w:tc>
          <w:tcPr>
            <w:tcW w:w="337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идентификатор сессии, время начала, тип устройства</w:t>
            </w:r>
          </w:p>
        </w:tc>
      </w:tr>
      <w:tr>
        <w:trPr>
          <w:trHeight w:val="454" w:hRule="atLeast"/>
        </w:trPr>
        <w:tc>
          <w:tcPr>
            <w:tcW w:w="192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Товар</w:t>
            </w:r>
          </w:p>
        </w:tc>
        <w:tc>
          <w:tcPr>
            <w:tcW w:w="433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Позиция каталога, доступная к просмотру и заказу</w:t>
            </w:r>
          </w:p>
        </w:tc>
        <w:tc>
          <w:tcPr>
            <w:tcW w:w="337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идентификатор товара, наименование, категория, цена</w:t>
            </w:r>
          </w:p>
        </w:tc>
      </w:tr>
      <w:tr>
        <w:trPr>
          <w:trHeight w:val="454" w:hRule="atLeast"/>
        </w:trPr>
        <w:tc>
          <w:tcPr>
            <w:tcW w:w="192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Событие активности</w:t>
            </w:r>
          </w:p>
        </w:tc>
        <w:tc>
          <w:tcPr>
            <w:tcW w:w="433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Факт совершения посетителем действия</w:t>
            </w:r>
          </w:p>
        </w:tc>
        <w:tc>
          <w:tcPr>
            <w:tcW w:w="337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идентификатор события, тип, время наступления, сессия, товар</w:t>
            </w:r>
          </w:p>
        </w:tc>
      </w:tr>
      <w:tr>
        <w:trPr>
          <w:trHeight w:val="454" w:hRule="atLeast"/>
        </w:trPr>
        <w:tc>
          <w:tcPr>
            <w:tcW w:w="192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Заказ</w:t>
            </w:r>
          </w:p>
        </w:tc>
        <w:tc>
          <w:tcPr>
            <w:tcW w:w="433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Оформленная и оплаченная покупка</w:t>
            </w:r>
          </w:p>
        </w:tc>
        <w:tc>
          <w:tcPr>
            <w:tcW w:w="337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идентификатор заказа, сессия, сумма, состав</w:t>
            </w:r>
          </w:p>
        </w:tc>
      </w:tr>
      <w:tr>
        <w:trPr>
          <w:trHeight w:val="454" w:hRule="atLeast"/>
        </w:trPr>
        <w:tc>
          <w:tcPr>
            <w:tcW w:w="192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Технический запрос</w:t>
            </w:r>
          </w:p>
        </w:tc>
        <w:tc>
          <w:tcPr>
            <w:tcW w:w="433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Обращение к веб-серверу, зафиксированное в журнале</w:t>
            </w:r>
          </w:p>
        </w:tc>
        <w:tc>
          <w:tcPr>
            <w:tcW w:w="337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время, URI, код ответа, время обработки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Типы событий пользовательской активности, подлежащие приёму и обработке, приведены в таблице 1.3.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1.3 – Типы обрабатываемых событий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313"/>
        <w:gridCol w:w="3662"/>
        <w:gridCol w:w="3663"/>
      </w:tblGrid>
      <w:tr>
        <w:trPr>
          <w:trHeight w:val="454" w:hRule="atLeast"/>
          <w:tblHeader/>
        </w:trPr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 события</w:t>
            </w:r>
          </w:p>
        </w:tc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Момент возникновения</w:t>
            </w:r>
          </w:p>
        </w:tc>
        <w:tc>
          <w:tcPr>
            <w:tcW w:w="3663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 в расчётах</w:t>
            </w:r>
          </w:p>
        </w:tc>
      </w:tr>
      <w:tr>
        <w:trPr>
          <w:trHeight w:val="454" w:hRule="atLeast"/>
        </w:trPr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product_view</w:t>
            </w:r>
          </w:p>
        </w:tc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Открытие карточки товара</w:t>
            </w:r>
          </w:p>
        </w:tc>
        <w:tc>
          <w:tcPr>
            <w:tcW w:w="366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первый шаг воронки, рейтинг товаров</w:t>
            </w:r>
          </w:p>
        </w:tc>
      </w:tr>
      <w:tr>
        <w:trPr>
          <w:trHeight w:val="454" w:hRule="atLeast"/>
        </w:trPr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add_to_cart</w:t>
            </w:r>
          </w:p>
        </w:tc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Добавление товара в корзину</w:t>
            </w:r>
          </w:p>
        </w:tc>
        <w:tc>
          <w:tcPr>
            <w:tcW w:w="366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второй шаг воронки, детектирование брошенных корзин</w:t>
            </w:r>
          </w:p>
        </w:tc>
      </w:tr>
      <w:tr>
        <w:trPr>
          <w:trHeight w:val="454" w:hRule="atLeast"/>
        </w:trPr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checkout_start</w:t>
            </w:r>
          </w:p>
        </w:tc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Переход к оформлению заказа</w:t>
            </w:r>
          </w:p>
        </w:tc>
        <w:tc>
          <w:tcPr>
            <w:tcW w:w="366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третий шаг воронки</w:t>
            </w:r>
          </w:p>
        </w:tc>
      </w:tr>
      <w:tr>
        <w:trPr>
          <w:trHeight w:val="454" w:hRule="atLeast"/>
        </w:trPr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order_created</w:t>
            </w:r>
          </w:p>
        </w:tc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Успешное оформление и оплата заказа</w:t>
            </w:r>
          </w:p>
        </w:tc>
        <w:tc>
          <w:tcPr>
            <w:tcW w:w="366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четвёртый шаг воронки, рейтинг товаров</w:t>
            </w:r>
          </w:p>
        </w:tc>
      </w:tr>
      <w:tr>
        <w:trPr>
          <w:trHeight w:val="454" w:hRule="atLeast"/>
        </w:trPr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nginx_request</w:t>
            </w:r>
          </w:p>
        </w:tc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Обработка запроса веб-сервером</w:t>
            </w:r>
          </w:p>
        </w:tc>
        <w:tc>
          <w:tcPr>
            <w:tcW w:w="366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выявление аномалий трафика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На основании анализа предметной области выделены четыре прикладные задачи, решение которых возлагается на конвейер: расчёт конверсии воронки в реальном времени; детектирование брошенных корзин, то есть добавлений товара, за которыми в течение заданного интервала не последовало оформление заказа; формирование рейтинга популярных товаров на скользящем временном окне; выявление аномалий трафика по журналам веб-сервера. Общим для всех четырёх задач является требование оконной обработки потока событий с учётом времени их наступления, а не времени их поступления в систему [3].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1.3 Анализ и описание источников данных</w:t>
      </w:r>
    </w:p>
    <w:p>
      <w:pPr>
        <w:spacing w:after="0" w:line="360" w:lineRule="auto"/>
        <w:ind w:firstLine="709"/>
        <w:jc w:val="both"/>
      </w:pPr>
      <w:r>
        <w:rPr/>
        <w:t xml:space="preserve">Конвейер принимает данные из трёх источников, различающихся форматом, способом доступа и режимом поступления.</w:t>
      </w:r>
    </w:p>
    <w:p>
      <w:pPr>
        <w:spacing w:after="0" w:line="360" w:lineRule="auto"/>
        <w:ind w:firstLine="709"/>
        <w:jc w:val="both"/>
      </w:pPr>
      <w:r>
        <w:rPr>
          <w:b/>
          <w:bCs/>
        </w:rPr>
        <w:t xml:space="preserve">Внешняя база данных PostgreSQL.</w:t>
      </w:r>
      <w:r>
        <w:rPr/>
        <w:t xml:space="preserve"> Источник содержит подготовленные события пользовательской активности и размещён на отдельном сервере. Прямое подключение к нему со стороны конвейера не предусмотрено: доступ осуществляется программно через интерфейс, возвращающий записи постранично в формате JSON. Извлечение выполняется инкрементально — по значению метки времени последнего успешно обработанного события, которое сохраняется в состоянии задачи. Такой режим исключает повторное чтение всего набора при каждом запуске, однако требует отдельной обработки событий, поступивших в источник с опозданием: для них граница инкремента сдвигается назад на величину допустимого опоздания.</w:t>
      </w:r>
    </w:p>
    <w:p>
      <w:pPr>
        <w:spacing w:after="0" w:line="360" w:lineRule="auto"/>
        <w:ind w:firstLine="709"/>
        <w:jc w:val="both"/>
      </w:pPr>
      <w:r>
        <w:rPr>
          <w:b/>
          <w:bCs/>
        </w:rPr>
        <w:t xml:space="preserve">События фронтенда.</w:t>
      </w:r>
      <w:r>
        <w:rPr/>
        <w:t xml:space="preserve"> Источник представляет собой поток сообщений формата JSON, формируемых клиентской частью магазина при совершении посетителем действий. События поступают непрерывно и публикуются в топик брокера сообщений. Пример события приведён ниже.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2"/>
          <w:szCs w:val="22"/>
        </w:rPr>
        <w:t xml:space="preserve">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2"/>
          <w:szCs w:val="22"/>
        </w:rPr>
        <w:t xml:space="preserve">  "event_id":   "9f1c2a84-5e3b-4a17-9d60-2b7c1f08ae33",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2"/>
          <w:szCs w:val="22"/>
        </w:rPr>
        <w:t xml:space="preserve">  "event_type": "add_to_cart",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2"/>
          <w:szCs w:val="22"/>
        </w:rPr>
        <w:t xml:space="preserve">  "event_ts":   "2026-10-14T12:41:07.512Z",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2"/>
          <w:szCs w:val="22"/>
        </w:rPr>
        <w:t xml:space="preserve">  "session_id": "s-8842f1c0",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2"/>
          <w:szCs w:val="22"/>
        </w:rPr>
        <w:t xml:space="preserve">  "user_key":   "u-5519",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2"/>
          <w:szCs w:val="22"/>
        </w:rPr>
        <w:t xml:space="preserve">  "product_id": 10427,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2"/>
          <w:szCs w:val="22"/>
        </w:rPr>
        <w:t xml:space="preserve">  "price":      3490.00,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2"/>
          <w:szCs w:val="22"/>
        </w:rPr>
        <w:t xml:space="preserve">  "device":     "mobile"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2"/>
          <w:szCs w:val="22"/>
        </w:rPr>
        <w:t xml:space="preserve">}</w:t>
      </w:r>
    </w:p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>
          <w:b/>
          <w:bCs/>
        </w:rPr>
        <w:t xml:space="preserve">Журналы веб-сервера Nginx.</w:t>
      </w:r>
      <w:r>
        <w:rPr/>
        <w:t xml:space="preserve"> Источник содержит технические события и представлен текстовыми файлами в формате combined log. Каждая строка описывает один запрос и разбирается регулярным выражением с выделением адреса клиента, метки времени, метода и URI запроса, кода ответа, размера ответа и времени обработки. Пример строки журнала приведён ниже.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2"/>
          <w:szCs w:val="22"/>
        </w:rPr>
        <w:t xml:space="preserve">192.0.2.41 - - [14/Oct/2026:12:41:09 +0400] "POST /api/cart/add HTTP/1.1"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2"/>
          <w:szCs w:val="22"/>
        </w:rPr>
        <w:t xml:space="preserve">  200 312 "https://shop.example/product/10427" "Mozilla/5.0 (Linux; Android 14)" 0.084</w:t>
      </w:r>
    </w:p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Сводная характеристика источников приведена в таблице 1.4.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1.4 – Сравнительная характеристика источников данных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120"/>
        <w:gridCol w:w="2602"/>
        <w:gridCol w:w="2505"/>
        <w:gridCol w:w="2411"/>
      </w:tblGrid>
      <w:tr>
        <w:trPr>
          <w:trHeight w:val="454" w:hRule="atLeast"/>
          <w:tblHeader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w="2602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Внешняя БД PostgreSQL</w:t>
            </w:r>
          </w:p>
        </w:tc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События фронтенда</w:t>
            </w:r>
          </w:p>
        </w:tc>
        <w:tc>
          <w:tcPr>
            <w:tcW w:w="2411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Журналы Nginx</w:t>
            </w:r>
          </w:p>
        </w:tc>
      </w:tr>
      <w:tr>
        <w:trPr>
          <w:trHeight w:val="454" w:hRule="atLeast"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Формат данных</w:t>
            </w:r>
          </w:p>
        </w:tc>
        <w:tc>
          <w:tcPr>
            <w:tcW w:w="260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JSON (ответ интерфейса)</w:t>
            </w:r>
          </w:p>
        </w:tc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JSON</w:t>
            </w:r>
          </w:p>
        </w:tc>
        <w:tc>
          <w:tcPr>
            <w:tcW w:w="24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текст, combined log</w:t>
            </w:r>
          </w:p>
        </w:tc>
      </w:tr>
      <w:tr>
        <w:trPr>
          <w:trHeight w:val="454" w:hRule="atLeast"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Способ извлечения</w:t>
            </w:r>
          </w:p>
        </w:tc>
        <w:tc>
          <w:tcPr>
            <w:tcW w:w="260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запрос к программному интерфейсу</w:t>
            </w:r>
          </w:p>
        </w:tc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подписка на топик брокера</w:t>
            </w:r>
          </w:p>
        </w:tc>
        <w:tc>
          <w:tcPr>
            <w:tcW w:w="24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чтение файлов и разбор строк</w:t>
            </w:r>
          </w:p>
        </w:tc>
      </w:tr>
      <w:tr>
        <w:trPr>
          <w:trHeight w:val="454" w:hRule="atLeast"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Режим поступления</w:t>
            </w:r>
          </w:p>
        </w:tc>
        <w:tc>
          <w:tcPr>
            <w:tcW w:w="260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по расписанию, инкрементально</w:t>
            </w:r>
          </w:p>
        </w:tc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непрерывный поток</w:t>
            </w:r>
          </w:p>
        </w:tc>
        <w:tc>
          <w:tcPr>
            <w:tcW w:w="24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непрерывное дописывание файла</w:t>
            </w:r>
          </w:p>
        </w:tc>
      </w:tr>
      <w:tr>
        <w:trPr>
          <w:trHeight w:val="454" w:hRule="atLeast"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Расчётный объём в сутки</w:t>
            </w:r>
          </w:p>
        </w:tc>
        <w:tc>
          <w:tcPr>
            <w:tcW w:w="260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до 2 млн записей</w:t>
            </w:r>
          </w:p>
        </w:tc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до 15 млн событий</w:t>
            </w:r>
          </w:p>
        </w:tc>
        <w:tc>
          <w:tcPr>
            <w:tcW w:w="24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до 20 млн строк</w:t>
            </w:r>
          </w:p>
        </w:tc>
      </w:tr>
      <w:tr>
        <w:trPr>
          <w:trHeight w:val="454" w:hRule="atLeast"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Наличие ключа события</w:t>
            </w:r>
          </w:p>
        </w:tc>
        <w:tc>
          <w:tcPr>
            <w:tcW w:w="260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w="24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нет, формируется при разборе</w:t>
            </w:r>
          </w:p>
        </w:tc>
      </w:tr>
      <w:tr>
        <w:trPr>
          <w:trHeight w:val="454" w:hRule="atLeast"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Гарантии доставки</w:t>
            </w:r>
          </w:p>
        </w:tc>
        <w:tc>
          <w:tcPr>
            <w:tcW w:w="260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повтор запроса при ошибке</w:t>
            </w:r>
          </w:p>
        </w:tc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 менее одного раза</w:t>
            </w:r>
          </w:p>
        </w:tc>
        <w:tc>
          <w:tcPr>
            <w:tcW w:w="24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однократная запись в файл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Анализ источников выявил ряд особенностей, которые необходимо учесть при проектировании модулей извлечения и трансформации:</w:t>
      </w:r>
    </w:p>
    <w:p>
      <w:pPr>
        <w:spacing w:after="0" w:line="360" w:lineRule="auto"/>
        <w:ind w:left="992" w:hanging="283"/>
        <w:jc w:val="both"/>
      </w:pPr>
      <w:r>
        <w:rPr/>
        <w:t xml:space="preserve">– брокер сообщений гарантирует доставку не менее одного раза, вследствие чего поток может содержать повторы одного и того же события, и дедупликация по идентификатору события является обязательной;</w:t>
      </w:r>
    </w:p>
    <w:p>
      <w:pPr>
        <w:spacing w:after="0" w:line="360" w:lineRule="auto"/>
        <w:ind w:left="992" w:hanging="283"/>
        <w:jc w:val="both"/>
      </w:pPr>
      <w:r>
        <w:rPr/>
        <w:t xml:space="preserve">– часть событий поступает с опозданием относительно времени их наступления из-за буферизации на стороне клиента и сетевых задержек, что требует применения механизма watermark при оконных агрегациях [3];</w:t>
      </w:r>
    </w:p>
    <w:p>
      <w:pPr>
        <w:spacing w:after="0" w:line="360" w:lineRule="auto"/>
        <w:ind w:left="992" w:hanging="283"/>
        <w:jc w:val="both"/>
      </w:pPr>
      <w:r>
        <w:rPr/>
        <w:t xml:space="preserve">– журналы веб-сервера содержат обращения поисковых роботов и служебных проверок доступности, которые не относятся к пользовательской активности и подлежат отсеиванию при расчёте показателей трафика;</w:t>
      </w:r>
    </w:p>
    <w:p>
      <w:pPr>
        <w:spacing w:after="0" w:line="360" w:lineRule="auto"/>
        <w:ind w:left="992" w:hanging="283"/>
        <w:jc w:val="both"/>
      </w:pPr>
      <w:r>
        <w:rPr/>
        <w:t xml:space="preserve">– метки времени источников заданы в разных часовых поясах: журналы веб-сервера используют местное время с указанием смещения, тогда как события фронтенда передаются в UTC, поэтому требуется приведение к единому часовому поясу;</w:t>
      </w:r>
    </w:p>
    <w:p>
      <w:pPr>
        <w:spacing w:after="0" w:line="360" w:lineRule="auto"/>
        <w:ind w:left="992" w:hanging="283"/>
        <w:jc w:val="both"/>
      </w:pPr>
      <w:r>
        <w:rPr/>
        <w:t xml:space="preserve">– в части записей внешней базы данных возможны пропуски необязательных атрибутов, что требует проверки полноты до загрузки в витрины;</w:t>
      </w:r>
    </w:p>
    <w:p>
      <w:pPr>
        <w:spacing w:after="0" w:line="360" w:lineRule="auto"/>
        <w:ind w:left="992" w:hanging="283"/>
        <w:jc w:val="both"/>
      </w:pPr>
      <w:r>
        <w:rPr/>
        <w:t xml:space="preserve">– идентификатор сессии отсутствует в журналах веб-сервера и может быть восстановлен только косвенно, поэтому технические события обрабатываются отдельным потоком и не участвуют в расчёте воронки.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1.4 Требования к конвейеру данных</w:t>
      </w:r>
    </w:p>
    <w:p>
      <w:pPr>
        <w:spacing w:after="0" w:line="360" w:lineRule="auto"/>
        <w:ind w:firstLine="709"/>
        <w:jc w:val="both"/>
      </w:pPr>
      <w:r>
        <w:rPr/>
        <w:t xml:space="preserve">Требования к конвейеру задокументированы в виде технического задания. Выбор формы документирования выполнен из четырёх распространённых вариантов: технического задания на программу по ГОСТ 19.201-78 [4]; технического задания на создание автоматизированной системы по ГОСТ 34.602-89 [5]; спецификации требований к программному обеспечению по ISO/IEC/IEEE 29148 [6]; модели классификации требований FURPS+.</w:t>
      </w:r>
    </w:p>
    <w:p>
      <w:pPr>
        <w:spacing w:after="0" w:line="360" w:lineRule="auto"/>
        <w:ind w:firstLine="709"/>
        <w:jc w:val="both"/>
      </w:pPr>
      <w:r>
        <w:rPr/>
        <w:t xml:space="preserve">Разрабатываемый конвейер не является отдельной программой: он включает брокер сообщений, средство потоковой обработки, три хранилища, оркестратор и подсистему мониторинга, развёртываемые совместно и эксплуатируемые как единое целое. Такой состав соответствует понятию автоматизированной системы, вследствие чего в качестве основной формы принято техническое задание по ГОСТ 34.602-89. Этот стандарт, в отличие от ГОСТ 19.201-78, предусматривает разделы, существенные для настоящего проекта: требования к структуре и функционированию системы, требования к видам обеспечения, требования по сохранности информации при авариях и порядок контроля и приёмки. Спецификация по ISO/IEC/IEEE 29148 использована как вспомогательный источник при формулировании нефункциональных требований. Полный текст технического задания вынесен в приложение.</w:t>
      </w:r>
    </w:p>
    <w:p>
      <w:pPr>
        <w:spacing w:after="0" w:line="360" w:lineRule="auto"/>
        <w:ind w:firstLine="709"/>
        <w:jc w:val="both"/>
      </w:pPr>
      <w:r>
        <w:rPr/>
        <w:t xml:space="preserve">Функциональные требования сгруппированы в семь групп, перечень которых приведён в таблице 1.5. Внутри каждой группы требования детализированы в техническом задании; общее число функциональных требований составляет тридцать семь.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1.5 – Группы функциональных требований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542"/>
        <w:gridCol w:w="5975"/>
        <w:gridCol w:w="2121"/>
      </w:tblGrid>
      <w:tr>
        <w:trPr>
          <w:trHeight w:val="454" w:hRule="atLeast"/>
          <w:tblHeader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w="5975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Содержание группы</w:t>
            </w:r>
          </w:p>
        </w:tc>
        <w:tc>
          <w:tcPr>
            <w:tcW w:w="2121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Число требований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ФТ-1</w:t>
            </w:r>
          </w:p>
        </w:tc>
        <w:tc>
          <w:tcPr>
            <w:tcW w:w="59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Приём данных из разнородных источников</w:t>
            </w:r>
          </w:p>
        </w:tc>
        <w:tc>
          <w:tcPr>
            <w:tcW w:w="212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6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ФТ-2</w:t>
            </w:r>
          </w:p>
        </w:tc>
        <w:tc>
          <w:tcPr>
            <w:tcW w:w="59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Потоковая обработка событий</w:t>
            </w:r>
          </w:p>
        </w:tc>
        <w:tc>
          <w:tcPr>
            <w:tcW w:w="212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6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ФТ-3</w:t>
            </w:r>
          </w:p>
        </w:tc>
        <w:tc>
          <w:tcPr>
            <w:tcW w:w="59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Формирование аналитических витрин</w:t>
            </w:r>
          </w:p>
        </w:tc>
        <w:tc>
          <w:tcPr>
            <w:tcW w:w="212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ФТ-4</w:t>
            </w:r>
          </w:p>
        </w:tc>
        <w:tc>
          <w:tcPr>
            <w:tcW w:w="59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Хранение данных</w:t>
            </w:r>
          </w:p>
        </w:tc>
        <w:tc>
          <w:tcPr>
            <w:tcW w:w="212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ФТ-5</w:t>
            </w:r>
          </w:p>
        </w:tc>
        <w:tc>
          <w:tcPr>
            <w:tcW w:w="59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Оркестрация пакетных задач</w:t>
            </w:r>
          </w:p>
        </w:tc>
        <w:tc>
          <w:tcPr>
            <w:tcW w:w="212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ФТ-6</w:t>
            </w:r>
          </w:p>
        </w:tc>
        <w:tc>
          <w:tcPr>
            <w:tcW w:w="59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Контроль качества данных</w:t>
            </w:r>
          </w:p>
        </w:tc>
        <w:tc>
          <w:tcPr>
            <w:tcW w:w="212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ФТ-7</w:t>
            </w:r>
          </w:p>
        </w:tc>
        <w:tc>
          <w:tcPr>
            <w:tcW w:w="59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Мониторинг и логирование</w:t>
            </w:r>
          </w:p>
        </w:tc>
        <w:tc>
          <w:tcPr>
            <w:tcW w:w="212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3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Нефункциональные требования, определяющие качество работы конвейера, приведены в таблице 1.6.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1.6 – Нефункциональные требования к конвейеру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542"/>
        <w:gridCol w:w="2891"/>
        <w:gridCol w:w="5205"/>
      </w:tblGrid>
      <w:tr>
        <w:trPr>
          <w:trHeight w:val="454" w:hRule="atLeast"/>
          <w:tblHeader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НФТ-1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Надёжность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 менее 99,9 % успешных запусков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НФТ-2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Масштабируемость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рост нагрузки в 2 раза без изменения кода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НФТ-3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Идемпотентность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повторный запуск даёт тот же результат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НФТ-4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Производительность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100 000 записей менее чем за 5 минут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НФТ-5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Восстанавливаемость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автоматический перезапуск при сбое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НФТ-6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Конфигурируемость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параметры в файлах конфигурации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НФТ-7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Версионирование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хранение исходного кода в Git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НФТ-8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Логирование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уровни INFO, WARNING, ERROR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НФТ-9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Мониторинг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дашборд состояния конвейера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НФТ-10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Безопасность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передача данных по TLS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НФТ-11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Воспроизводимость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развёртывание одной командой</w:t>
            </w:r>
          </w:p>
        </w:tc>
      </w:tr>
      <w:tr>
        <w:trPr>
          <w:trHeight w:val="454" w:hRule="atLeast"/>
        </w:trPr>
        <w:tc>
          <w:tcPr>
            <w:tcW w:w="15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НФТ-12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Тестируемость</w:t>
            </w:r>
          </w:p>
        </w:tc>
        <w:tc>
          <w:tcPr>
            <w:tcW w:w="52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покрытие кода тестами не менее 70 %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Отдельную группу составляют показатели назначения, по которым оценивается достижение целей создания конвейера: пропускная способность потоковой части не менее 1 000 событий в секунду; сквозная задержка от приёма события до обновления витрины не более 60 секунд для 95-го перцентиля; глубина хранения сырых данных не менее 90 суток; горизонт скользящего окна рейтинга товаров 15 минут; интервал детектирования брошенной корзины 30 минут; допустимое опоздание событий 10 минут. Три последних значения вынесены в конфигурацию и могут быть изменены без правки кода.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1.5 Проектирование архитектуры конвейера данных</w:t>
      </w:r>
    </w:p>
    <w:p>
      <w:pPr>
        <w:spacing w:after="0" w:line="360" w:lineRule="auto"/>
        <w:ind w:firstLine="709"/>
        <w:jc w:val="both"/>
      </w:pPr>
      <w:r>
        <w:rPr/>
        <w:t xml:space="preserve">Выбор архитектурного подхода выполнен из трёх вариантов, распространённых при построении конвейеров, обрабатывающих потоковые данные. Их сравнение приведено в таблице 1.7.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1.7 – Сравнение архитектурных подходов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734"/>
        <w:gridCol w:w="3855"/>
        <w:gridCol w:w="4049"/>
      </w:tblGrid>
      <w:tr>
        <w:trPr>
          <w:trHeight w:val="454" w:hRule="atLeast"/>
          <w:tblHeader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Подход</w:t>
            </w:r>
          </w:p>
        </w:tc>
        <w:tc>
          <w:tcPr>
            <w:tcW w:w="3855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Сущность</w:t>
            </w:r>
          </w:p>
        </w:tc>
        <w:tc>
          <w:tcPr>
            <w:tcW w:w="4049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Недостатки применительно к задаче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Lambda</w:t>
            </w:r>
          </w:p>
        </w:tc>
        <w:tc>
          <w:tcPr>
            <w:tcW w:w="385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Два независимых контура обработки — потоковый для оперативных приближённых результатов и пакетный для точных — с последующим объединением результатов</w:t>
            </w:r>
          </w:p>
        </w:tc>
        <w:tc>
          <w:tcPr>
            <w:tcW w:w="404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Логика расчёта каждой метрики реализуется дважды, что удваивает трудоёмкость и создаёт риск расхождения результатов контуров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Kappa</w:t>
            </w:r>
          </w:p>
        </w:tc>
        <w:tc>
          <w:tcPr>
            <w:tcW w:w="385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Единый потоковый контур; пересчёт исторических данных выполняется повторным проигрыванием того же потока</w:t>
            </w:r>
          </w:p>
        </w:tc>
        <w:tc>
          <w:tcPr>
            <w:tcW w:w="404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Пересчёт за длительный период ограничен сроком хранения сообщений в брокере; регулярная отчётность и проверки качества неудобны в чисто потоковой форме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Медальонная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(Raw — Staging — Marts)</w:t>
            </w:r>
          </w:p>
        </w:tc>
        <w:tc>
          <w:tcPr>
            <w:tcW w:w="385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Последовательные слои хранения с возрастающей степенью обработки; каждый слой формируется только из предыдущего</w:t>
            </w:r>
          </w:p>
        </w:tc>
        <w:tc>
          <w:tcPr>
            <w:tcW w:w="404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Сама по себе не определяет способ обработки и требует дополнения потоковым либо пакетным механизмом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Принято комбинированное решение. Организация хранения выполнена по медальонному принципу: сырые события сохраняются в неизменном виде в озере данных, очищенные и нормализованные данные образуют промежуточный слой, а аналитические витрины составляют верхний слой. Обработка организована преимущественно по модели Kappa — единый потоковый контур рассчитывает все четыре прикладные метрики, — а пакетный контур применяется не для дублирования расчётов, а для задач, для которых пакетная форма естественна: суточные агрегации, проверки качества и формирование сводных отчётов. Такое сочетание исключает двойную реализацию логики, свойственную подходу Lambda, и одновременно снимает ограничение подхода Kappa на глубину пересчёта, поскольку источником повторной обработки служит озеро данных, а не брокер сообщений [1].</w:t>
      </w:r>
    </w:p>
    <w:p>
      <w:pPr>
        <w:spacing w:after="0" w:line="360" w:lineRule="auto"/>
        <w:ind w:firstLine="709"/>
        <w:jc w:val="both"/>
      </w:pPr>
      <w:r>
        <w:rPr/>
        <w:t xml:space="preserve">Архитектура конвейера приведена на рисунке 1.2.</w:t>
      </w:r>
    </w:p>
    <w:p>
      <w:pPr>
        <w:keepNext/>
        <w:spacing w:before="120" w:after="60" w:line="240" w:lineRule="auto"/>
        <w:ind w:firstLine="0"/>
        <w:jc w:val="center"/>
      </w:pPr>
      <w:r>
        <w:drawing>
          <wp:inline distT="0" distB="0" distL="0" distR="0">
            <wp:extent cx="6120130" cy="3490386"/>
            <wp:effectExtent l="0" t="0" r="0" b="0"/>
            <wp:docPr id="2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60" w:lineRule="auto"/>
        <w:jc w:val="center"/>
      </w:pPr>
      <w:r>
        <w:rPr/>
        <w:t xml:space="preserve">Рисунок 1.2 – Архитектура потокового конвейера данных</w:t>
      </w:r>
    </w:p>
    <w:p>
      <w:pPr>
        <w:spacing w:after="0" w:line="360" w:lineRule="auto"/>
        <w:ind w:firstLine="709"/>
        <w:jc w:val="both"/>
      </w:pPr>
      <w:r>
        <w:rPr/>
        <w:t xml:space="preserve">Конвейер включает пять функциональных групп компонентов. Группа источников объединяет события фронтенда, журналы веб-сервера и внешнюю базу данных. Группа приёма представлена брокером сообщений, который выполняет буферизацию потока и развязывает источники и обработчики по скорости: при временной недоступности обработчика события продолжают накапливаться и не теряются. Группа обработки представлена средством потоковых вычислений, выполняющим валидацию, нормализацию, дедупликацию и оконные агрегации. Группа хранения включает объектное хранилище для сырых событий, реляционную СУБД для готовых витрин и аналитическую СУБД для потоковых витрин, обслуживающих дашборды. Группа потребления объединяет средства визуализации и сводные отчёты.</w:t>
      </w:r>
    </w:p>
    <w:p>
      <w:pPr>
        <w:spacing w:after="0" w:line="360" w:lineRule="auto"/>
        <w:ind w:firstLine="709"/>
        <w:jc w:val="both"/>
      </w:pPr>
      <w:r>
        <w:rPr/>
        <w:t xml:space="preserve">Отдельно выделены сквозные компоненты, взаимодействующие со всеми группами: оркестратор, управляющий пакетными задачами; средство контроля качества, проверяющее данные перед публикацией витрин; подсистема мониторинга и логирования, собирающая метрики работы конвейера.</w:t>
      </w:r>
    </w:p>
    <w:p>
      <w:pPr>
        <w:spacing w:after="0" w:line="360" w:lineRule="auto"/>
        <w:ind w:firstLine="709"/>
        <w:jc w:val="both"/>
      </w:pPr>
      <w:r>
        <w:rPr/>
        <w:t xml:space="preserve">Распределение данных по слоям хранения приведено на рисунке 1.3.</w:t>
      </w:r>
    </w:p>
    <w:p>
      <w:pPr>
        <w:keepNext/>
        <w:spacing w:before="120" w:after="60" w:line="240" w:lineRule="auto"/>
        <w:ind w:firstLine="0"/>
        <w:jc w:val="center"/>
      </w:pPr>
      <w:r>
        <w:drawing>
          <wp:inline distT="0" distB="0" distL="0" distR="0">
            <wp:extent cx="6120130" cy="1952968"/>
            <wp:effectExtent l="0" t="0" r="0" b="0"/>
            <wp:docPr id="3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60" w:lineRule="auto"/>
        <w:jc w:val="center"/>
      </w:pPr>
      <w:r>
        <w:rPr/>
        <w:t xml:space="preserve">Рисунок 1.3 – Слои обработки данных в конвейере</w:t>
      </w:r>
    </w:p>
    <w:p>
      <w:pPr>
        <w:spacing w:after="0" w:line="360" w:lineRule="auto"/>
        <w:ind w:firstLine="709"/>
        <w:jc w:val="both"/>
      </w:pPr>
      <w:r>
        <w:rPr/>
        <w:t xml:space="preserve">Принцип, согласно которому каждый слой формируется исключительно из предыдущего, обеспечивает выполнение требования о полной повторной обработке: при обнаружении ошибки в логике расчёта достаточно перезапустить формирование соответствующего слоя, не обращаясь к внешним источникам.</w:t>
      </w:r>
    </w:p>
    <w:p>
      <w:pPr>
        <w:spacing w:after="0" w:line="360" w:lineRule="auto"/>
        <w:ind w:firstLine="709"/>
        <w:jc w:val="both"/>
      </w:pPr>
      <w:r>
        <w:rPr/>
        <w:t xml:space="preserve">Модель данных аналитических витрин спроектирована по схеме «звезда» [7]: в центре расположена таблица фактов, содержащая события пользовательской активности, с которой связаны таблицы измерений — сессий и товаров. Витрины формируются из таблицы фактов оконными агрегациями и денормализованы, что соответствует характеру их использования: они читаются аналитическими запросами и дашбордами, но не изменяются построчно. Модель данных приведена на рисунке 1.4.</w:t>
      </w:r>
    </w:p>
    <w:p>
      <w:pPr>
        <w:keepNext/>
        <w:spacing w:before="120" w:after="60" w:line="240" w:lineRule="auto"/>
        <w:ind w:firstLine="0"/>
        <w:jc w:val="center"/>
      </w:pPr>
      <w:r>
        <w:drawing>
          <wp:inline distT="0" distB="0" distL="0" distR="0">
            <wp:extent cx="6120130" cy="3490386"/>
            <wp:effectExtent l="0" t="0" r="0" b="0"/>
            <wp:docPr id="4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60" w:lineRule="auto"/>
        <w:jc w:val="center"/>
      </w:pPr>
      <w:r>
        <w:rPr/>
        <w:t xml:space="preserve">Рисунок 1.4 – Модель данных аналитических витрин</w:t>
      </w:r>
    </w:p>
    <w:p>
      <w:pPr>
        <w:spacing w:after="0" w:line="360" w:lineRule="auto"/>
        <w:ind w:firstLine="709"/>
        <w:jc w:val="both"/>
      </w:pPr>
      <w:r>
        <w:rPr/>
        <w:t xml:space="preserve">Каждая таблица витрин дополняется техническими атрибутами: меткой времени формирования записи и идентификатором запуска, сформировавшего запись. Эти атрибуты обеспечивают прослеживаемость данных и позволяют отличить записи, полученные при повторной обработке, от исходных. Запись в витрины выполняется по ключу с обновлением существующей записи, что обеспечивает выполнение требования идемпотентности НФТ-3.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1.6 Выбор средств реализации</w:t>
      </w:r>
    </w:p>
    <w:p>
      <w:pPr>
        <w:spacing w:after="0" w:line="360" w:lineRule="auto"/>
        <w:ind w:firstLine="709"/>
        <w:jc w:val="both"/>
      </w:pPr>
      <w:r>
        <w:rPr/>
        <w:t xml:space="preserve">Выбор средств реализации выполнен по следующим критериям: соответствие функциональным требованиям; наличие свободной лицензии; возможность запуска в контейнере; наличие программного интерфейса для языка Python, принятого в качестве основного языка реализации; зрелость и полнота документации; соответствие рекомендациям методических указаний.</w:t>
      </w:r>
    </w:p>
    <w:p>
      <w:pPr>
        <w:spacing w:after="0" w:line="360" w:lineRule="auto"/>
        <w:ind w:firstLine="709"/>
        <w:jc w:val="both"/>
      </w:pPr>
      <w:r>
        <w:rPr/>
        <w:t xml:space="preserve">Сравнение средств приёма событий приведено в таблице 1.8.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1.8 – Выбор средства приёма событий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734"/>
        <w:gridCol w:w="4529"/>
        <w:gridCol w:w="3375"/>
      </w:tblGrid>
      <w:tr>
        <w:trPr>
          <w:trHeight w:val="454" w:hRule="atLeast"/>
          <w:tblHeader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Средство</w:t>
            </w:r>
          </w:p>
        </w:tc>
        <w:tc>
          <w:tcPr>
            <w:tcW w:w="4529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Преимущества</w:t>
            </w:r>
          </w:p>
        </w:tc>
        <w:tc>
          <w:tcPr>
            <w:tcW w:w="3375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Причина отклонения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Apache Kafka</w:t>
            </w:r>
          </w:p>
        </w:tc>
        <w:tc>
          <w:tcPr>
            <w:tcW w:w="45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Хранение сообщений заданный срок с возможностью повторного чтения, горизонтальное масштабирование разделами, штатная интеграция со средствами потоковой обработки [8, 9]</w:t>
            </w:r>
          </w:p>
        </w:tc>
        <w:tc>
          <w:tcPr>
            <w:tcW w:w="33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Выбрано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RabbitMQ</w:t>
            </w:r>
          </w:p>
        </w:tc>
        <w:tc>
          <w:tcPr>
            <w:tcW w:w="45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Развитая маршрутизация сообщений, низкая задержка</w:t>
            </w:r>
          </w:p>
        </w:tc>
        <w:tc>
          <w:tcPr>
            <w:tcW w:w="33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Сообщение удаляется после подтверждения получения, что исключает повторное проигрывание потока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Redis Streams</w:t>
            </w:r>
          </w:p>
        </w:tc>
        <w:tc>
          <w:tcPr>
            <w:tcW w:w="45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Простота развёртывания, высокая скорость</w:t>
            </w:r>
          </w:p>
        </w:tc>
        <w:tc>
          <w:tcPr>
            <w:tcW w:w="33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Хранение в оперативной памяти ограничивает глубину буфера и надёжность при отказе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Дополнительным доводом в пользу Apache Kafka послужил имеющийся опыт работы с брокером сообщений ActiveMQ Artemis: концепции продюсера, консьюмера и топика переносятся между этими системами, что сокращает время освоения.</w:t>
      </w:r>
    </w:p>
    <w:p>
      <w:pPr>
        <w:spacing w:after="0" w:line="360" w:lineRule="auto"/>
        <w:ind w:firstLine="709"/>
        <w:jc w:val="both"/>
      </w:pPr>
      <w:r>
        <w:rPr/>
        <w:t xml:space="preserve">Сравнение средств потоковой обработки приведено в таблице 1.9.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1.9 – Выбор средства потоковой обработки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23"/>
        <w:gridCol w:w="4240"/>
        <w:gridCol w:w="3375"/>
      </w:tblGrid>
      <w:tr>
        <w:trPr>
          <w:trHeight w:val="454" w:hRule="atLeast"/>
          <w:tblHeader/>
        </w:trPr>
        <w:tc>
          <w:tcPr>
            <w:tcW w:w="2023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Средство</w:t>
            </w:r>
          </w:p>
        </w:tc>
        <w:tc>
          <w:tcPr>
            <w:tcW w:w="424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Преимущества</w:t>
            </w:r>
          </w:p>
        </w:tc>
        <w:tc>
          <w:tcPr>
            <w:tcW w:w="3375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Причина отклонения</w:t>
            </w:r>
          </w:p>
        </w:tc>
      </w:tr>
      <w:tr>
        <w:trPr>
          <w:trHeight w:val="454" w:hRule="atLeast"/>
        </w:trPr>
        <w:tc>
          <w:tcPr>
            <w:tcW w:w="202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PySpark Structured Streaming</w:t>
            </w:r>
          </w:p>
        </w:tc>
        <w:tc>
          <w:tcPr>
            <w:tcW w:w="424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Декларативный интерфейс над потоком, единая модель для потоковой и пакетной обработки, штатная поддержка оконных агрегаций и watermark, полноценный интерфейс для Python [10, 11]</w:t>
            </w:r>
          </w:p>
        </w:tc>
        <w:tc>
          <w:tcPr>
            <w:tcW w:w="33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Выбрано</w:t>
            </w:r>
          </w:p>
        </w:tc>
      </w:tr>
      <w:tr>
        <w:trPr>
          <w:trHeight w:val="454" w:hRule="atLeast"/>
        </w:trPr>
        <w:tc>
          <w:tcPr>
            <w:tcW w:w="202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Apache Flink</w:t>
            </w:r>
          </w:p>
        </w:tc>
        <w:tc>
          <w:tcPr>
            <w:tcW w:w="424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Меньшая задержка за счёт обработки отдельных событий, развитое управление состоянием [12]</w:t>
            </w:r>
          </w:p>
        </w:tc>
        <w:tc>
          <w:tcPr>
            <w:tcW w:w="33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Интерфейс для Python уступает по полноте основному; более высокий порог освоения при сопоставимом для задачи результате</w:t>
            </w:r>
          </w:p>
        </w:tc>
      </w:tr>
      <w:tr>
        <w:trPr>
          <w:trHeight w:val="454" w:hRule="atLeast"/>
        </w:trPr>
        <w:tc>
          <w:tcPr>
            <w:tcW w:w="202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Kafka Streams</w:t>
            </w:r>
          </w:p>
        </w:tc>
        <w:tc>
          <w:tcPr>
            <w:tcW w:w="424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Отсутствие отдельного вычислительного кластера, тесная интеграция с брокером</w:t>
            </w:r>
          </w:p>
        </w:tc>
        <w:tc>
          <w:tcPr>
            <w:tcW w:w="33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Библиотека ориентирована на язык Java и не имеет официального интерфейса для Python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Сравнение средств оркестрации приведено в таблице 1.10.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1.10 – Выбор средства оркестрации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734"/>
        <w:gridCol w:w="4529"/>
        <w:gridCol w:w="3375"/>
      </w:tblGrid>
      <w:tr>
        <w:trPr>
          <w:trHeight w:val="454" w:hRule="atLeast"/>
          <w:tblHeader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Средство</w:t>
            </w:r>
          </w:p>
        </w:tc>
        <w:tc>
          <w:tcPr>
            <w:tcW w:w="4529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Преимущества</w:t>
            </w:r>
          </w:p>
        </w:tc>
        <w:tc>
          <w:tcPr>
            <w:tcW w:w="3375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Причина отклонения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Apache Airflow</w:t>
            </w:r>
          </w:p>
        </w:tc>
        <w:tc>
          <w:tcPr>
            <w:tcW w:w="45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Описание графа задач на языке Python, повторный запуск за произвольный период, веб-интерфейс с историей запусков, прямая рекомендация методических указаний [13]</w:t>
            </w:r>
          </w:p>
        </w:tc>
        <w:tc>
          <w:tcPr>
            <w:tcW w:w="33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Выбрано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Prefect</w:t>
            </w:r>
          </w:p>
        </w:tc>
        <w:tc>
          <w:tcPr>
            <w:tcW w:w="45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Простота описания потоков, удобная работа с динамическими задачами</w:t>
            </w:r>
          </w:p>
        </w:tc>
        <w:tc>
          <w:tcPr>
            <w:tcW w:w="33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Часть возможностей управления доступна преимущественно в облачном варианте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Dagster</w:t>
            </w:r>
          </w:p>
        </w:tc>
        <w:tc>
          <w:tcPr>
            <w:tcW w:w="45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Ориентация на описание активов данных, встроенная типизация</w:t>
            </w:r>
          </w:p>
        </w:tc>
        <w:tc>
          <w:tcPr>
            <w:tcW w:w="337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Меньшая распространённость и более узкая база примеров применения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В качестве хранилищ приняты три средства, каждое из которых решает собственную задачу. Объектное хранилище MinIO используется как озеро данных для сырых событий: оно совместимо с интерфейсом S3, разворачивается локально и не накладывает ограничений на структуру хранимых файлов [14]. Реляционная СУБД PostgreSQL выступает основным хранилищем готовых витрин и обеспечивает выполнение обязательного требования об использовании реляционной СУБД [15]. Аналитическая СУБД ClickHouse применяется для потоковых витрин, обслуживающих дашборды: колоночная организация хранения даёт выигрыш на агрегирующих запросах по широким временным интервалам [16]. Разделение между PostgreSQL и ClickHouse проведено по характеру нагрузки: регулярная отчётность и витрины, требующие транзакционной целостности, размещаются в PostgreSQL, а витрины, читаемые дашбордами с частотой обновления порядка секунд, — в ClickHouse.</w:t>
      </w:r>
    </w:p>
    <w:p>
      <w:pPr>
        <w:spacing w:after="0" w:line="360" w:lineRule="auto"/>
        <w:ind w:firstLine="709"/>
        <w:jc w:val="both"/>
      </w:pPr>
      <w:r>
        <w:rPr/>
        <w:t xml:space="preserve">Контроль качества данных возложен на Great Expectations: средство позволяет описывать проверки декларативно, хранить их в репозитории вместе с кодом и формировать отчёт о результатах валидации [17]. Рассмотренная альтернатива Soda Core обеспечивает сопоставимый набор проверок, однако уступает по полноте документации и прямо не упомянута в методических указаниях. Мониторинг реализуется связкой Prometheus и Grafana [18]: первый собирает метрики работы конвейера, второй отображает их на дашбордах и используется одновременно для визуализации бизнес-метрик. Модульное и интеграционное тестирование выполняется с использованием pytest, развёртывание — средствами Docker Compose, версионирование исходного кода — средствами Git.</w:t>
      </w:r>
    </w:p>
    <w:p>
      <w:pPr>
        <w:spacing w:after="0" w:line="360" w:lineRule="auto"/>
        <w:ind w:firstLine="709"/>
        <w:jc w:val="both"/>
      </w:pPr>
      <w:r>
        <w:rPr/>
        <w:t xml:space="preserve">Итоговый состав технологического стека приведён в таблице 1.11.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1.11 – Итоговый технологический стек конвейера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505"/>
        <w:gridCol w:w="2891"/>
        <w:gridCol w:w="4242"/>
      </w:tblGrid>
      <w:tr>
        <w:trPr>
          <w:trHeight w:val="454" w:hRule="atLeast"/>
          <w:tblHeader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 конвейера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Средство реализации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Язык реализации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Python 3.10+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Реализация всех модулей конвейера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Приём событий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Apache Kafka 3.5+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Буферизация потока, развязка источников и обработчиков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Потоковая обработка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PySpark Structured Streaming 3.5+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Валидация, нормализация, оконные агрегации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Оркестрация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Apache Airflow 2.7+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Пакетные агрегации, проверки качества, отчёты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Озеро данных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MinIO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Хранение сырых событий в формате Parquet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Хранилище витрин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PostgreSQL 15+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Основное хранилище обработанных данных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Аналитическое хранилище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ClickHouse 24+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Потоковые витрины для дашбордов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Контроль качества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Great Expectations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Проверки полноты, уникальности и бизнес-правил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Мониторинг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Prometheus + Grafana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Сбор метрик, дашборды, визуализация бизнес-метрик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Тестирование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pytest 7.0+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Модульные и интеграционные тесты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Инфраструктура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Docker, Docker Compose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Воспроизводимое развёртывание стека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Контроль версий</w:t>
            </w:r>
          </w:p>
        </w:tc>
        <w:tc>
          <w:tcPr>
            <w:tcW w:w="289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Git</w:t>
            </w:r>
          </w:p>
        </w:tc>
        <w:tc>
          <w:tcPr>
            <w:tcW w:w="424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Версионирование исходного кода</w:t>
            </w:r>
          </w:p>
        </w:tc>
      </w:tr>
    </w:tbl>
    <w:p>
      <w:pPr>
        <w:spacing w:line="360" w:lineRule="auto"/>
      </w:pP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Выводы и результаты по главе 1</w:t>
      </w:r>
    </w:p>
    <w:p>
      <w:pPr>
        <w:spacing w:after="0" w:line="360" w:lineRule="auto"/>
        <w:ind w:firstLine="709"/>
        <w:jc w:val="both"/>
      </w:pPr>
      <w:r>
        <w:rPr/>
        <w:t xml:space="preserve">В первой главе выполнены планирование и проектирование конвейера данных. Получены следующие результаты.</w:t>
      </w:r>
    </w:p>
    <w:p>
      <w:pPr>
        <w:spacing w:after="0" w:line="360" w:lineRule="auto"/>
        <w:ind w:left="992" w:hanging="283"/>
        <w:jc w:val="both"/>
      </w:pPr>
      <w:r>
        <w:rPr/>
        <w:t xml:space="preserve">1. Обоснована потребность в конвейере данных: показано, что ценность значительной части событий интернет-магазина быстро убывает со временем, вследствие чего суточная задержка классического пакетного подхода обесценивает результаты для задач возврата брошенных корзин, реагирования на технические сбои и оперативного управления выдачей популярных товаров. Определены целевые показатели создания конвейера (таблица 1.1).</w:t>
      </w:r>
    </w:p>
    <w:p>
      <w:pPr>
        <w:spacing w:after="0" w:line="360" w:lineRule="auto"/>
        <w:ind w:left="992" w:hanging="283"/>
        <w:jc w:val="both"/>
      </w:pPr>
      <w:r>
        <w:rPr/>
        <w:t xml:space="preserve">2. Проанализирована предметная область: описан основной бизнес-процесс магазина в виде воронки конверсии, выделены шесть ключевых сущностей и пять типов обрабатываемых событий, сформулированы четыре прикладные задачи конвейера.</w:t>
      </w:r>
    </w:p>
    <w:p>
      <w:pPr>
        <w:spacing w:after="0" w:line="360" w:lineRule="auto"/>
        <w:ind w:left="992" w:hanging="283"/>
        <w:jc w:val="both"/>
      </w:pPr>
      <w:r>
        <w:rPr/>
        <w:t xml:space="preserve">3. Проанализированы три источника данных, определены их форматы, способы извлечения и расчётные объёмы. Выявлены шесть особенностей источников, подлежащих учёту при реализации, в том числе возможность повторов при доставке, опоздание событий и расхождение часовых поясов.</w:t>
      </w:r>
    </w:p>
    <w:p>
      <w:pPr>
        <w:spacing w:after="0" w:line="360" w:lineRule="auto"/>
        <w:ind w:left="992" w:hanging="283"/>
        <w:jc w:val="both"/>
      </w:pPr>
      <w:r>
        <w:rPr/>
        <w:t xml:space="preserve">4. Сформулированы требования к конвейеру: тридцать семь функциональных требований, объединённых в семь групп, двенадцать нефункциональных требований и девять показателей назначения. Обоснован выбор формы документирования требований — технического задания по ГОСТ 34.602-89, полный текст которого вынесен в приложение.</w:t>
      </w:r>
    </w:p>
    <w:p>
      <w:pPr>
        <w:spacing w:after="0" w:line="360" w:lineRule="auto"/>
        <w:ind w:left="992" w:hanging="283"/>
        <w:jc w:val="both"/>
      </w:pPr>
      <w:r>
        <w:rPr/>
        <w:t xml:space="preserve">5. Спроектирована архитектура конвейера: обоснован выбор комбинированного решения, сочетающего медальонную организацию хранения с потоковым контуром обработки по модели Kappa и пакетным контуром для регулярных задач. Разработаны схема архитектуры, схема слоёв обработки и модель данных аналитических витрин по схеме «звезда».</w:t>
      </w:r>
    </w:p>
    <w:p>
      <w:pPr>
        <w:spacing w:after="0" w:line="360" w:lineRule="auto"/>
        <w:ind w:left="992" w:hanging="283"/>
        <w:jc w:val="both"/>
      </w:pPr>
      <w:r>
        <w:rPr/>
        <w:t xml:space="preserve">6. Обоснован выбор средств реализации по шести критериям. По каждой ключевой позиции — приём событий, потоковая обработка, оркестрация — рассмотрены по три альтернативы, выбор зафиксирован в итоговой таблице технологического стека.</w:t>
      </w:r>
    </w:p>
    <w:p>
      <w:pPr>
        <w:spacing w:after="0" w:line="360" w:lineRule="auto"/>
        <w:ind w:firstLine="709"/>
        <w:jc w:val="both"/>
      </w:pPr>
      <w:r>
        <w:rPr/>
        <w:t xml:space="preserve">Полученные результаты образуют исходные данные для второй главы, в которой выполняется реализация конвейера в соответствии с разработанной архитектурой.</w:t>
      </w:r>
    </w:p>
    <w:p>
      <w:pPr>
        <w:pStyle w:val="Heading1"/>
        <w:pageBreakBefore/>
        <w:spacing w:before="0" w:after="240" w:line="360" w:lineRule="auto"/>
        <w:ind w:firstLine="0"/>
        <w:jc w:val="center"/>
      </w:pPr>
      <w:r>
        <w:rPr>
          <w:b/>
          <w:bCs/>
        </w:rPr>
        <w:t xml:space="preserve">ИСТОЧНИКИ, ПРОЦИТИРОВАННЫЕ В ГЛАВЕ 1</w:t>
      </w:r>
    </w:p>
    <w:p>
      <w:pPr>
        <w:spacing w:after="180" w:line="360" w:lineRule="auto"/>
        <w:ind w:firstLine="709"/>
        <w:jc w:val="both"/>
      </w:pPr>
      <w:r>
        <w:rPr>
          <w:i/>
          <w:iCs/>
        </w:rPr>
        <w:t xml:space="preserve">Перечень приведён в рабочем виде — для проверки соответствия ссылок в тексте источникам. В окончательной пояснительной записке он войдёт в общий раздел «Список используемой литературы» и будет дополнен источниками глав 2 и 3 с продолжением нумерации с 19.</w:t>
      </w:r>
    </w:p>
    <w:p>
      <w:pPr>
        <w:spacing w:after="0" w:line="360" w:lineRule="auto"/>
        <w:ind w:left="992" w:hanging="283"/>
        <w:jc w:val="both"/>
      </w:pPr>
      <w:r>
        <w:rPr/>
        <w:t xml:space="preserve">1. Reis, J. Fundamentals of Data Engineering: Plan and Build Robust Data Systems / J. Reis, M. Housley. — Sebastopol : O’Reilly Media, 2022. — 447 p.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2. DAMA International. DAMA-DMBOK: Data Management Body of Knowledge. — 2nd ed. — Basking Ridge : Technics Publications, 2017. — 590 p.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3. Akidau, T. Streaming Systems: The What, Where, When, and How of Large-Scale Data Processing / T. Akidau, S. Chernyak, R. Lax. — Sebastopol : O’Reilly Media, 2018. — 352 p.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4. ГОСТ 19.201-78. Единая система программной документации. Техническое задание. Требования к содержанию и оформлению. — Москва : Стандартинформ, 2010. — 3 с. — Текст : непосредственный.</w:t>
      </w:r>
    </w:p>
    <w:p>
      <w:pPr>
        <w:spacing w:after="0" w:line="360" w:lineRule="auto"/>
        <w:ind w:left="992" w:hanging="283"/>
        <w:jc w:val="both"/>
      </w:pPr>
      <w:r>
        <w:rPr/>
        <w:t xml:space="preserve">5.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Москва : Стандартинформ, 2009. — 12 с. — Текст : непосредственный.</w:t>
      </w:r>
    </w:p>
    <w:p>
      <w:pPr>
        <w:spacing w:after="0" w:line="360" w:lineRule="auto"/>
        <w:ind w:left="992" w:hanging="283"/>
        <w:jc w:val="both"/>
      </w:pPr>
      <w:r>
        <w:rPr/>
        <w:t xml:space="preserve">6. ISO/IEC/IEEE 29148:2018. Systems and software engineering — Life cycle processes — Requirements engineering. — Geneva : ISO, 2018. — 104 p.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7. Kimball, R. The Data Warehouse Toolkit: The Definitive Guide to Dimensional Modeling / R. Kimball, M. Ross. — 3rd ed. — Indianapolis : Wiley, 2013. — 600 p.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8. Kreps, J. Kafka: a Distributed Messaging System for Log Processing / J. Kreps, N. Narkhede, J. Rao // Proceedings of the NetDB Workshop. — Athens, 2011. — P. 1–7.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9. Shapira, G. Kafka: The Definitive Guide: Real-Time Data and Stream Processing at Scale / G. Shapira, T. Palino, R. Sivaram, K. Petty. — 2nd ed. — Sebastopol : O’Reilly Media, 2021. — 486 p.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10. Armbrust, M. Structured Streaming: A Declarative API for Real-Time Applications in Apache Spark / M. Armbrust, T. Das, J. Torres [et al.] // Proceedings of the 2018 International Conference on Management of Data (SIGMOD’18). — New York : ACM, 2018. — P. 601–613.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11. Chambers, B. Spark: The Definitive Guide: Big Data Processing Made Simple / B. Chambers, M. Zaharia. — Sebastopol : O’Reilly Media, 2018. — 601 p.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12. Carbone, P. Apache Flink: Stream and Batch Processing in a Single Engine / P. Carbone, A. Katsifodimos, S. Ewen [et al.] // Bulletin of the IEEE Computer Society Technical Committee on Data Engineering. — 2015. — Vol. 38, № 4. — P. 28–38. — Text : direct.</w:t>
      </w:r>
    </w:p>
    <w:p>
      <w:pPr>
        <w:spacing w:after="0" w:line="360" w:lineRule="auto"/>
        <w:ind w:left="992" w:hanging="283"/>
        <w:jc w:val="both"/>
      </w:pPr>
      <w:r>
        <w:rPr/>
        <w:t xml:space="preserve">13. Apache Airflow Documentation : [сайт]. — URL: https://airflow.apache.org/docs/ (дата обращения: __.__.2026). — Текст : электронный.</w:t>
      </w:r>
    </w:p>
    <w:p>
      <w:pPr>
        <w:spacing w:after="0" w:line="360" w:lineRule="auto"/>
        <w:ind w:left="992" w:hanging="283"/>
        <w:jc w:val="both"/>
      </w:pPr>
      <w:r>
        <w:rPr/>
        <w:t xml:space="preserve">14. MinIO Object Storage Documentation : [сайт]. — URL: https://min.io/docs/minio/linux/index.html (дата обращения: __.__.2026). — Текст : электронный.</w:t>
      </w:r>
    </w:p>
    <w:p>
      <w:pPr>
        <w:spacing w:after="0" w:line="360" w:lineRule="auto"/>
        <w:ind w:left="992" w:hanging="283"/>
        <w:jc w:val="both"/>
      </w:pPr>
      <w:r>
        <w:rPr/>
        <w:t xml:space="preserve">15. PostgreSQL 15 Documentation // The PostgreSQL Global Development Group : [сайт]. — URL: https://www.postgresql.org/docs/15/ (дата обращения: __.__.2026). — Текст : электронный.</w:t>
      </w:r>
    </w:p>
    <w:p>
      <w:pPr>
        <w:spacing w:after="0" w:line="360" w:lineRule="auto"/>
        <w:ind w:left="992" w:hanging="283"/>
        <w:jc w:val="both"/>
      </w:pPr>
      <w:r>
        <w:rPr/>
        <w:t xml:space="preserve">16. ClickHouse Documentation : [сайт]. — URL: https://clickhouse.com/docs (дата обращения: __.__.2026). — Текст : электронный.</w:t>
      </w:r>
    </w:p>
    <w:p>
      <w:pPr>
        <w:spacing w:after="0" w:line="360" w:lineRule="auto"/>
        <w:ind w:left="992" w:hanging="283"/>
        <w:jc w:val="both"/>
      </w:pPr>
      <w:r>
        <w:rPr/>
        <w:t xml:space="preserve">17. Great Expectations Documentation : [сайт]. — URL: https://docs.greatexpectations.io/ (дата обращения: __.__.2026). — Текст : электронный.</w:t>
      </w:r>
    </w:p>
    <w:p>
      <w:pPr>
        <w:spacing w:after="0" w:line="360" w:lineRule="auto"/>
        <w:ind w:left="992" w:hanging="283"/>
        <w:jc w:val="both"/>
      </w:pPr>
      <w:r>
        <w:rPr/>
        <w:t xml:space="preserve">18. Prometheus Documentation : [сайт]. — URL: https://prometheus.io/docs/ (дата обращения: __.__.2026). — Текст : электронный.</w:t>
      </w:r>
    </w:p>
    <w:sectPr>
      <w:headerReference w:type="default" r:id="rId3"/>
      <w:pgSz w:w="11906" w:h="16838"/>
      <w:pgMar w:top="850" w:right="567" w:bottom="850" w:left="1701" w:header="425" w:footer="425" w:gutter="0"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spacing w:after="0" w:line="240" w:lineRule="auto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after="0" w:line="360" w:lineRule="auto"/>
        <w:ind w:firstLine="709"/>
        <w:jc w:val="both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uppressAutoHyphens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uppressAutoHyphens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uppressAutoHyphens/>
      <w:outlineLvl w:val="2"/>
    </w:pPr>
    <w:rPr>
      <w:b/>
      <w:bCs/>
      <w:color w:val="000000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core.xml><?xml version="1.0" encoding="utf-8"?>
<cp:coreProperties xmlns:cp="http://schemas.openxmlformats.org/package/2006/metadata/core-properties" xmlns:dc="http://purl.org/dc/elements/1.1/">
  <dc:title>Глава 1. Планирование и проектирование конвейера данных</dc:title>
  <dc:subject>Курсовой проект по дисциплине «Инжиниринг данных»</dc:subject>
</cp:coreProperties>
</file>