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2026. 08. 10.</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xml:space="preserve">※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정확한 표준 제원은 소방청 소방차량 제작규격 및 소방서 문의로 확보 예정이며, 그 이전까지는 잠정값을 사용한다.</w:t>
      </w:r>
    </w:p>
    <w:p>
      <w:pPr>
        <w:spacing w:after="140" w:before="0" w:line="264"/>
      </w:pPr>
      <w:r>
        <w:rPr>
          <w:rFonts w:ascii="맑은 고딕" w:cs="맑은 고딕" w:eastAsia="맑은 고딕" w:hAnsi="맑은 고딕"/>
          <w:sz w:val="18"/>
          <w:szCs w:val="18"/>
        </w:rPr>
        <w:t xml:space="preserve">※ 수치 표기 원칙: 본 문서의 모든 수치는 2026-08-09 재확보한 원본 데이터에서 코드로 재산출한 값이다. 행정구역경계 확보 이전 bbox 기준으로 산출된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xml:space="preserve">- 동부소방서 관할 소방용수는 588개(지상식 431 · 지하식 157)이나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xml:space="preserve">- PostgreSQL + PostGIS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xml:space="preserve">- 소방용수 공개율 5%(588개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xml:space="preserve">• 행정구역경계 심사 대기로 세그먼트 수·등급 분포가 미확정</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 / FastAPI 서빙 API / PostGIS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잠정치는 문서에서 '(잠정)' 표기로 격리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제원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통과선의 근거가 잠정값에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확보 및 동부소방서 현장대응과 문의 병행. 확보 전까지 잠정값임을 문서에 명시</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xml:space="preserve">• REQ-INF-001: PostgreSQL + PostGIS 정적·동적 계층 분리 적재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PostGIS,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그래프(잠정 4,336 세그먼트 규모)에서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심사 대기 상태이며, 소화전 좌표·전주 좌표·화재 출동 이력은 미확보다. 가로등·보안등은 공개 데이터가 존재하지 않는 것으로 확인되었다.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 xml:space="preserve">각 항목을 분해해 명시하는 이유는, 마진을 하나의 뭉뚱그린 숫자로 두면 무엇이 검증되었고 무엇이 추정인지 구분되지 않기 때문이다. 현재 세 값 모두 잠정이며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(bbox 기준, 잠정): 1,812 → 4,336 세그먼트 / 노드 3,702 / 연결요소 338개 (최대 요소가 전체의 약 80%). 행정구역경계 확보 후 정식 경계로 재클립하여 확정한다.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 xml:space="preserve">동부소방서 관할 실제 소방용수 588개 (지상식 431 + 지하식 157) / 공개 표준데이터의 광주 동구분 31개 → 공개율 5%</w:t>
      </w:r>
    </w:p>
    <w:p>
      <w:pPr>
        <w:spacing w:after="200" w:before="0" w:line="264"/>
      </w:pPr>
      <w:r>
        <w:rPr>
          <w:rFonts w:ascii="맑은 고딕" w:cs="맑은 고딕" w:eastAsia="맑은 고딕" w:hAnsi="맑은 고딕"/>
          <w:sz w:val="19"/>
          <w:szCs w:val="19"/>
        </w:rPr>
        <w:t xml:space="preserve">'1개밖에 없다'보다 '588개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PostgreSQL + PostGIS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requirements-etl.txt (GIS 파이프라인, 버전 고정) / 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