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2026-08-14 기준으로 원본 데이터에서 코드로 재산출한 값이며, 파이프라인 한 명령(src/firelane/pipeline.py)으로 재현된다. 행정구역경계는 2026-08-11 에 확보하여 잠정치를 전부 교체했다. 판정 결과는 산출단위 1,101구간 · 통행 가능 397 · 판정 보류 191 · 통행 불가 159 · 영상판정 불가 354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확정(2026-08-14, 1,101구간).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1,102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1,102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605/1,101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380 / 1,101(34.5%)이고, CCTV 최단거리 중앙값은 39.3m, 최대 140m다. 영상판정 불가는 354구간 · 14,505m 이며 전체 연장의 30%에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354구간의 사유는 네 가지이며 폭 산출 불가는 0건이다. 회색은 한 가지 뜻만 갖는다 — 카메라가 없어 못 본다. no_cctv_band 152(3~7m 대역, 주정차로 갈리는데 CCTV 25m 밖) / no_cctv_thin 128(노면 3m 미만이나 도로대장폭은 3m 이상 — 근거가 하나뿐) / no_cctv_narrow 62(노면·도로대장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(2026-08-14 확정): 도로구간 1,508 → 그래프 엣지 3,427 / 산출단위 1,102.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