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02.</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2026-08-14 기준으로 원본 데이터에서 코드로 재산출한 값이며, 파이프라인 한 명령(src/firelane/pipeline.py)으로 재현된다. 행정구역경계는 2026-08-11 에 확보하여 잠정치를 전부 교체했다. 판정 결과는 산출단위 1,101구간 · 통행 가능 397 · 판정 보류 191 · 통행 불가 159 · 영상판정 불가 354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확정(2026-08-14, 1,101구간).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1,101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그래프(확정 1,101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605/1,101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380 / 1,101(34.5%)이고, CCTV 최단거리 중앙값은 39.3m, 최대 140m다. 영상판정 불가는 354구간 · 14,505m 이며 전체 연장의 30%에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354구간의 사유는 네 가지이며 폭 산출 불가는 0건이다. 회색은 한 가지 뜻만 갖는다 — 카메라가 없어 못 본다. no_cctv_band 152(3~7m 대역, 주정차로 갈리는데 CCTV 25m 밖) / no_cctv_thin 128(노면 3m 미만이나 도로대장폭은 3m 이상 — 근거가 하나뿐) / no_cctv_narrow 62(노면·도로대장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(2026-08-14 확정): 도로구간 1,508 → 그래프 엣지 3,427 / 산출단위 1,101.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