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 xml:space="preserve">2026. 08. 14.</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xml:space="preserve">※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정확한 표준 제원은 소방청 소방차량 제작규격 및 소방서 문의로 확보 예정이며, 그 이전까지는 잠정값을 사용한다.</w:t>
      </w:r>
    </w:p>
    <w:p>
      <w:pPr>
        <w:spacing w:after="140" w:before="0" w:line="264"/>
      </w:pPr>
      <w:r>
        <w:rPr>
          <w:rFonts w:ascii="맑은 고딕" w:cs="맑은 고딕" w:eastAsia="맑은 고딕" w:hAnsi="맑은 고딕"/>
          <w:sz w:val="18"/>
          <w:szCs w:val="18"/>
        </w:rPr>
        <w:t>※ 수치 표기 원칙: 본 문서의 모든 수치는 2026-08-14 기준으로 원본 데이터에서 코드로 재산출한 값이며, 파이프라인 한 명령(src/firelane/pipeline.py)으로 재현된다. 행정구역경계는 2026-08-11 에 확보하여 잠정치를 전부 교체했다. 판정 결과는 산출단위 1,101구간 · 통행 가능 397 · 판정 보류 191 · 통행 불가 159 · 영상판정 불가 354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팀명: Fire-Lane (5인 1조)</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일정·그라운드룰·노션 / 발표 스토리라인 / 평가지표·베이스라인 설계</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컴퓨터비전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전담 — 데이터 파이프라인 · 도로폭 산출 · 그래프 구축 · 경로탐색 구현</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소스 검증(실폭도로·수치지도·정사영상) / 백엔드 · 인프라 · 배포</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알고리즘 설계(A*·휴리스틱) / 소방서 인터뷰 · 차량 제원 확보 / 장애물 조사</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xml:space="preserve">- 동부소방서 관할 소방용수는 588개(지상식 431 · 지하식 157)이나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xml:space="preserve">• 2.5 경로상 소화전·CCTV·회전 제약 경유 정보 표출</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xml:space="preserve">• 5.1 관측점 등록 — 좌표(EPSG:5186)·시각·seg_id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xml:space="preserve">- 도로폭은 수치지도 도로경계면(NF_A_A01000, 1:5,000)을 주 소스로, 실폭도로(TL_SPRD_RW)를 폴백으로 사용한다.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xml:space="preserve">- React(Vite) + MapLibre GL JS + V-World 배경지도.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xml:space="preserve">- 소방용수 공개율 5%(588개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트랜섹트 하위 5% 분위수를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[분석 요약]</w:t>
      </w:r>
    </w:p>
    <w:p>
      <w:pPr>
        <w:spacing w:after="60" w:before="0" w:line="26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xml:space="preserve">• 원천 데이터 11종이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확정(2026-08-14, 1,101구간).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SWOT 교차 분석 기반 실행 전략</w:t>
      </w:r>
    </w:p>
    <w:p>
      <w:pPr>
        <w:spacing w:after="50" w:before="0" w:line="264"/>
      </w:pPr>
      <w:r>
        <w:rPr>
          <w:rFonts w:ascii="맑은 고딕" w:cs="맑은 고딕" w:eastAsia="맑은 고딕" w:hAnsi="맑은 고딕"/>
          <w:b/>
          <w:bCs/>
          <w:sz w:val="19"/>
          <w:szCs w:val="19"/>
        </w:rPr>
        <w:t xml:space="preserve">a. SO 전략 (강점 극대화 + 기회 포착)</w:t>
      </w:r>
    </w:p>
    <w:p>
      <w:pPr>
        <w:spacing w:after="30" w:before="0" w:line="26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pPr>
      <w:r>
        <w:rPr>
          <w:rFonts w:ascii="맑은 고딕" w:cs="맑은 고딕" w:eastAsia="맑은 고딕" w:hAnsi="맑은 고딕"/>
          <w:b/>
          <w:bCs/>
          <w:sz w:val="19"/>
          <w:szCs w:val="19"/>
        </w:rPr>
        <w:t xml:space="preserve">b. ST 전략 (강점 활용 + 위협 극복)</w:t>
      </w:r>
    </w:p>
    <w:p>
      <w:pPr>
        <w:spacing w:after="30" w:before="0" w:line="26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pPr>
      <w:r>
        <w:rPr>
          <w:rFonts w:ascii="맑은 고딕" w:cs="맑은 고딕" w:eastAsia="맑은 고딕" w:hAnsi="맑은 고딕"/>
          <w:b/>
          <w:bCs/>
          <w:sz w:val="19"/>
          <w:szCs w:val="19"/>
        </w:rPr>
        <w:t xml:space="preserve">c. WO 전략 (약점 보완 + 기회 활용)</w:t>
      </w:r>
    </w:p>
    <w:p>
      <w:pPr>
        <w:spacing w:after="30" w:before="0" w:line="26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pPr>
      <w:r>
        <w:rPr>
          <w:rFonts w:ascii="맑은 고딕" w:cs="맑은 고딕" w:eastAsia="맑은 고딕" w:hAnsi="맑은 고딕"/>
          <w:b/>
          <w:bCs/>
          <w:sz w:val="19"/>
          <w:szCs w:val="19"/>
        </w:rPr>
        <w:t xml:space="preserve">d. WT 전략 (약점 최소화 + 위협 회피)</w:t>
      </w:r>
    </w:p>
    <w:p>
      <w:pPr>
        <w:spacing w:after="30" w:before="0" w:line="26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지역·검증 기관 확정 / 실현 가능성 조사(호모그래피·캘리브레이션·도로폭 소스·경로 알고리즘) / 1차 현장 실측 / 원천 데이터 11종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산출(수치지도 주·실폭도로 폴백·교차로 5m 제외) / tier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pPr>
      <w:r>
        <w:rPr>
          <w:rFonts w:ascii="맑은 고딕" w:cs="맑은 고딕" w:eastAsia="맑은 고딕" w:hAnsi="맑은 고딕"/>
          <w:b/>
          <w:bCs/>
          <w:sz w:val="20"/>
          <w:szCs w:val="20"/>
        </w:rPr>
        <w:t xml:space="preserve">□ 차별성</w:t>
      </w:r>
    </w:p>
    <w:p>
      <w:pPr>
        <w:spacing w:after="40" w:before="0" w:line="26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xml:space="preserve">- 미탐과 오탐의 비용이 대칭이 아니므로 임계값도 대칭이 아니다. 펌프차 미러 포함 전폭에 주행 여유를 더한 값을 판정 통과선으로 두고, 애매한 경우는 통과 불가 쪽으로 떨어뜨린다. 폭 측정에는 최댓값이 아니라 하위 5% 분위수를 사용하는데, 소방차는 구간의 평균 폭이 아니라 가장 좁은 병목을 통과하지 못하기 때문이다.</w:t>
      </w:r>
    </w:p>
    <w:p>
      <w:pPr>
        <w:spacing w:after="40" w:before="0" w:line="26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bbox 클리핑 기준으로 파이프라인을 선구축하고 경계 확보 시 재실행. 2026-08-11 경계 확보 후 재실행하여 1,102 산출단위로 확정했다.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제원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통과선의 근거가 잠정값에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확보 및 동부소방서 현장대응과 문의 병행. 2026-08-06 현장 답사로 통과 하한 3.0m(차체 2.5 + 미러·조향 여유 0.5)를 확정했고, 국가 기준보다 보수적이므로 규정과 충돌하지 않는다. 제원 확보 시 재검증한다.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xml:space="preserve">- 국토지리정보원 수치지도 2.0 — 도로경계면 NF_A_A01000 (1:5,000)</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pPr>
      <w:r>
        <w:rPr>
          <w:rFonts w:ascii="맑은 고딕" w:cs="맑은 고딕" w:eastAsia="맑은 고딕" w:hAnsi="맑은 고딕"/>
          <w:b/>
          <w:bCs/>
          <w:sz w:val="22"/>
          <w:szCs w:val="22"/>
        </w:rPr>
        <w:t xml:space="preserve">□ REQ-Fire-Lane 요구사항 체계도</w:t>
      </w:r>
    </w:p>
    <w:p>
      <w:pPr>
        <w:spacing w:after="40" w:before="0" w:line="264"/>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xml:space="preserve">• REQ-WID-003: 교차로 반경 5m 샘플 제외 후 하위 5% 분위수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xml:space="preserve">• REQ-CLS-001: 3단 tier 분류 (FIXED_PASS / CANDIDATE / FIXED_BLOCK)</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xml:space="preserve">• REQ-VIS-006: 판정 결과 계약 스키마 전송 (seg_id · 통행폭 · 시각 · 신뢰도)</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xml:space="preserve">• REQ-UI-001: MapLibre + V-World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소스 트랜섹트, 실폭도로 폴백, 교차로 제외 분위수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3단 tier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sources.yaml에 등록된 원천만 파이프라인에 진입시키고, ingest 단일 명령으로 11종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제외 분위수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반경 5m 내 샘플을 제외한 뒤 하위 5% 분위수를 width_min_m으로 확정한다. 교차로 폴리곤 위에서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3단 tier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 12.0m 이상은 FIXED_PASS, 2.0m 미만은 FIXED_BLOCK, 그 사이는 CANDIDATE로 분류하여 CANDIDATE만 영상 판정 대상으로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bbox 및 tier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GL JS + V-World 배경지도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계층(도형·폭·tier·커버리지)과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FastAPI, 상태 DB, 프론트엔드를 Docker Compose로 일원화하여 EC2 단일 인스턴스에 배포한다.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비기능 요구사항 (NFR)</w:t>
      </w:r>
    </w:p>
    <w:p>
      <w:pPr>
        <w:spacing w:after="50" w:before="0" w:line="264"/>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xml:space="preserve">• NFR-PER-001 (경로 산출 응답): 동명동 스코프 그래프(확정 1,102 산출단위 / 그래프 엣지 3,427)에서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펌프차·물탱크차 표준 제원(폭·회전반경), 미러 돌출분, 주행 여유 0.3m, 회전반경 기준은 소방청 소방차량 제작규격 및 소방서 정식 인터뷰로 검증한다. 12.0m 상한 임계값은 팀 자체 추정치이며 발표 시 그 사실을 명시한다.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 시스템 아키텍처</w:t>
      </w:r>
    </w:p>
    <w:p>
      <w:pPr>
        <w:spacing w:after="80" w:before="0" w:line="264"/>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도형, width_m, width_min_m, width_src, tier,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전체 CANDIDATE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 xml:space="preserve">GIS ◀──[판정 결과]──── 비전     seg_id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"seg_id": "seg_2157",</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670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pPr>
      <w:r>
        <w:rPr>
          <w:rFonts w:ascii="맑은 고딕" w:cs="맑은 고딕" w:eastAsia="맑은 고딕" w:hAnsi="맑은 고딕"/>
          <w:b/>
          <w:bCs/>
          <w:sz w:val="24"/>
          <w:szCs w:val="24"/>
        </w:rPr>
        <w:t xml:space="preserve">2. 데이터 설계</w:t>
      </w:r>
    </w:p>
    <w:p>
      <w:pPr>
        <w:spacing w:after="80" w:before="0" w:line="264"/>
      </w:pPr>
      <w:r>
        <w:rPr>
          <w:rFonts w:ascii="맑은 고딕" w:cs="맑은 고딕" w:eastAsia="맑은 고딕" w:hAnsi="맑은 고딕"/>
          <w:b/>
          <w:bCs/>
          <w:sz w:val="20"/>
          <w:szCs w:val="20"/>
        </w:rPr>
        <w:t xml:space="preserve">□ 원천 데이터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 NF_A_A01000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9]  데이터 흐름도 — 원천 11종에서 serving 스키마까지</w:t>
      </w:r>
    </w:p>
    <w:p>
      <w:pPr>
        <w:spacing w:after="80" w:before="0" w:line="264"/>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테이블 명세서</w:t>
      </w:r>
    </w:p>
    <w:p>
      <w:pPr>
        <w:spacing w:after="50" w:before="0" w:line="264"/>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식별자 (seg_0001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샘플 폭의 중앙값 (표시용)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5m 제외 후 하위 5% 분위수 (판정용)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FIXED_PASS | CANDIDATE | FIXED_BLOCK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 / 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path_seg_ids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excluded_seg_ids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pPr>
      <w:r>
        <w:rPr>
          <w:rFonts w:ascii="맑은 고딕" w:cs="맑은 고딕" w:eastAsia="맑은 고딕" w:hAnsi="맑은 고딕"/>
          <w:b/>
          <w:bCs/>
          <w:sz w:val="24"/>
          <w:szCs w:val="24"/>
        </w:rPr>
        <w:t xml:space="preserve">3. 도로폭 산출 상세 설계</w:t>
      </w:r>
    </w:p>
    <w:p>
      <w:pPr>
        <w:spacing w:after="80" w:before="0" w:line="264"/>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NF_A_A01000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80" w:before="0" w:line="264"/>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 xml:space="preserve">3. 노드(교차점) 반경 5m 이내의 샘플을 제거한다.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 xml:space="preserve">4. 남은 샘플의 중앙값을 width_m(표시용), 하위 5% 분위수를 width_min_m(판정용)으로 확정한다. 최댓값이 아니라 하위 분위수를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 xml:space="preserve">5. 수치지도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145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13]  도로폭 산출 — 법선 트랜섹트 샘플링과 교차로 반경 5m 제외</w:t>
      </w:r>
    </w:p>
    <w:p>
      <w:pPr>
        <w:spacing w:after="80" w:before="0" w:line="264"/>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pPr>
      <w:r>
        <w:rPr>
          <w:rFonts w:ascii="맑은 고딕" w:cs="맑은 고딕" w:eastAsia="맑은 고딕" w:hAnsi="맑은 고딕"/>
          <w:b/>
          <w:bCs/>
          <w:sz w:val="24"/>
          <w:szCs w:val="24"/>
        </w:rPr>
        <w:t xml:space="preserve">4. 등급 판정 상세 설계</w:t>
      </w:r>
    </w:p>
    <w:p>
      <w:pPr>
        <w:spacing w:after="80" w:before="0" w:line="264"/>
      </w:pPr>
      <w:r>
        <w:rPr>
          <w:rFonts w:ascii="맑은 고딕" w:cs="맑은 고딕" w:eastAsia="맑은 고딕" w:hAnsi="맑은 고딕"/>
          <w:b/>
          <w:bCs/>
          <w:sz w:val="20"/>
          <w:szCs w:val="20"/>
        </w:rPr>
        <w:t xml:space="preserve">□ 3단 필터링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Tier</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FIXED_PASS</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12.0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CANDIDATE</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 12.0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FIXED_BLOCK</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&lt; 2.0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하한 2.0m는 소방청 진입불가 기준과 일치하므로 외부 방어가 가능하다. 상한 12.0m는 팀 자체 추정치(4.0 → 8.0 → 12.0으로 조정)이며, 발표 시 자체 추정임을 명시한다.</w:t>
      </w:r>
    </w:p>
    <w:p>
      <w:pPr>
        <w:spacing w:after="80" w:before="0" w:line="264"/>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FIXED_PASS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CANDIDATE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FIXED_BLOCK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CANDIDATE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관제요원 입장에서 '원래 넓어서 통과'와 '지금 확인해보니 통과'는 취해야 할 행동이 동일하다. 화면에서 통과 가능 구간이 두 종류로 보일 이유가 없다. GREEN에 흡수하되 tier 값(FIXED_PASS)은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xml:space="preserve">- 영상 판정 연동 이전에는 실시간 GREEN·RED가 0건이고 CANDIDATE + 커버 구간이 전부 잠정 YELLOW로 유지된다. 이는 설계된 동작이다.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14]  등급 판정 플로우차트 — 3단 tier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 xml:space="preserve">각 항목을 분해해 명시하는 이유는, 마진을 하나의 뭉뚱그린 숫자로 두면 무엇이 검증되었고 무엇이 추정인지 구분되지 않기 때문이다. 현재 세 값 모두 잠정이며 확정 경로가 각각 다르다. 산출된 3.0m는 회전 기준의 직진 유효 폭 3m와도 일치한다.</w:t>
      </w:r>
    </w:p>
    <w:p>
      <w:pPr>
        <w:spacing w:after="80" w:before="0" w:line="264"/>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반경은 실제 CCTV 식별 가능 거리 조사 결과에 따라 25m로 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5. 그래프 및 경로탐색 상세 설계</w:t>
      </w:r>
    </w:p>
    <w:p>
      <w:pPr>
        <w:spacing w:after="80" w:before="0" w:line="264"/>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노딩 결과 (2026-08-14 확정): 도로구간 1,508 → 그래프 엣지 3,427 / 산출단위 1,102.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6. 비전 파이프라인 상세 설계</w:t>
      </w:r>
    </w:p>
    <w:p>
      <w:pPr>
        <w:spacing w:after="80" w:before="0" w:line="264"/>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876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7. 실측 설계</w:t>
      </w:r>
    </w:p>
    <w:p>
      <w:pPr>
        <w:spacing w:after="80" w:before="0" w:line="264"/>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 xml:space="preserve">1. seg_id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"seg_id": "seg_2157",</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bbox·tier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/api/segments/{seg_id}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세그먼트 상세 — 폭, 폭 소스, tier,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 폴링. 마지막 조회 이후 변경된 seg_id와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V-World 배경지도,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width_m / width_min_m, 폭 소스, tier,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 xml:space="preserve">동부소방서 관할 실제 소방용수 588개 (지상식 431 + 지하식 157) / 공개 표준데이터의 광주 동구분 31개 → 공개율 5%</w:t>
      </w:r>
    </w:p>
    <w:p>
      <w:pPr>
        <w:spacing w:after="200" w:before="0" w:line="264"/>
      </w:pPr>
      <w:r>
        <w:rPr>
          <w:rFonts w:ascii="맑은 고딕" w:cs="맑은 고딕" w:eastAsia="맑은 고딕" w:hAnsi="맑은 고딕"/>
          <w:sz w:val="19"/>
          <w:szCs w:val="19"/>
        </w:rPr>
        <w:t xml:space="preserve">'1개밖에 없다'보다 '588개 중 31개만 공개되어 있다'가 훨씬 강한 진술이며, 공개 데이터만으로는 소방 인프라 레이어를 구축할 수 없다는 논거이자 실무 연계 협조 요청의 근거가 된다. 소화전 레이어는 좌표 확보 이전까지 지도에서 제외한다. 1개짜리 레이어는 만들지 않느니만 못하다.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React(Vite) + MapLibre GL JS + V-World 배경지도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1대 + Docker Compose + SSH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 xml:space="preserve">[구현 주의] V-World WMTS 타일 축 순서는 {z}/{y}/{x}다. {z}/{x}/{y}로 작성하면 타일이 어긋난다. 인증키 신청 시 WMTS/TMS API와 배경지도 API를 함께 체크해야 하며, 브라우저 호출에는 등록 URL을 담은 domain 파라미터가 필수다.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2955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정규화된 원천 데이터셋 11종,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11종 재확보·정규화. ROAD_BT 사용 금지 확정, 도로구간 위상 문제 발견, 지도 스택 MapLibre + V-World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5" Type="http://schemas.openxmlformats.org/officeDocument/2006/relationships/image" Target="media/a46f7ce6b0d422cbdb293368ab760ec4925e4c1a.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0" Type="http://schemas.openxmlformats.org/officeDocument/2006/relationships/image" Target="media/27ce5eb9cd014b7d0fb9bc29ab1dffe33bd2798e.png"/><Relationship Id="rId21" Type="http://schemas.openxmlformats.org/officeDocument/2006/relationships/image" Target="media/7f93e6fe17e5f77dbb41c2d2ae8126baaa06287c.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29" Type="http://schemas.openxmlformats.org/officeDocument/2006/relationships/image" Target="media/9fec89f602c9989c93f6cf6d15c4c61396f7253a.png"/><Relationship Id="rId30" Type="http://schemas.openxmlformats.org/officeDocument/2006/relationships/image" Target="media/5d5b1e0c8f4419a0cb2796c7bae8058a2d493dd7.png"/><Relationship Id="rId31" Type="http://schemas.openxmlformats.org/officeDocument/2006/relationships/image" Target="media/7caeb2686e65b9c404ea03c24477a2cd8e0cf9c9.png"/><Relationship Id="rId3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