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2026-08-14 기준으로 원본 데이터에서 코드로 재산출한 값이며, 파이프라인 한 명령(src/firelane/pipeline.py)으로 재현된다. 행정구역경계는 2026-08-11 에 확보하여 잠정치를 전부 교체했다. 판정 결과는 산출단위 1,101구간 · 통행 가능 397 · 판정 보류 191 · 통행 불가 159 · 영상판정 불가 354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xml:space="preserve">• 5.1 관측점 등록 — 좌표(EPSG:5186)·시각·seg_id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확정(2026-08-14, 1,101구간).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1,102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교차로 반경 5m 샘플 제외 후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xml:space="preserve">• REQ-VIS-006: 판정 결과 계약 스키마 전송 (seg_id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노드 반경 5m 내 샘플을 제외한 뒤 도로경계 기준 최소 폭을 width_min_m 으로, 건물 폴리곤 기준 벽~벽 최대 폭을 width_max_m 으로 확정한다. 교차로 폴리곤 위에서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1,102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 xml:space="preserve">GIS ◀──[판정 결과]──── 비전     seg_id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식별자 (seg_0001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605/1,101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 / 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path_seg_ids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excluded_seg_ids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 xml:space="preserve">3. 노드(교차점) 반경 5m 이내의 샘플을 제거한다.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13]  도로폭 산출 — 법선 트랜섹트 샘플링과 교차로 반경 5m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380 / 1,101(34.5%)이고, CCTV 최단거리 중앙값은 39.3m, 최대 140m다. 영상판정 불가는 354구간 · 14,505m 이며 전체 연장의 30%에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354구간의 사유는 네 가지이며 폭 산출 불가는 0건이다. 회색은 한 가지 뜻만 갖는다 — 카메라가 없어 못 본다. no_cctv_band 152(3~7m 대역, 주정차로 갈리는데 CCTV 25m 밖) / no_cctv_thin 128(노면 3m 미만이나 도로대장폭은 3m 이상 — 근거가 하나뿐) / no_cctv_narrow 62(노면·도로대장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(2026-08-14 확정): 도로구간 1,508 → 그래프 엣지 3,427 / 산출단위 1,102.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 xml:space="preserve">1. seg_id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/api/segments/{seg_id}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 폴링. 마지막 조회 이후 변경된 seg_id와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