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02.</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1,101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그래프(확정 1,101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605/1,101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380 / 1,101(34.5%)이고, CCTV 최단거리 중앙값은 39.3m, 최대 140m다. 영상판정 불가는 354구간 · 14,505m 이며 전체 연장의 30%에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354구간의 사유는 네 가지이며 폭 산출 불가는 0건이다. 회색은 한 가지 뜻만 갖는다 — 카메라가 없어 못 본다. no_cctv_band 152(3~7m 대역, 주정차로 갈리는데 CCTV 25m 밖) / no_cctv_thin 128(노면 3m 미만이나 도로대장폭은 3m 이상 — 근거가 하나뿐) / no_cctv_narrow 62(노면·도로대장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(2026-08-14 확정): 도로구간 1,508 → 그래프 엣지 3,427 / 산출단위 1,101.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