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빌드 2026-09-22 · 정본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정본 지문을 tools/docx_check.py가 대조한다 (D-0221).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38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 경로로 승격했다. 아티스트 필드의 괄호가 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4142232" cy="7590286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232" cy="7590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임베딩은</w:t>
      </w:r>
      <w:r>
        <w:t xml:space="preserve"> </w:t>
      </w:r>
      <w:r>
        <w:rPr>
          <w:b/>
          <w:bCs/>
        </w:rPr>
        <w:t xml:space="preserve">BGE-M3</w:t>
      </w:r>
      <w:r>
        <w:t xml:space="preserve">(MIT)로 산출한다. 한·영 혼재 가사가 40%라 다국어 인코더가 결정 근거였다 (D-0045 · D-0048).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53"/>
        <w:gridCol w:w="2278"/>
        <w:gridCol w:w="4640"/>
      </w:tblGrid>
      <w:tr>
        <w:trPr>
          <w:tblHeader w:val="on"/>
        </w:trPr>
        <w:tc>
          <w:tcPr>
            <w:tcW w:type="dxa" w:w="21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6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선행 사례 미확인. 채택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 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 상용 시스템이 확인되지 않았다.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37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5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9"/>
        <w:gridCol w:w="4048"/>
        <w:gridCol w:w="4493"/>
      </w:tblGrid>
      <w:tr>
        <w:trPr>
          <w:tblHeader w:val="on"/>
        </w:trPr>
        <w:tc>
          <w:tcPr>
            <w:tcW w:type="dxa" w:w="530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0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 개인화 생성 영역에 선행 사례 부재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25"/>
    <w:bookmarkStart w:id="26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26"/>
    <w:bookmarkStart w:id="27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27"/>
    <w:bookmarkStart w:id="31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4"/>
        <w:gridCol w:w="3711"/>
        <w:gridCol w:w="2000"/>
        <w:gridCol w:w="2695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0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파서·지문 정규화·영속화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2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nt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1"/>
    <w:bookmarkStart w:id="32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2"/>
    <w:bookmarkStart w:id="33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3"/>
    <w:bookmarkStart w:id="34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아래 「닫힌 미해결」로 옮긴다</w:t>
      </w:r>
      <w:r>
        <w:t xml:space="preserve"> </w:t>
      </w:r>
      <w:r>
        <w:t xml:space="preserve">(D-0080).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4"/>
    <w:bookmarkStart w:id="35" w:name="닫힌-미해결"/>
    <w:p>
      <w:pPr>
        <w:pStyle w:val="Heading3"/>
      </w:pPr>
      <w:r>
        <w:t xml:space="preserve">□ 닫힌 미해결</w:t>
      </w:r>
    </w:p>
    <w:p>
      <w:pPr>
        <w:pStyle w:val="FirstParagraph"/>
      </w:pPr>
      <w:r>
        <w:rPr>
          <w:b/>
          <w:bCs/>
        </w:rPr>
        <w:t xml:space="preserve">판단의 근거는 결정 기록에 있다.</w:t>
      </w:r>
      <w:r>
        <w:t xml:space="preserve"> </w:t>
      </w:r>
      <w:r>
        <w:t xml:space="preserve">여기 남기는 것은</w:t>
      </w:r>
      <w:r>
        <w:t xml:space="preserve"> </w:t>
      </w:r>
      <w:r>
        <w:t xml:space="preserve">“이미 답이 나온 질문”</w:t>
      </w:r>
      <w:r>
        <w:t xml:space="preserve">이라는</w:t>
      </w:r>
      <w:r>
        <w:t xml:space="preserve"> </w:t>
      </w:r>
      <w:r>
        <w:t xml:space="preserve">사실과 그 번호뿐이다. O-23은 중간 상태(D-0058)와 최종 판정(D-0061)이 두 행으로</w:t>
      </w:r>
      <w:r>
        <w:t xml:space="preserve"> </w:t>
      </w:r>
      <w:r>
        <w:t xml:space="preserve">남아 있었고</w:t>
      </w:r>
      <w:r>
        <w:t xml:space="preserve"> </w:t>
      </w:r>
      <w:r>
        <w:rPr>
          <w:b/>
          <w:bCs/>
        </w:rPr>
        <w:t xml:space="preserve">최종만 남긴다</w:t>
      </w:r>
      <w:r>
        <w:t xml:space="preserve"> </w:t>
      </w:r>
      <w:r>
        <w:t xml:space="preserve">— 중간 상태의 근거는 결정 기록에 그대로 있다.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39"/>
        <w:gridCol w:w="4413"/>
        <w:gridCol w:w="3319"/>
      </w:tblGrid>
      <w:tr>
        <w:trPr>
          <w:tblHeader w:val="on"/>
        </w:trPr>
        <w:tc>
          <w:tcPr>
            <w:tcW w:type="dxa" w:w="13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44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33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레코딩 버전을 무엇으로 확정하나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D-0020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중복 실행으로 색인이 깨졌다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D-0022 · D-0023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MERT가 MFCC에 진 원인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D-0024 · D-0025 · D-0026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O-9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레이어를 쓸 것인가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D-0026 · D-0027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M0 정의 부적합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D-0044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O-18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구간 분할에서 1곡이 조용히 빠진다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D-0050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O-21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어휘 조건화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D-0054 · D-0063 · D-0074 · D-0082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라벨이 없다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취향에는 맞음이 아니라 일관됨이 든다 (D-0201)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D-0055 · D-0056 · D-0201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O-23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검은건반 33.5% — 기각. 이상이 아니었다 (D-0061)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D-0034 · D-0061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크로마 대비가 교과서 프로파일의 30%뿐이다 → 닫힘 (D-0074)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D-0056 · D-0063 · D-0065 · D-0074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O-29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차이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D-0082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O-31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몫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D-0085 · D-0088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순서 조건화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D-0063 · D-0101 · D-0113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O-33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질량의 정체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D-0090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O-34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난수 흐름 결함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D-0082 · D-0087 · D-0094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O-35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누설인가 차용인가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D-0093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O-36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어휘 확장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D-0097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리듬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D-0103 · D-0123 · D-0124 · D-0125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O-38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8마디 부호 뒤집힘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D-0109 · D-0112 · D-0114 · D-0125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O-47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격자에 흔들린다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D-0169 · D-0171 · D-0173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층이 화성을 담는가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D-0180 · D-0181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배음 감산 기각이 장조에 가려져 있었다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뒤집었다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(D-0201)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D-0191 · D-0197 · D-0201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O-60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패치 도구를 안 쓴 것이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죽어 있었다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D-0070 · D-0196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O-63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산출물을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generate</w:t>
            </w:r>
            <w:r>
              <w:rPr>
                <w:sz w:val="16"/>
              </w:rPr>
              <w:t xml:space="preserve">가 못 읽었다 → 옛 규격 재생성 · 분포가 소수점까지 재현됐다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D-0203 · D-0211 · D-0212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O-66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대중성 라벨을 무엇으로 세우나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밖에서는 못 구한다.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세 출처가 라이선스·커버리지에 막혔다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D-0215 · D-0216</w:t>
            </w:r>
          </w:p>
        </w:tc>
      </w:tr>
    </w:tbl>
    <w:bookmarkEnd w:id="35"/>
    <w:bookmarkStart w:id="36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/ AcoustID (지문 기반 메타데이터)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기록과 전체 색인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코퍼스 실측 스크립트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36"/>
    <w:bookmarkEnd w:id="37"/>
    <w:bookmarkEnd w:id="38"/>
    <w:bookmarkStart w:id="71" w:name="part-ii.-요구사항-분석서"/>
    <w:p>
      <w:pPr>
        <w:pStyle w:val="Heading1"/>
      </w:pPr>
      <w:r>
        <w:t xml:space="preserve">Part II. 요구사항 분석서</w:t>
      </w:r>
    </w:p>
    <w:bookmarkStart w:id="45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898648" cy="7578244"/>
            <wp:effectExtent b="0" l="0" r="0" t="0"/>
            <wp:docPr descr="요구사항 체계도 — 12개 영역" title="" id="4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tre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648" cy="757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318134"/>
            <wp:effectExtent b="0" l="0" r="0" t="0"/>
            <wp:docPr descr="유스케이스 — 사용자 · 개발자" title="" id="4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use_case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5"/>
    <w:bookmarkStart w:id="46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 부여한다. 이는 미완 시 MVP 판정에 영향을 주지 않기 위한 장치다.</w:t>
      </w:r>
    </w:p>
    <w:bookmarkEnd w:id="46"/>
    <w:bookmarkStart w:id="62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4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statu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0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0"/>
    <w:bookmarkStart w:id="51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46"/>
        <w:gridCol w:w="2609"/>
        <w:gridCol w:w="516"/>
        <w:gridCol w:w="546"/>
        <w:gridCol w:w="702"/>
        <w:gridCol w:w="2551"/>
      </w:tblGrid>
      <w:tr>
        <w:trPr>
          <w:tblHeader w:val="on"/>
        </w:trPr>
        <w:tc>
          <w:tcPr>
            <w:tcW w:type="dxa" w:w="21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6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5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임베딩. 축 탐색 종료 (D-0048)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완료.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 비상업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CLAP 대체 실측 (O-68)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1"/>
    <w:bookmarkStart w:id="52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2"/>
    <w:bookmarkStart w:id="53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64"/>
        <w:gridCol w:w="2235"/>
        <w:gridCol w:w="547"/>
        <w:gridCol w:w="598"/>
        <w:gridCol w:w="776"/>
        <w:gridCol w:w="2549"/>
      </w:tblGrid>
      <w:tr>
        <w:trPr>
          <w:tblHeader w:val="on"/>
        </w:trPr>
        <w:tc>
          <w:tcPr>
            <w:tcW w:type="dxa" w:w="23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2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5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23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5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5번 · 망 접점 허용 2곳 (D-0134)</w:t>
            </w:r>
          </w:p>
        </w:tc>
      </w:tr>
      <w:tr>
        <w:tc>
          <w:tcPr>
            <w:tcW w:type="dxa" w:w="23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2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5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2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2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2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55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2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5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2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2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55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2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550"/>
          </w:tcPr>
          <w:p>
            <w:pPr>
              <w:pStyle w:val="Compact"/>
              <w:spacing w:after="0" w:line="264" w:lineRule="auto"/>
            </w:pPr>
          </w:p>
        </w:tc>
      </w:tr>
    </w:tbl>
    <w:bookmarkEnd w:id="53"/>
    <w:bookmarkStart w:id="54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4"/>
    <w:bookmarkStart w:id="55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5"/>
    <w:bookmarkStart w:id="56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56"/>
    <w:bookmarkStart w:id="57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0"/>
        <w:gridCol w:w="2900"/>
        <w:gridCol w:w="589"/>
        <w:gridCol w:w="660"/>
        <w:gridCol w:w="866"/>
        <w:gridCol w:w="1464"/>
      </w:tblGrid>
      <w:tr>
        <w:trPr>
          <w:tblHeader w:val="on"/>
        </w:trPr>
        <w:tc>
          <w:tcPr>
            <w:tcW w:type="dxa" w:w="2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9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5번. 스키마는 P4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9"/>
    <w:bookmarkStart w:id="60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52"/>
        <w:gridCol w:w="2648"/>
        <w:gridCol w:w="529"/>
        <w:gridCol w:w="570"/>
        <w:gridCol w:w="570"/>
        <w:gridCol w:w="2500"/>
      </w:tblGrid>
      <w:tr>
        <w:trPr>
          <w:tblHeader w:val="on"/>
        </w:trPr>
        <w:tc>
          <w:tcPr>
            <w:tcW w:type="dxa" w:w="22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5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5종 (D-0134)</w:t>
            </w:r>
          </w:p>
        </w:tc>
      </w:tr>
      <w:tr>
        <w:tc>
          <w:tcPr>
            <w:tcW w:type="dxa" w:w="2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0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0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5종</w:t>
            </w:r>
          </w:p>
        </w:tc>
      </w:tr>
      <w:tr>
        <w:tc>
          <w:tcPr>
            <w:tcW w:type="dxa" w:w="2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</w:tbl>
    <w:bookmarkEnd w:id="60"/>
    <w:bookmarkStart w:id="61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1"/>
    <w:bookmarkEnd w:id="62"/>
    <w:bookmarkStart w:id="68" w:name="비기능-요구사항-nfr"/>
    <w:p>
      <w:pPr>
        <w:pStyle w:val="Heading2"/>
      </w:pPr>
      <w:r>
        <w:t xml:space="preserve">□ 비기능 요구사항 (NFR)</w:t>
      </w:r>
    </w:p>
    <w:bookmarkStart w:id="63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3"/>
    <w:bookmarkStart w:id="64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87"/>
        <w:gridCol w:w="1777"/>
        <w:gridCol w:w="4206"/>
      </w:tblGrid>
      <w:tr>
        <w:trPr>
          <w:tblHeader w:val="on"/>
        </w:trPr>
        <w:tc>
          <w:tcPr>
            <w:tcW w:type="dxa" w:w="30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2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Ti). CPU는 (실측 필요)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4"/>
    <w:bookmarkStart w:id="65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544"/>
        <w:gridCol w:w="4695"/>
      </w:tblGrid>
      <w:tr>
        <w:trPr>
          <w:tblHeader w:val="on"/>
        </w:trPr>
        <w:tc>
          <w:tcPr>
            <w:tcW w:type="dxa" w:w="28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5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54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4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8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4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8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4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</w:t>
            </w:r>
          </w:p>
        </w:tc>
      </w:tr>
      <w:tr>
        <w:tc>
          <w:tcPr>
            <w:tcW w:type="dxa" w:w="28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4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8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4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8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4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8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4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2곳뿐이며 문자열만 보낸다. 늘면 검사가 빨개진다 (D-0134)</w:t>
            </w:r>
          </w:p>
        </w:tc>
      </w:tr>
    </w:tbl>
    <w:bookmarkEnd w:id="65"/>
    <w:bookmarkStart w:id="66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96"/>
        <w:gridCol w:w="1411"/>
        <w:gridCol w:w="4764"/>
      </w:tblGrid>
      <w:tr>
        <w:trPr>
          <w:tblHeader w:val="on"/>
        </w:trPr>
        <w:tc>
          <w:tcPr>
            <w:tcW w:type="dxa" w:w="28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4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7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7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5종 전부 KEPT</w:t>
            </w:r>
          </w:p>
        </w:tc>
      </w:tr>
      <w:tr>
        <w:tc>
          <w:tcPr>
            <w:tcW w:type="dxa" w:w="28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7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7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83% 이상 (CI 게이트).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올린 뒤 내리지 않는다</w:t>
            </w:r>
          </w:p>
        </w:tc>
      </w:tr>
      <w:tr>
        <w:tc>
          <w:tcPr>
            <w:tcW w:type="dxa" w:w="28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7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7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76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7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7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7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66"/>
    <w:bookmarkStart w:id="67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1"/>
        <w:gridCol w:w="1761"/>
        <w:gridCol w:w="4328"/>
      </w:tblGrid>
      <w:tr>
        <w:trPr>
          <w:tblHeader w:val="on"/>
        </w:trPr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mp3)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67"/>
    <w:bookmarkEnd w:id="68"/>
    <w:bookmarkStart w:id="69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8"/>
        <w:gridCol w:w="984"/>
        <w:gridCol w:w="6818"/>
      </w:tblGrid>
      <w:tr>
        <w:trPr>
          <w:tblHeader w:val="on"/>
        </w:trPr>
        <w:tc>
          <w:tcPr>
            <w:tcW w:type="dxa" w:w="12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 지문 조회와 강제정렬로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69"/>
    <w:bookmarkStart w:id="70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0"/>
    <w:bookmarkEnd w:id="71"/>
    <w:bookmarkStart w:id="200" w:name="part-iii.-상세-설계서"/>
    <w:p>
      <w:pPr>
        <w:pStyle w:val="Heading1"/>
      </w:pPr>
      <w:r>
        <w:t xml:space="preserve">Part III. 상세 설계서</w:t>
      </w:r>
    </w:p>
    <w:bookmarkStart w:id="82" w:name="시스템-아키텍처"/>
    <w:p>
      <w:pPr>
        <w:pStyle w:val="Heading2"/>
      </w:pPr>
      <w:r>
        <w:t xml:space="preserve">1. 시스템 아키텍처</w:t>
      </w:r>
    </w:p>
    <w:bookmarkStart w:id="75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754880" cy="7589964"/>
            <wp:effectExtent b="0" l="0" r="0" t="0"/>
            <wp:docPr descr="전체 파이프라인 — 기기 분석 · 기획 · 렌더 · 관문" title="" id="7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ipeline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7589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5"/>
    <w:bookmarkStart w:id="79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5종</w:t>
      </w:r>
      <w:r>
        <w:t xml:space="preserve"> </w:t>
      </w:r>
      <w:r>
        <w:t xml:space="preserve">1. 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  <w:r>
        <w:t xml:space="preserve"> </w:t>
      </w:r>
      <w:r>
        <w:t xml:space="preserve">2. 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  <w:r>
        <w:t xml:space="preserve"> </w:t>
      </w:r>
      <w:r>
        <w:t xml:space="preserve">3. 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  <w:r>
        <w:t xml:space="preserve"> </w:t>
      </w:r>
      <w:r>
        <w:t xml:space="preserve">4. 계층 순서 — 위 의존 방향을 역행하지 않는다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BodyText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4926763"/>
            <wp:effectExtent b="0" l="0" r="0" t="0"/>
            <wp:docPr descr="계층 구조와 import 계약 5종" title="" id="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 5종</w:t>
      </w:r>
    </w:p>
    <w:bookmarkEnd w:id="79"/>
    <w:bookmarkStart w:id="80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0"/>
    <w:bookmarkStart w:id="81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1"/>
    <w:bookmarkEnd w:id="82"/>
    <w:bookmarkStart w:id="99" w:name="데이터-설계"/>
    <w:p>
      <w:pPr>
        <w:pStyle w:val="Heading2"/>
      </w:pPr>
      <w:r>
        <w:t xml:space="preserve">2. 데이터 설계</w:t>
      </w:r>
    </w:p>
    <w:bookmarkStart w:id="83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2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2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2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2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3"/>
    <w:bookmarkStart w:id="84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94"/>
        <w:gridCol w:w="3315"/>
        <w:gridCol w:w="4761"/>
      </w:tblGrid>
      <w:tr>
        <w:trPr>
          <w:tblHeader w:val="on"/>
        </w:trPr>
        <w:tc>
          <w:tcPr>
            <w:tcW w:type="dxa" w:w="9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3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4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9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묶음</w:t>
            </w:r>
          </w:p>
        </w:tc>
        <w:tc>
          <w:tcPr>
            <w:tcW w:type="dxa" w:w="33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var/ingest/audio/&lt;해시&gt;.npz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 manifest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크로마 · 온셋 · 음고 · 무음. 추출 조건을 manifest에 적는다 (D-0211)</w:t>
            </w:r>
          </w:p>
        </w:tc>
      </w:tr>
      <w:tr>
        <w:tc>
          <w:tcPr>
            <w:tcW w:type="dxa" w:w="9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· 조회</w:t>
            </w:r>
          </w:p>
        </w:tc>
        <w:tc>
          <w:tcPr>
            <w:tcW w:type="dxa" w:w="3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JSONL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이벤트 · MusicBrainz 조회 결과 · 조성 · 온셋 · 쌍대비교 응답</w:t>
            </w:r>
          </w:p>
        </w:tc>
      </w:tr>
      <w:tr>
        <w:tc>
          <w:tcPr>
            <w:tcW w:type="dxa" w:w="9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백업</w:t>
            </w:r>
          </w:p>
        </w:tc>
        <w:tc>
          <w:tcPr>
            <w:tcW w:type="dxa" w:w="3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외장 SSD (</w:t>
            </w:r>
            <w:r>
              <w:rPr>
                <w:rStyle w:val="VerbatimChar"/>
                <w:sz w:val="16"/>
              </w:rPr>
              <w:t xml:space="preserve">HATHOR_ARTIFACT_STORE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push가 백업, pull이 복원. 덮어쓰지 않는다 (D-0118 · D-0122)</w:t>
            </w:r>
          </w:p>
        </w:tc>
      </w:tr>
    </w:tbl>
    <w:p>
      <w:pPr>
        <w:pStyle w:val="BodyText"/>
      </w:pP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 끝나야 이름을 준다 (D-0216).</w:t>
      </w:r>
    </w:p>
    <w:bookmarkEnd w:id="84"/>
    <w:bookmarkStart w:id="85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bookmarkEnd w:id="85"/>
    <w:bookmarkStart w:id="89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 라이브러리가 WMP로 관리되었으며, WMP가 평점은 기록하되</w:t>
      </w:r>
      <w:r>
        <w:t xml:space="preserve"> </w:t>
      </w:r>
      <w:r>
        <w:t xml:space="preserve">발매일은 채우지 않는 특성이 실측 결과를 설명한다. 태그 출처를 신뢰할 근거가 약하므로 지문 기반 정규화가 주 경로가 된다.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8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d3_frames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89"/>
    <w:bookmarkStart w:id="93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rtist_notation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3"/>
    <w:bookmarkStart w:id="94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4"/>
    <w:bookmarkStart w:id="98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p>
      <w:pPr>
        <w:pStyle w:val="CaptionedFigure"/>
      </w:pPr>
      <w:r>
        <w:drawing>
          <wp:inline>
            <wp:extent cx="5334000" cy="5542301"/>
            <wp:effectExtent b="0" l="0" r="0" t="0"/>
            <wp:docPr descr="ERD — P4 설계" title="" id="9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42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2"/>
        <w:gridCol w:w="3132"/>
        <w:gridCol w:w="2697"/>
      </w:tblGrid>
      <w:tr>
        <w:trPr>
          <w:tblHeader w:val="on"/>
        </w:trPr>
        <w:tc>
          <w:tcPr>
            <w:tcW w:type="dxa" w:w="32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1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fingerprint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미해결(2026-08-11)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</w:t>
      </w:r>
      <w:r>
        <w:t xml:space="preserve"> </w:t>
      </w:r>
      <w:r>
        <w:t xml:space="preserve">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 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</w:t>
      </w:r>
      <w:r>
        <w:t xml:space="preserve"> </w:t>
      </w:r>
      <w:r>
        <w:t xml:space="preserve">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 나중 스캔이 앞의 값을 덮는다.</w:t>
      </w:r>
      <w:r>
        <w:t xml:space="preserve"> </w:t>
      </w:r>
      <w:r>
        <w:t xml:space="preserve">유닛 #3의 MusicBrainz 조회 결과 저장 방식과 함께 결정한다.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00"/>
        <w:gridCol w:w="4071"/>
      </w:tblGrid>
      <w:tr>
        <w:trPr>
          <w:tblHeader w:val="on"/>
        </w:trPr>
        <w:tc>
          <w:tcPr>
            <w:tcW w:type="dxa" w:w="50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40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</w:tr>
    </w:tbl>
    <w:bookmarkEnd w:id="98"/>
    <w:bookmarkEnd w:id="99"/>
    <w:bookmarkStart w:id="114" w:name="인제스트-상세-설계"/>
    <w:p>
      <w:pPr>
        <w:pStyle w:val="Heading2"/>
      </w:pPr>
      <w:r>
        <w:t xml:space="preserve">3. 인제스트 상세 설계</w:t>
      </w:r>
    </w:p>
    <w:bookmarkStart w:id="103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471416" cy="7588351"/>
            <wp:effectExtent b="0" l="0" r="0" t="0"/>
            <wp:docPr descr="인제스트 처리 순서" title="" id="10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ngest_flow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416" cy="75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3"/>
    <w:bookmarkStart w:id="104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4"/>
    <w:bookmarkStart w:id="108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1901949"/>
            <wp:effectExtent b="0" l="0" r="0" t="0"/>
            <wp:docPr descr="델타 판정 — 재스캔 이벤트 넷" title="" id="10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elta_states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1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08"/>
    <w:bookmarkStart w:id="109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09"/>
    <w:bookmarkStart w:id="113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musicbrainz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3"/>
    <w:bookmarkEnd w:id="114"/>
    <w:bookmarkStart w:id="118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83"/>
        <w:gridCol w:w="3126"/>
        <w:gridCol w:w="999"/>
        <w:gridCol w:w="1237"/>
        <w:gridCol w:w="3125"/>
      </w:tblGrid>
      <w:tr>
        <w:trPr>
          <w:tblHeader w:val="on"/>
        </w:trPr>
        <w:tc>
          <w:tcPr>
            <w:tcW w:type="dxa" w:w="5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1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31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언어모델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· 축 탐색 종료 (D-0048)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3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3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3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023648"/>
            <wp:effectExtent b="0" l="0" r="0" t="0"/>
            <wp:docPr descr="4축과 모델 — 스템 분리가 편곡 · 가창의 전제다" title="" id="11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xe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3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18"/>
    <w:bookmarkStart w:id="126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19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19"/>
    <w:bookmarkStart w:id="123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2616592"/>
            <wp:effectExtent b="0" l="0" r="0" t="0"/>
            <wp:docPr descr="취향 신호 3층" title="" id="12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taste_layer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3"/>
    <w:bookmarkStart w:id="124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odyText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4"/>
    <w:bookmarkStart w:id="125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25"/>
    <w:bookmarkEnd w:id="126"/>
    <w:bookmarkStart w:id="151" w:name="생성-파이프라인-설계"/>
    <w:p>
      <w:pPr>
        <w:pStyle w:val="Heading2"/>
      </w:pPr>
      <w:r>
        <w:t xml:space="preserve">6. 생성 파이프라인 설계</w:t>
      </w:r>
    </w:p>
    <w:bookmarkStart w:id="130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880360" cy="7594618"/>
            <wp:effectExtent b="0" l="0" r="0" t="0"/>
            <wp:docPr descr="hathor가 기획하고 엔진이 소리를 입힌다" title="" id="12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lan_render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7594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0"/>
    <w:bookmarkStart w:id="131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1"/>
    <w:bookmarkStart w:id="135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funnel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35"/>
    <w:bookmarkStart w:id="139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4910054"/>
            <wp:effectExtent b="0" l="0" r="0" t="0"/>
            <wp:docPr descr="엔진 실측 관문 G0 ~ G3" title="" id="13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gates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39"/>
    <w:bookmarkStart w:id="143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06"/>
        <w:gridCol w:w="6065"/>
      </w:tblGrid>
      <w:tr>
        <w:trPr>
          <w:tblHeader w:val="on"/>
        </w:trPr>
        <w:tc>
          <w:tcPr>
            <w:tcW w:type="dxa" w:w="30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0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4.30GB에 4.22GB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0_runs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3"/>
    <w:bookmarkStart w:id="150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4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istening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4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voice_leading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0"/>
    <w:bookmarkEnd w:id="151"/>
    <w:bookmarkStart w:id="157" w:name="가창-및-안전-게이트-설계"/>
    <w:p>
      <w:pPr>
        <w:pStyle w:val="Heading2"/>
      </w:pPr>
      <w:r>
        <w:t xml:space="preserve">7. 가창 및 안전 게이트 설계</w:t>
      </w:r>
    </w:p>
    <w:bookmarkStart w:id="152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2"/>
    <w:bookmarkStart w:id="156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5843703"/>
            <wp:effectExtent b="0" l="0" r="0" t="0"/>
            <wp:docPr descr="음색 누설 관문 G2" title="" id="15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eak_gate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3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56"/>
    <w:bookmarkEnd w:id="157"/>
    <w:bookmarkStart w:id="161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58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58"/>
    <w:bookmarkStart w:id="159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59"/>
    <w:bookmarkStart w:id="160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 5번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2곳(MusicBrainz 조회 · 문자열만)이며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</w:t>
      </w:r>
    </w:p>
    <w:bookmarkEnd w:id="160"/>
    <w:bookmarkEnd w:id="161"/>
    <w:bookmarkStart w:id="162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2"/>
    <w:bookmarkStart w:id="182" w:name="평가-설계"/>
    <w:p>
      <w:pPr>
        <w:pStyle w:val="Heading2"/>
      </w:pPr>
      <w:r>
        <w:t xml:space="preserve">10. 평가 설계</w:t>
      </w:r>
    </w:p>
    <w:bookmarkStart w:id="166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69"/>
        <w:gridCol w:w="1654"/>
        <w:gridCol w:w="6348"/>
      </w:tblGrid>
      <w:tr>
        <w:trPr>
          <w:tblHeader w:val="on"/>
        </w:trPr>
        <w:tc>
          <w:tcPr>
            <w:tcW w:type="dxa" w:w="10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6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3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게이트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1000개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0.1817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0.1310 · 쌍 단위 승률 75.0%</w:t>
            </w:r>
            <w:r>
              <w:rPr>
                <w:sz w:val="16"/>
              </w:rPr>
              <w:t xml:space="preserve">. 극한(사전 가중치 거리)은 0.1199 / 0.0795이며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8마디 초과분 34%는 되튐이지 정보가 아니다.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shuffled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0.2679 대비 67.8% — 코퍼스가 화성 어휘를 공유한다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 극한 차이 +0.0208.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극한 대비 8마디 30.3% → 64마디 77.9%(승률 60%) → 128마디 86.9%(65%).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8마디에서 안 보인 것은 되튐이 6.1배로 덮었기 때문이다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전체 +0.0192 · 추정 확실 +0.0916(t=3.79) · 추정 불확실 -0.0338.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조성 오차가 지배하지 않는다.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+0.1247은 누설의 경고다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+0.3787 (t=12.81)이며 신뢰도 묶음 셋이 0.379로 같다.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합성에서 누설만 -0.03~0.00 — 열 배 떨어져 있다.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차용이 실재한다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trieval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66"/>
    <w:bookmarkStart w:id="170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6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_curve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0"/>
    <w:bookmarkStart w:id="174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harmony_layers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4"/>
    <w:bookmarkStart w:id="175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75"/>
    <w:bookmarkStart w:id="179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76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미해결이다 (O-15).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bookmarkEnd w:id="176"/>
    <w:bookmarkStart w:id="177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4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4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77"/>
    <w:bookmarkStart w:id="178" w:name="표현-선택의-실측-이력"/>
    <w:p>
      <w:pPr>
        <w:pStyle w:val="Heading4"/>
      </w:pPr>
      <w:r>
        <w:t xml:space="preserve">표현 선택의 실측 이력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pStyle w:val="Compact"/>
        <w:numPr>
          <w:ilvl w:val="0"/>
          <w:numId w:val="1005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78"/>
    <w:bookmarkEnd w:id="179"/>
    <w:bookmarkStart w:id="180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0"/>
    <w:bookmarkStart w:id="181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1"/>
    <w:bookmarkEnd w:id="182"/>
    <w:bookmarkStart w:id="198" w:name="개발-환경-및-배포-설계"/>
    <w:p>
      <w:pPr>
        <w:pStyle w:val="Heading2"/>
      </w:pPr>
      <w:r>
        <w:t xml:space="preserve">11. 개발 환경 및 배포 설계</w:t>
      </w:r>
    </w:p>
    <w:bookmarkStart w:id="183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77"/>
        <w:gridCol w:w="7094"/>
      </w:tblGrid>
      <w:tr>
        <w:trPr>
          <w:tblHeader w:val="on"/>
        </w:trPr>
        <w:tc>
          <w:tcPr>
            <w:tcW w:type="dxa" w:w="19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0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9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0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9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0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고정)</w:t>
            </w:r>
          </w:p>
        </w:tc>
      </w:tr>
      <w:tr>
        <w:tc>
          <w:tcPr>
            <w:tcW w:type="dxa" w:w="19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0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</w:p>
        </w:tc>
      </w:tr>
      <w:tr>
        <w:tc>
          <w:tcPr>
            <w:tcW w:type="dxa" w:w="19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0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</w:t>
            </w:r>
          </w:p>
        </w:tc>
      </w:tr>
      <w:tr>
        <w:tc>
          <w:tcPr>
            <w:tcW w:type="dxa" w:w="19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0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9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0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3"/>
    <w:bookmarkStart w:id="187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150918"/>
            <wp:effectExtent b="0" l="0" r="0" t="0"/>
            <wp:docPr descr="패치 파이프" title="" id="18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atch_pipe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50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파일 목록을 적지 않는다</w:t>
      </w:r>
      <w:r>
        <w:t xml:space="preserve"> </w:t>
      </w:r>
      <w:r>
        <w:t xml:space="preserve">(D-0070). 패치 첫 줄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이 커밋 메시지다.</w:t>
      </w:r>
    </w:p>
    <w:bookmarkEnd w:id="187"/>
    <w:bookmarkStart w:id="191" w:name="검사-체계"/>
    <w:p>
      <w:pPr>
        <w:pStyle w:val="Heading3"/>
      </w:pPr>
      <w:r>
        <w:t xml:space="preserve">□ 검사 체계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35"/>
        <w:gridCol w:w="4913"/>
        <w:gridCol w:w="2523"/>
      </w:tblGrid>
      <w:tr>
        <w:trPr>
          <w:tblHeader w:val="on"/>
        </w:trPr>
        <w:tc>
          <w:tcPr>
            <w:tcW w:type="dxa" w:w="16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  <w:tc>
          <w:tcPr>
            <w:tcW w:type="dxa" w:w="49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25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9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25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 표기</w:t>
            </w:r>
          </w:p>
        </w:tc>
        <w:tc>
          <w:tcPr>
            <w:tcW w:type="dxa" w:w="49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</w:t>
            </w:r>
          </w:p>
        </w:tc>
        <w:tc>
          <w:tcPr>
            <w:tcW w:type="dxa" w:w="25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비밀정보</w:t>
            </w:r>
          </w:p>
        </w:tc>
        <w:tc>
          <w:tcPr>
            <w:tcW w:type="dxa" w:w="49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25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레이아웃</w:t>
            </w:r>
          </w:p>
        </w:tc>
        <w:tc>
          <w:tcPr>
            <w:tcW w:type="dxa" w:w="49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여섯 번째 문서</w:t>
            </w:r>
          </w:p>
        </w:tc>
        <w:tc>
          <w:tcPr>
            <w:tcW w:type="dxa" w:w="25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49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25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라이선스</w:t>
            </w:r>
          </w:p>
        </w:tc>
        <w:tc>
          <w:tcPr>
            <w:tcW w:type="dxa" w:w="49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25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</w:t>
            </w:r>
          </w:p>
        </w:tc>
        <w:tc>
          <w:tcPr>
            <w:tcW w:type="dxa" w:w="49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기획서와 정본의 어긋남</w:t>
            </w:r>
          </w:p>
        </w:tc>
        <w:tc>
          <w:tcPr>
            <w:tcW w:type="dxa" w:w="25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대조</w:t>
            </w:r>
          </w:p>
        </w:tc>
        <w:tc>
          <w:tcPr>
            <w:tcW w:type="dxa" w:w="49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파일 · 명령을 가리키기</w:t>
            </w:r>
          </w:p>
        </w:tc>
        <w:tc>
          <w:tcPr>
            <w:tcW w:type="dxa" w:w="25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9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25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</w:t>
            </w:r>
          </w:p>
        </w:tc>
        <w:tc>
          <w:tcPr>
            <w:tcW w:type="dxa" w:w="49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ruff · mypy strict · 시험 코드 타입 래칫</w:t>
            </w:r>
          </w:p>
        </w:tc>
        <w:tc>
          <w:tcPr>
            <w:tcW w:type="dxa" w:w="25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</w:t>
            </w:r>
          </w:p>
        </w:tc>
        <w:tc>
          <w:tcPr>
            <w:tcW w:type="dxa" w:w="49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5종</w:t>
            </w:r>
          </w:p>
        </w:tc>
        <w:tc>
          <w:tcPr>
            <w:tcW w:type="dxa" w:w="25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</w:t>
            </w:r>
          </w:p>
        </w:tc>
        <w:tc>
          <w:tcPr>
            <w:tcW w:type="dxa" w:w="49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pytest · 커버리지 83% 게이트 — 올린 뒤 내리지 않는다</w:t>
            </w:r>
          </w:p>
        </w:tc>
        <w:tc>
          <w:tcPr>
            <w:tcW w:type="dxa" w:w="25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5334000" cy="6137593"/>
            <wp:effectExtent b="0" l="0" r="0" t="0"/>
            <wp:docPr descr="make check · CI · 커밋 훅 대조 (실물에서 읽었다)" title="" id="18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te_parity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375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1"/>
    <w:bookmarkStart w:id="195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배포하고</w:t>
      </w:r>
      <w:r>
        <w:t xml:space="preserve"> </w:t>
      </w:r>
      <w:r>
        <w:rPr>
          <w:rStyle w:val="VerbatimChar"/>
        </w:rPr>
        <w:t xml:space="preserve">site/proposal.html</w:t>
      </w:r>
      <w:r>
        <w:t xml:space="preserve">이</w:t>
      </w:r>
      <w:r>
        <w:t xml:space="preserve"> </w:t>
      </w:r>
      <w:r>
        <w:t xml:space="preserve">그 docx를 변환 없이 그린다 (D-0222).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CaptionedFigure"/>
      </w:pPr>
      <w:r>
        <w:drawing>
          <wp:inline>
            <wp:extent cx="5334000" cy="4745802"/>
            <wp:effectExtent b="0" l="0" r="0" t="0"/>
            <wp:docPr descr="문서 체계 — 기획서는 MASTER에서 빌드한다" title="" id="19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ocuments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5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195"/>
    <w:bookmarkStart w:id="196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16"/>
        <w:gridCol w:w="3043"/>
        <w:gridCol w:w="2711"/>
      </w:tblGrid>
      <w:tr>
        <w:trPr>
          <w:tblHeader w:val="on"/>
        </w:trPr>
        <w:tc>
          <w:tcPr>
            <w:tcW w:type="dxa" w:w="3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0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3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0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3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0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3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0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3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0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3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0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bookmarkEnd w:id="196"/>
    <w:bookmarkStart w:id="197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39"/>
        <w:gridCol w:w="6032"/>
      </w:tblGrid>
      <w:tr>
        <w:trPr>
          <w:tblHeader w:val="on"/>
        </w:trPr>
        <w:tc>
          <w:tcPr>
            <w:tcW w:type="dxa" w:w="3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0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30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0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30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0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30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0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303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03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</w:tbl>
    <w:bookmarkEnd w:id="197"/>
    <w:bookmarkEnd w:id="198"/>
    <w:bookmarkStart w:id="199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199"/>
    <w:bookmarkEnd w:id="200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115" Type="http://schemas.openxmlformats.org/officeDocument/2006/relationships/image" Target="media/rId115.png"/><Relationship Id="rId10" Type="http://schemas.openxmlformats.org/officeDocument/2006/relationships/image" Target="media/rId10.png"/><Relationship Id="rId105" Type="http://schemas.openxmlformats.org/officeDocument/2006/relationships/image" Target="media/rId105.png"/><Relationship Id="rId192" Type="http://schemas.openxmlformats.org/officeDocument/2006/relationships/image" Target="media/rId192.png"/><Relationship Id="rId132" Type="http://schemas.openxmlformats.org/officeDocument/2006/relationships/image" Target="media/rId132.png"/><Relationship Id="rId136" Type="http://schemas.openxmlformats.org/officeDocument/2006/relationships/image" Target="media/rId136.png"/><Relationship Id="rId95" Type="http://schemas.openxmlformats.org/officeDocument/2006/relationships/image" Target="media/rId95.png"/><Relationship Id="rId140" Type="http://schemas.openxmlformats.org/officeDocument/2006/relationships/image" Target="media/rId140.png"/><Relationship Id="rId28" Type="http://schemas.openxmlformats.org/officeDocument/2006/relationships/image" Target="media/rId28.png"/><Relationship Id="rId188" Type="http://schemas.openxmlformats.org/officeDocument/2006/relationships/image" Target="media/rId188.png"/><Relationship Id="rId171" Type="http://schemas.openxmlformats.org/officeDocument/2006/relationships/image" Target="media/rId171.png"/><Relationship Id="rId86" Type="http://schemas.openxmlformats.org/officeDocument/2006/relationships/image" Target="media/rId86.png"/><Relationship Id="rId100" Type="http://schemas.openxmlformats.org/officeDocument/2006/relationships/image" Target="media/rId100.png"/><Relationship Id="rId167" Type="http://schemas.openxmlformats.org/officeDocument/2006/relationships/image" Target="media/rId167.png"/><Relationship Id="rId76" Type="http://schemas.openxmlformats.org/officeDocument/2006/relationships/image" Target="media/rId76.png"/><Relationship Id="rId153" Type="http://schemas.openxmlformats.org/officeDocument/2006/relationships/image" Target="media/rId153.png"/><Relationship Id="rId144" Type="http://schemas.openxmlformats.org/officeDocument/2006/relationships/image" Target="media/rId144.png"/><Relationship Id="rId110" Type="http://schemas.openxmlformats.org/officeDocument/2006/relationships/image" Target="media/rId110.png"/><Relationship Id="rId184" Type="http://schemas.openxmlformats.org/officeDocument/2006/relationships/image" Target="media/rId184.png"/><Relationship Id="rId72" Type="http://schemas.openxmlformats.org/officeDocument/2006/relationships/image" Target="media/rId72.png"/><Relationship Id="rId127" Type="http://schemas.openxmlformats.org/officeDocument/2006/relationships/image" Target="media/rId127.png"/><Relationship Id="rId47" Type="http://schemas.openxmlformats.org/officeDocument/2006/relationships/image" Target="media/rId47.png"/><Relationship Id="rId39" Type="http://schemas.openxmlformats.org/officeDocument/2006/relationships/image" Target="media/rId39.png"/><Relationship Id="rId163" Type="http://schemas.openxmlformats.org/officeDocument/2006/relationships/image" Target="media/rId163.png"/><Relationship Id="rId120" Type="http://schemas.openxmlformats.org/officeDocument/2006/relationships/image" Target="media/rId120.png"/><Relationship Id="rId42" Type="http://schemas.openxmlformats.org/officeDocument/2006/relationships/image" Target="media/rId42.png"/><Relationship Id="rId147" Type="http://schemas.openxmlformats.org/officeDocument/2006/relationships/image" Target="media/rId14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b5d4c59af0beeb5819943b4eff07ed351552a5a49c31344822ac2198267e5eb5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