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1e5560df37a6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749"/>
        <w:gridCol w:w="3322"/>
      </w:tblGrid>
      <w:tr>
        <w:trPr>
          <w:tblHeader w:val="on"/>
        </w:trPr>
        <w:tc>
          <w:tcPr>
            <w:tcW w:type="dxa" w:w="5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37.7%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37.7%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34.7%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43.3%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43.3%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5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33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</w:t>
            </w:r>
          </w:p>
        </w:tc>
      </w:tr>
    </w:tbl>
    <w:p>
      <w:pPr>
        <w:pStyle w:val="BodyText"/>
      </w:pPr>
      <w:r>
        <w:t xml:space="preserve">1004곡 전수 · 2026-10-20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두 출처 다</w:t>
      </w:r>
      <w:r>
        <w:t xml:space="preserve"> </w:t>
      </w:r>
      <w:r>
        <w:rPr>
          <w:b/>
          <w:bCs/>
        </w:rPr>
        <w:t xml:space="preserve">등가선과 같다</w:t>
      </w:r>
      <w:r>
        <w:t xml:space="preserve"> </w:t>
      </w:r>
      <w:r>
        <w:t xml:space="preserve">— 대비가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-0.0005 ±0.0083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-0.0004 ±0.0085로 표준오차 안이다.</w:t>
      </w:r>
      <w:r>
        <w:t xml:space="preserve"> </w:t>
      </w:r>
      <w:r>
        <w:rPr>
          <w:b/>
          <w:bCs/>
        </w:rPr>
        <w:t xml:space="preserve">곡 고유성은 다이어토닉과 대등하다.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8"/>
        <w:gridCol w:w="1429"/>
        <w:gridCol w:w="6674"/>
      </w:tblGrid>
      <w:tr>
        <w:trPr>
          <w:tblHeader w:val="on"/>
        </w:trPr>
        <w:tc>
          <w:tcPr>
            <w:tcW w:type="dxa" w:w="9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(D-0449). 실측과 등가선이 두 출처 다 같아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1e5560df37a61942969e03bddf43788f0d784f426253c6b00eecd67a08c5f6c1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