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a5b7411e4e3f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469건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1"/>
        <w:gridCol w:w="950"/>
        <w:gridCol w:w="6900"/>
      </w:tblGrid>
      <w:tr>
        <w:trPr>
          <w:tblHeader w:val="on"/>
        </w:trPr>
        <w:tc>
          <w:tcPr>
            <w:tcW w:type="dxa" w:w="12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8"/>
        <w:gridCol w:w="1325"/>
        <w:gridCol w:w="6818"/>
      </w:tblGrid>
      <w:tr>
        <w:trPr>
          <w:tblHeader w:val="on"/>
        </w:trPr>
        <w:tc>
          <w:tcPr>
            <w:tcW w:type="dxa" w:w="9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8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매칭 쌍 502(적용 범위 1004곡 전수)에서 다시 쟀다 (D-0469)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이득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+0.0085 ±0.0031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+2.74 · 승률 53.8%</w:t>
            </w:r>
            <w:r>
              <w:rPr>
                <w:sz w:val="16"/>
              </w:rPr>
              <w:t xml:space="preserve">로 화면 판정이 「더 가른다」로 뒤집혔다.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그 판정을 안 받는다</w:t>
            </w:r>
            <w:r>
              <w:rPr>
                <w:sz w:val="16"/>
              </w:rPr>
              <w:t xml:space="preserve">: 두 수의 차이가 +0.0042 ±0.0044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+0.96으로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서로 안 어긋나고</w:t>
            </w:r>
            <w:r>
              <w:rPr>
                <w:sz w:val="16"/>
              </w:rPr>
              <w:t xml:space="preserve">(같은 양을 두 번 잰 것이다), 승률은 오히려 55.5% → 53.8%로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반대로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움직였으며, 문턱이 요구하는 +0.0062가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두 수 사이에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있다. 쌍이 400→502로 늘었는데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1.000배로 안 줄었다</w:t>
            </w:r>
            <w:r>
              <w:rPr>
                <w:sz w:val="16"/>
              </w:rPr>
              <w:t xml:space="preserve">(M5는 0.808배) — 덮는 곡이 566에서 1004로 늘며 분산도 같이 늘었다.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매칭을 K벌 평균하면 통과시킬 수 있으나 그것은 유의성을 제조하는 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문턱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t&gt;=2</w:t>
            </w:r>
            <w:r>
              <w:rPr>
                <w:sz w:val="16"/>
              </w:rPr>
              <w:t xml:space="preserve">는 코퍼스를 여럿 만들어 오경보 4%를 재서 고른 값인데 서가는 하나다 (O-84 · D-0464).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8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a5b7411e4e3f9523c235d4b71ee99c431b6a8f9354ddcc78777b804dc4327bf9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