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72"/>
          <w:szCs w:val="72"/>
        </w:rPr>
        <w:t xml:space="preserve">thoth</w:t>
      </w:r>
    </w:p>
    <w:p>
      <w:pPr>
        <w:spacing w:after="400"/>
        <w:jc w:val="center"/>
      </w:pPr>
      <w:r>
        <w:rPr>
          <w:rFonts w:ascii="맑은 고딕" w:cs="맑은 고딕" w:eastAsia="맑은 고딕" w:hAnsi="맑은 고딕"/>
          <w:sz w:val="32"/>
          <w:szCs w:val="32"/>
        </w:rPr>
        <w:t xml:space="preserve">영어 자격증 문제 화면 번역 확장 · 기획서</w:t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화면에 이미 떠 있는 문제만 읽어, 시험에 나올 용어는 영어로 남긴 채 한글로 겹쳐 보여준다</w:t>
      </w:r>
    </w:p>
    <w:p>
      <w:pPr>
        <w:spacing w:before="24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69"/>
      </w:tblGrid>
      <w:tr>
        <w:trPr>
          <w:tblHeader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67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작성</w:t>
            </w:r>
          </w:p>
        </w:tc>
        <w:tc>
          <w:tcPr>
            <w:tcW w:type="dxa" w:w="67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오창준 (CleverAIFox)</w:t>
            </w:r>
          </w:p>
        </w:tc>
      </w:tr>
      <w:t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판</w:t>
            </w:r>
          </w:p>
        </w:tc>
        <w:tc>
          <w:tcPr>
            <w:tcW w:type="dxa" w:w="67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1.0 · 2026-09-22</w:t>
            </w:r>
          </w:p>
        </w:tc>
      </w:tr>
      <w:t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저장소</w:t>
            </w:r>
          </w:p>
        </w:tc>
        <w:tc>
          <w:tcPr>
            <w:tcW w:type="dxa" w:w="67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github.com/CleverAIFox/thoth (공개)</w:t>
            </w:r>
          </w:p>
        </w:tc>
      </w:tr>
      <w:t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배포본</w:t>
            </w:r>
          </w:p>
        </w:tc>
        <w:tc>
          <w:tcPr>
            <w:tcW w:type="dxa" w:w="67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v0.1.6 — AWS Lambda · Function URL · 서울 리전</w:t>
            </w:r>
          </w:p>
        </w:tc>
      </w:tr>
      <w:t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상태</w:t>
            </w:r>
          </w:p>
        </w:tc>
        <w:tc>
          <w:tcPr>
            <w:tcW w:type="dxa" w:w="67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껍데기 완결 · 번역 엔진 교체 대기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4E79"/>
          <w:sz w:val="28"/>
          <w:szCs w:val="28"/>
        </w:rPr>
        <w:t xml:space="preserve">목차</w:t>
      </w:r>
    </w:p>
    <w:p>
      <w:pPr>
        <w:spacing w:after="140"/>
        <w:ind w:left="300"/>
      </w:pPr>
      <w:r>
        <w:rPr>
          <w:rFonts w:ascii="맑은 고딕" w:cs="맑은 고딕" w:eastAsia="맑은 고딕" w:hAnsi="맑은 고딕"/>
          <w:sz w:val="23"/>
          <w:szCs w:val="23"/>
        </w:rPr>
        <w:t xml:space="preserve">1. 프로젝트 개요</w:t>
      </w:r>
    </w:p>
    <w:p>
      <w:pPr>
        <w:spacing w:after="140"/>
        <w:ind w:left="300"/>
      </w:pPr>
      <w:r>
        <w:rPr>
          <w:rFonts w:ascii="맑은 고딕" w:cs="맑은 고딕" w:eastAsia="맑은 고딕" w:hAnsi="맑은 고딕"/>
          <w:sz w:val="23"/>
          <w:szCs w:val="23"/>
        </w:rPr>
        <w:t xml:space="preserve">2. 아이디어 도출 과정</w:t>
      </w:r>
    </w:p>
    <w:p>
      <w:pPr>
        <w:spacing w:after="140"/>
        <w:ind w:left="300"/>
      </w:pPr>
      <w:r>
        <w:rPr>
          <w:rFonts w:ascii="맑은 고딕" w:cs="맑은 고딕" w:eastAsia="맑은 고딕" w:hAnsi="맑은 고딕"/>
          <w:sz w:val="23"/>
          <w:szCs w:val="23"/>
        </w:rPr>
        <w:t xml:space="preserve">3. 유사 서비스 분석</w:t>
      </w:r>
    </w:p>
    <w:p>
      <w:pPr>
        <w:spacing w:after="140"/>
        <w:ind w:left="300"/>
      </w:pPr>
      <w:r>
        <w:rPr>
          <w:rFonts w:ascii="맑은 고딕" w:cs="맑은 고딕" w:eastAsia="맑은 고딕" w:hAnsi="맑은 고딕"/>
          <w:sz w:val="23"/>
          <w:szCs w:val="23"/>
        </w:rPr>
        <w:t xml:space="preserve">4. 기능 요구사항</w:t>
      </w:r>
    </w:p>
    <w:p>
      <w:pPr>
        <w:spacing w:after="140"/>
        <w:ind w:left="300"/>
      </w:pPr>
      <w:r>
        <w:rPr>
          <w:rFonts w:ascii="맑은 고딕" w:cs="맑은 고딕" w:eastAsia="맑은 고딕" w:hAnsi="맑은 고딕"/>
          <w:sz w:val="23"/>
          <w:szCs w:val="23"/>
        </w:rPr>
        <w:t xml:space="preserve">5. 비기능 요구사항</w:t>
      </w:r>
    </w:p>
    <w:p>
      <w:pPr>
        <w:spacing w:after="140"/>
        <w:ind w:left="300"/>
      </w:pPr>
      <w:r>
        <w:rPr>
          <w:rFonts w:ascii="맑은 고딕" w:cs="맑은 고딕" w:eastAsia="맑은 고딕" w:hAnsi="맑은 고딕"/>
          <w:sz w:val="23"/>
          <w:szCs w:val="23"/>
        </w:rPr>
        <w:t xml:space="preserve">6. 설계</w:t>
      </w:r>
    </w:p>
    <w:p>
      <w:pPr>
        <w:spacing w:after="140"/>
        <w:ind w:left="300"/>
      </w:pPr>
      <w:r>
        <w:rPr>
          <w:rFonts w:ascii="맑은 고딕" w:cs="맑은 고딕" w:eastAsia="맑은 고딕" w:hAnsi="맑은 고딕"/>
          <w:sz w:val="23"/>
          <w:szCs w:val="23"/>
        </w:rPr>
        <w:t xml:space="preserve">7. 평가 설계</w:t>
      </w:r>
    </w:p>
    <w:p>
      <w:pPr>
        <w:spacing w:after="140"/>
        <w:ind w:left="300"/>
      </w:pPr>
      <w:r>
        <w:rPr>
          <w:rFonts w:ascii="맑은 고딕" w:cs="맑은 고딕" w:eastAsia="맑은 고딕" w:hAnsi="맑은 고딕"/>
          <w:sz w:val="23"/>
          <w:szCs w:val="23"/>
        </w:rPr>
        <w:t xml:space="preserve">8. 개발 환경 및 배포</w:t>
      </w:r>
    </w:p>
    <w:p>
      <w:pPr>
        <w:spacing w:after="140"/>
        <w:ind w:left="300"/>
      </w:pPr>
      <w:r>
        <w:rPr>
          <w:rFonts w:ascii="맑은 고딕" w:cs="맑은 고딕" w:eastAsia="맑은 고딕" w:hAnsi="맑은 고딕"/>
          <w:sz w:val="23"/>
          <w:szCs w:val="23"/>
        </w:rPr>
        <w:t xml:space="preserve">9. 실측 결과</w:t>
      </w:r>
    </w:p>
    <w:p>
      <w:pPr>
        <w:spacing w:after="140"/>
        <w:ind w:left="300"/>
      </w:pPr>
      <w:r>
        <w:rPr>
          <w:rFonts w:ascii="맑은 고딕" w:cs="맑은 고딕" w:eastAsia="맑은 고딕" w:hAnsi="맑은 고딕"/>
          <w:sz w:val="23"/>
          <w:szCs w:val="23"/>
        </w:rPr>
        <w:t xml:space="preserve">10. 한계와 후속</w:t>
      </w:r>
    </w:p>
    <w:p>
      <w:pPr>
        <w:spacing w:after="140"/>
        <w:ind w:left="300"/>
      </w:pPr>
      <w:r>
        <w:rPr>
          <w:rFonts w:ascii="맑은 고딕" w:cs="맑은 고딕" w:eastAsia="맑은 고딕" w:hAnsi="맑은 고딕"/>
          <w:sz w:val="23"/>
          <w:szCs w:val="23"/>
        </w:rPr>
        <w:t xml:space="preserve">11. 산출물 목록</w:t>
      </w:r>
    </w:p>
    <w:p>
      <w:pPr>
        <w:spacing w:after="140"/>
        <w:ind w:left="300"/>
      </w:pPr>
      <w:r>
        <w:rPr>
          <w:rFonts w:ascii="맑은 고딕" w:cs="맑은 고딕" w:eastAsia="맑은 고딕" w:hAnsi="맑은 고딕"/>
          <w:sz w:val="23"/>
          <w:szCs w:val="23"/>
        </w:rPr>
        <w:t xml:space="preserve">12. 갱신 이력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1. 프로젝트 개요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1-1. 한 줄 정의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thoth 는 영어 학습 사이트의 문항을 사용자 브라우저에 이미 렌더된 상태 그대로 읽어 한글 번역을 겹쳐 보여주는 크롬 확장과 번역 백엔드다.</w:t>
      </w:r>
      <w:r>
        <w:rPr>
          <w:rFonts w:ascii="맑은 고딕" w:cs="맑은 고딕" w:eastAsia="맑은 고딕" w:hAnsi="맑은 고딕"/>
          <w:sz w:val="21"/>
          <w:szCs w:val="21"/>
        </w:rPr>
        <w:t xml:space="preserve"> 이름은 문자와 언어의 신 토트에서 왔다.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1-2. 배경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AWS Certified Data Engineer(DEA-C01) 연습 시험은 영어로만 제공된다. 기존 번역 도구를 그대로 쓰면 세 가지가 어긋난다.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시험 용어가 한글로 바뀐다.</w:t>
      </w:r>
      <w:r>
        <w:rPr>
          <w:rFonts w:ascii="맑은 고딕" w:cs="맑은 고딕" w:eastAsia="맑은 고딕" w:hAnsi="맑은 고딕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Kinesis Data Streams</w:t>
      </w:r>
      <w:r>
        <w:rPr>
          <w:rFonts w:ascii="맑은 고딕" w:cs="맑은 고딕" w:eastAsia="맑은 고딕" w:hAnsi="맑은 고딕"/>
          <w:sz w:val="21"/>
          <w:szCs w:val="21"/>
        </w:rPr>
        <w:t xml:space="preserve"> 가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Kinesis 데이터 스트림</w:t>
      </w:r>
      <w:r>
        <w:rPr>
          <w:rFonts w:ascii="맑은 고딕" w:cs="맑은 고딕" w:eastAsia="맑은 고딕" w:hAnsi="맑은 고딕"/>
          <w:sz w:val="21"/>
          <w:szCs w:val="21"/>
        </w:rPr>
        <w:t xml:space="preserve"> 이 되면 시험에 영어로 나올 이름을 한글로 외우게 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문제의 구조를 모른다.</w:t>
      </w:r>
      <w:r>
        <w:rPr>
          <w:rFonts w:ascii="맑은 고딕" w:cs="맑은 고딕" w:eastAsia="맑은 고딕" w:hAnsi="맑은 고딕"/>
          <w:sz w:val="21"/>
          <w:szCs w:val="21"/>
        </w:rPr>
        <w:t xml:space="preserve"> 지문과 보기가 따로 번역되어 같은 용어가 보기마다 다르게 나온다.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정답을 지어낸다.</w:t>
      </w:r>
      <w:r>
        <w:rPr>
          <w:rFonts w:ascii="맑은 고딕" w:cs="맑은 고딕" w:eastAsia="맑은 고딕" w:hAnsi="맑은 고딕"/>
          <w:sz w:val="21"/>
          <w:szCs w:val="21"/>
        </w:rPr>
        <w:t xml:space="preserve"> LLM 번역기가 긴 지문을 번역한 뒤 스스로 답을 이어 붙인다. 문제 풀이 도구에서는 정답 누설이고, 지어낸 답이 틀리기까지 한다.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1-3. 목표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6"/>
        <w:gridCol w:w="3009"/>
        <w:gridCol w:w="4011"/>
      </w:tblGrid>
      <w:tr>
        <w:trPr>
          <w:tblHeader/>
        </w:trPr>
        <w:tc>
          <w:tcPr>
            <w:tcW w:type="dxa" w:w="20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목표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지표</w:t>
            </w:r>
          </w:p>
        </w:tc>
        <w:tc>
          <w:tcPr>
            <w:tcW w:type="dxa" w:w="40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현재</w:t>
            </w:r>
          </w:p>
        </w:tc>
      </w:tr>
      <w:tr>
        <w:tc>
          <w:tcPr>
            <w:tcW w:type="dxa" w:w="20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용어 보존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골든셋 등재 용어 위반</w:t>
            </w:r>
          </w:p>
        </w:tc>
        <w:tc>
          <w:tcPr>
            <w:tcW w:type="dxa" w:w="40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45유닛 중 위반 4 (환각 · 문체 위반 0)</w:t>
            </w:r>
          </w:p>
        </w:tc>
      </w:tr>
      <w:tr>
        <w:tc>
          <w:tcPr>
            <w:tcW w:type="dxa" w:w="20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체감 지연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문항 하나 번역 시간</w:t>
            </w:r>
          </w:p>
        </w:tc>
        <w:tc>
          <w:tcPr>
            <w:tcW w:type="dxa" w:w="40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5.3초 (호스팅) · 80.7초 (로컬)</w:t>
            </w:r>
          </w:p>
        </w:tc>
      </w:tr>
      <w:tr>
        <w:tc>
          <w:tcPr>
            <w:tcW w:type="dxa" w:w="20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운영 비용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골든셋 한 판 · 월 상한</w:t>
            </w:r>
          </w:p>
        </w:tc>
        <w:tc>
          <w:tcPr>
            <w:tcW w:type="dxa" w:w="40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$0.00293 · $0.59</w:t>
            </w:r>
          </w:p>
        </w:tc>
      </w:tr>
      <w:tr>
        <w:tc>
          <w:tcPr>
            <w:tcW w:type="dxa" w:w="20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저작권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배포물에 원문 · 번역 사전이 있는가</w:t>
            </w:r>
          </w:p>
        </w:tc>
        <w:tc>
          <w:tcPr>
            <w:tcW w:type="dxa" w:w="40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없다 — 사용자 화면의 DOM 만 읽는다</w:t>
            </w:r>
          </w:p>
        </w:tc>
      </w:tr>
      <w:tr>
        <w:tc>
          <w:tcPr>
            <w:tcW w:type="dxa" w:w="20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범용성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어댑터 없는 사이트에서 동작하는가</w:t>
            </w:r>
          </w:p>
        </w:tc>
        <w:tc>
          <w:tcPr>
            <w:tcW w:type="dxa" w:w="40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제네릭 계층이 항상 동작한다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1-4. 현재 상태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확장 · 워커 · 배포 · 쌍 로그까지 섰고 Udemy 실사이트에서 돈다.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번역 엔진은 갈아끼우는 자리(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ENGINE=http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)가 열려 있다.</w:t>
      </w:r>
      <w:r>
        <w:rPr>
          <w:rFonts w:ascii="맑은 고딕" w:cs="맑은 고딕" w:eastAsia="맑은 고딕" w:hAnsi="맑은 고딕"/>
          <w:sz w:val="21"/>
          <w:szCs w:val="21"/>
        </w:rPr>
        <w:t xml:space="preserve"> 이 저장소의 목표는 껍데기를 완성하는 것이고, 영한 번역 모델은 별도 저장소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seshat</w:t>
      </w:r>
      <w:r>
        <w:rPr>
          <w:rFonts w:ascii="맑은 고딕" w:cs="맑은 고딕" w:eastAsia="맑은 고딕" w:hAnsi="맑은 고딕"/>
          <w:sz w:val="21"/>
          <w:szCs w:val="21"/>
        </w:rPr>
        <w:t xml:space="preserve">(비공개)이 사전학습 모델을 좁혀 만든다. 모델이 준비되면 설정값 한 줄로 끼운다.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2. 아이디어 도출 과정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2-1. 스크래핑을 버린다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선행 저장소는 사이트를 수집해 번역 사전을 만드는 방식이었고 저작권과 이용약관 때문에 폐기됐다. thoth 는 방향을 뒤집었다 —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원문을 공급하는 것은 저장소가 아니라 사용자 본인의 브라우저다.</w:t>
      </w:r>
      <w:r>
        <w:rPr>
          <w:rFonts w:ascii="맑은 고딕" w:cs="맑은 고딕" w:eastAsia="맑은 고딕" w:hAnsi="맑은 고딕"/>
          <w:sz w:val="21"/>
          <w:szCs w:val="21"/>
        </w:rPr>
        <w:t xml:space="preserve"> 번역 결과는 서버 캐시에 남는 파생물이고 배포되지 않는다.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1"/>
      </w:tblGrid>
      <w:tr>
        <w:trPr>
          <w:tblHeader/>
        </w:trP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흔한 방식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thoth</w:t>
            </w:r>
          </w:p>
        </w:tc>
      </w:tr>
      <w:t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수집</w:t>
            </w: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사이트를 스크래핑해 문항을 모은다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사용자 화면의 DOM 만 읽는다</w:t>
            </w:r>
          </w:p>
        </w:tc>
      </w:tr>
      <w:t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번역 시점</w:t>
            </w: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전량을 미리 번역해 배포한다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본 것만, 한 번만</w:t>
            </w:r>
          </w:p>
        </w:tc>
      </w:tr>
      <w:t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배포물</w:t>
            </w: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번역된 원문 사전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없다</w:t>
            </w:r>
          </w:p>
        </w:tc>
      </w:tr>
      <w:t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사이트 대응</w:t>
            </w: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대상 사이트 전용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제네릭 폴백 + 사이트 어댑터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2-2. 번역기를 고르는 과정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AWS Translate</w:t>
      </w:r>
      <w:r>
        <w:rPr>
          <w:rFonts w:ascii="맑은 고딕" w:cs="맑은 고딕" w:eastAsia="맑은 고딕" w:hAnsi="맑은 고딕"/>
          <w:sz w:val="21"/>
          <w:szCs w:val="21"/>
        </w:rPr>
        <w:t xml:space="preserve"> — 빠르지만 용어 지시를 따를 수단이 AWS 전용 Custom Terminology 뿐이다. 엔진을 바꾸면 이식되지 않아 비교 대상으로만 남겼다.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로컬 LLM(EXAONE 3.5 7.8B · GTX 1660 Ti)</w:t>
      </w:r>
      <w:r>
        <w:rPr>
          <w:rFonts w:ascii="맑은 고딕" w:cs="맑은 고딕" w:eastAsia="맑은 고딕" w:hAnsi="맑은 고딕"/>
          <w:sz w:val="21"/>
          <w:szCs w:val="21"/>
        </w:rPr>
        <w:t xml:space="preserve"> — 품질은 충분했으나 문항 하나에 80.7초다. VRAM 6GB 에 7.8B 모델이라 온전히 GPU 에 올라가지 않고, 처리율이 하드웨어 천장이라 코드로 줄일 수 없었다.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호스팅 LLM(Bedrock Nova Lite)</w:t>
      </w:r>
      <w:r>
        <w:rPr>
          <w:rFonts w:ascii="맑은 고딕" w:cs="맑은 고딕" w:eastAsia="맑은 고딕" w:hAnsi="맑은 고딕"/>
          <w:sz w:val="21"/>
          <w:szCs w:val="21"/>
        </w:rPr>
        <w:t xml:space="preserve"> — 같은 프롬프트 · 후처리로 문항당 5.3초, 위반 유닛 동수. 배포본 엔진으로 정했다.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세 엔진 모두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같은 프롬프트 · 용어집 · 배치 규약 · 후처리</w:t>
      </w:r>
      <w:r>
        <w:rPr>
          <w:rFonts w:ascii="맑은 고딕" w:cs="맑은 고딕" w:eastAsia="맑은 고딕" w:hAnsi="맑은 고딕"/>
          <w:sz w:val="21"/>
          <w:szCs w:val="21"/>
        </w:rPr>
        <w:t xml:space="preserve">를 타도록 설계했다. 그래서 골든셋 결과가 같은 기준으로 비교된다.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2-3. 규칙보다 자를 먼저 세운다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후처리 규칙을 고칠 때마다 다른 항목이 깨졌다. 용어집 한 줄을 고치자 관계없는 유닛에서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producer</w:t>
      </w:r>
      <w:r>
        <w:rPr>
          <w:rFonts w:ascii="맑은 고딕" w:cs="맑은 고딕" w:eastAsia="맑은 고딕" w:hAnsi="맑은 고딕"/>
          <w:sz w:val="21"/>
          <w:szCs w:val="21"/>
        </w:rPr>
        <w:t xml:space="preserve"> 가 오타로 나왔고, 의문형 어미를 고치는 규칙이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할까요 → 할습니까</w:t>
      </w:r>
      <w:r>
        <w:rPr>
          <w:rFonts w:ascii="맑은 고딕" w:cs="맑은 고딕" w:eastAsia="맑은 고딕" w:hAnsi="맑은 고딕"/>
          <w:sz w:val="21"/>
          <w:szCs w:val="21"/>
        </w:rPr>
        <w:t xml:space="preserve"> 라는 비문을 만들었다. 그래서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고치기 전에 재는 자(골든셋 · 어미 코퍼스 · 픽스처)를 먼저 세우는 것</w:t>
      </w:r>
      <w:r>
        <w:rPr>
          <w:rFonts w:ascii="맑은 고딕" w:cs="맑은 고딕" w:eastAsia="맑은 고딕" w:hAnsi="맑은 고딕"/>
          <w:sz w:val="21"/>
          <w:szCs w:val="21"/>
        </w:rPr>
        <w:t xml:space="preserve">이 이 프로젝트의 작업 순서가 됐다.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3. 유사 서비스 분석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유사 도구를 방식별로 나눠 비교한다. 특정 제품의 세부 사양은 바뀌므로 방식의 성질만 적는다.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93"/>
        <w:gridCol w:w="1593"/>
        <w:gridCol w:w="1593"/>
        <w:gridCol w:w="1593"/>
        <w:gridCol w:w="1593"/>
        <w:gridCol w:w="1061"/>
      </w:tblGrid>
      <w:tr>
        <w:trPr>
          <w:tblHeader/>
        </w:trPr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방식</w:t>
            </w:r>
          </w:p>
        </w:tc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용어 보존</w:t>
            </w:r>
          </w:p>
        </w:tc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문제 구조 인식</w:t>
            </w:r>
          </w:p>
        </w:tc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정답 누설 차단</w:t>
            </w:r>
          </w:p>
        </w:tc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비용 부담</w:t>
            </w:r>
          </w:p>
        </w:tc>
        <w:tc>
          <w:tcPr>
            <w:tcW w:type="dxa" w:w="10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저작권 위험</w:t>
            </w:r>
          </w:p>
        </w:tc>
      </w:tr>
      <w:tr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브라우저 내장 페이지 번역</w:t>
            </w:r>
          </w:p>
        </w:tc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없음</w:t>
            </w:r>
          </w:p>
        </w:tc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없음</w:t>
            </w:r>
          </w:p>
        </w:tc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해당 없음(NMT)</w:t>
            </w:r>
          </w:p>
        </w:tc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무료</w:t>
            </w:r>
          </w:p>
        </w:tc>
        <w:tc>
          <w:tcPr>
            <w:tcW w:type="dxa" w:w="10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낮음</w:t>
            </w:r>
          </w:p>
        </w:tc>
      </w:tr>
      <w:tr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이중 언어 표시 번역 확장</w:t>
            </w:r>
          </w:p>
        </w:tc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사용자 사전 수준</w:t>
            </w:r>
          </w:p>
        </w:tc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문단 단위</w:t>
            </w:r>
          </w:p>
        </w:tc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LLM 모드에서 없음</w:t>
            </w:r>
          </w:p>
        </w:tc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사용자 API 키 · 구독</w:t>
            </w:r>
          </w:p>
        </w:tc>
        <w:tc>
          <w:tcPr>
            <w:tcW w:type="dxa" w:w="10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낮음</w:t>
            </w:r>
          </w:p>
        </w:tc>
      </w:tr>
      <w:tr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문장 선택 번역 확장</w:t>
            </w:r>
          </w:p>
        </w:tc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없음</w:t>
            </w:r>
          </w:p>
        </w:tc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없음</w:t>
            </w:r>
          </w:p>
        </w:tc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해당 없음</w:t>
            </w:r>
          </w:p>
        </w:tc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무료 · 구독</w:t>
            </w:r>
          </w:p>
        </w:tc>
        <w:tc>
          <w:tcPr>
            <w:tcW w:type="dxa" w:w="10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낮음</w:t>
            </w:r>
          </w:p>
        </w:tc>
      </w:tr>
      <w:tr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문제 은행 번역본 배포</w:t>
            </w:r>
          </w:p>
        </w:tc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편집자 수준</w:t>
            </w:r>
          </w:p>
        </w:tc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있음</w:t>
            </w:r>
          </w:p>
        </w:tc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구매</w:t>
            </w:r>
          </w:p>
        </w:tc>
        <w:tc>
          <w:tcPr>
            <w:tcW w:type="dxa" w:w="10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높음</w:t>
            </w:r>
          </w:p>
        </w:tc>
      </w:tr>
      <w:tr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thoth</w:t>
            </w:r>
          </w:p>
        </w:tc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보편 규칙 + 도메인 용어집 · 검사로 강제</w:t>
            </w:r>
          </w:p>
        </w:tc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문제 · 보기 그룹 · 배치 번역</w:t>
            </w:r>
          </w:p>
        </w:tc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후처리로 차단 · 골든셋 0</w:t>
            </w:r>
          </w:p>
        </w:tc>
        <w:tc>
          <w:tcPr>
            <w:tcW w:type="dxa" w:w="159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배포자 부담 · 사용자 0</w:t>
            </w:r>
          </w:p>
        </w:tc>
        <w:tc>
          <w:tcPr>
            <w:tcW w:type="dxa" w:w="10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낮음 — 배포물 없음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차별점은 셋이다.</w:t>
      </w:r>
      <w:r>
        <w:rPr>
          <w:rFonts w:ascii="맑은 고딕" w:cs="맑은 고딕" w:eastAsia="맑은 고딕" w:hAnsi="맑은 고딕"/>
          <w:sz w:val="21"/>
          <w:szCs w:val="21"/>
        </w:rPr>
        <w:t xml:space="preserve"> 첫째, 용어 보존을 지시로만 두지 않고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측정 가능한 불변식</w:t>
      </w:r>
      <w:r>
        <w:rPr>
          <w:rFonts w:ascii="맑은 고딕" w:cs="맑은 고딕" w:eastAsia="맑은 고딕" w:hAnsi="맑은 고딕"/>
          <w:sz w:val="21"/>
          <w:szCs w:val="21"/>
        </w:rPr>
        <w:t xml:space="preserve">(골든셋의 등재 용어 위반 수)으로 잰다. 둘째, 사이트 어댑터가 문제와 보기를 한 묶음으로 보내 같은 용어가 한 화면 안에서 갈리지 않는다. 셋째, 사용자에게 API 키를 받지 않는다 — 비용은 배포자가 캐시 · 상한으로 막는다.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4. 기능 요구사항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9"/>
        <w:gridCol w:w="2777"/>
        <w:gridCol w:w="2777"/>
        <w:gridCol w:w="2083"/>
      </w:tblGrid>
      <w:tr>
        <w:trPr>
          <w:tblHeader/>
        </w:trPr>
        <w:tc>
          <w:tcPr>
            <w:tcW w:type="dxa" w:w="13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요구사항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구현</w:t>
            </w:r>
          </w:p>
        </w:tc>
        <w:tc>
          <w:tcPr>
            <w:tcW w:type="dxa" w:w="20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검증</w:t>
            </w:r>
          </w:p>
        </w:tc>
      </w:tr>
      <w:tr>
        <w:tc>
          <w:tcPr>
            <w:tcW w:type="dxa" w:w="13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REQ-EXT-01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사이트를 미리 등록하지 않는다. 사용자가 사이트마다 한 번 승인한다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· 팝업</w:t>
            </w:r>
          </w:p>
        </w:tc>
        <w:tc>
          <w:tcPr>
            <w:tcW w:type="dxa" w:w="20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확장 테스트 · 팝업 판정 순수 함수</w:t>
            </w:r>
          </w:p>
        </w:tc>
      </w:tr>
      <w:tr>
        <w:tc>
          <w:tcPr>
            <w:tcW w:type="dxa" w:w="13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REQ-EXT-02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번역 표시를 켜고 끈다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팝업 토글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Alt+K</w:t>
            </w:r>
          </w:p>
        </w:tc>
        <w:tc>
          <w:tcPr>
            <w:tcW w:type="dxa" w:w="20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확장 테스트</w:t>
            </w:r>
          </w:p>
        </w:tc>
      </w:tr>
      <w:tr>
        <w:tc>
          <w:tcPr>
            <w:tcW w:type="dxa" w:w="13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REQ-ADP-01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어댑터가 없는 사이트에서도 동작한다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3계층 — generic · standard · udemy</w:t>
            </w:r>
          </w:p>
        </w:tc>
        <w:tc>
          <w:tcPr>
            <w:tcW w:type="dxa" w:w="20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jsdom 하네스 · 픽스처</w:t>
            </w:r>
          </w:p>
        </w:tc>
      </w:tr>
      <w:tr>
        <w:tc>
          <w:tcPr>
            <w:tcW w:type="dxa" w:w="13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REQ-ADP-02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문제와 보기를 한 묶음으로 보낸다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ARIA 역할 · 라디오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그룹</w:t>
            </w:r>
          </w:p>
        </w:tc>
        <w:tc>
          <w:tcPr>
            <w:tcW w:type="dxa" w:w="20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radio.html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픽스처</w:t>
            </w:r>
          </w:p>
        </w:tc>
      </w:tr>
      <w:tr>
        <w:tc>
          <w:tcPr>
            <w:tcW w:type="dxa" w:w="13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REQ-ADP-03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사이트 DOM 이 바뀌면 어느 축이 깨졌는지 안다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관측 행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st:obs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· 셀렉터별 수</w:t>
            </w:r>
          </w:p>
        </w:tc>
        <w:tc>
          <w:tcPr>
            <w:tcW w:type="dxa" w:w="20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udemy.html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픽스처 6화면 자가 채점</w:t>
            </w:r>
          </w:p>
        </w:tc>
      </w:tr>
      <w:tr>
        <w:tc>
          <w:tcPr>
            <w:tcW w:type="dxa" w:w="13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REQ-BRK-01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요청을 묶고 실패하면 멈춘다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배치 3 · 429 · 502 · 타임아웃 halt</w:t>
            </w:r>
          </w:p>
        </w:tc>
        <w:tc>
          <w:tcPr>
            <w:tcW w:type="dxa" w:w="20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확장 테스트</w:t>
            </w:r>
          </w:p>
        </w:tc>
      </w:tr>
      <w:tr>
        <w:tc>
          <w:tcPr>
            <w:tcW w:type="dxa" w:w="13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REQ-UI-01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사이트 테마에 맞춘 번역 박스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테마 · 색 측정 · Pretendard · 로딩 뼈대</w:t>
            </w:r>
          </w:p>
        </w:tc>
        <w:tc>
          <w:tcPr>
            <w:tcW w:type="dxa" w:w="20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preview.html</w:t>
            </w:r>
          </w:p>
        </w:tc>
      </w:tr>
      <w:tr>
        <w:tc>
          <w:tcPr>
            <w:tcW w:type="dxa" w:w="13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REQ-WRK-01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로컬과 배포본이 같은 계약을 말한다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하나를 두 입구가 부른다</w:t>
            </w:r>
          </w:p>
        </w:tc>
        <w:tc>
          <w:tcPr>
            <w:tcW w:type="dxa" w:w="20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응답 바이트 대조 검사</w:t>
            </w:r>
          </w:p>
        </w:tc>
      </w:tr>
      <w:tr>
        <w:tc>
          <w:tcPr>
            <w:tcW w:type="dxa" w:w="13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REQ-CCH-01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같은 원문은 한 번만 번역한다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sha256(원문)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캐시 · DynamoDB · TTL</w:t>
            </w:r>
          </w:p>
        </w:tc>
        <w:tc>
          <w:tcPr>
            <w:tcW w:type="dxa" w:w="20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워커 테스트</w:t>
            </w:r>
          </w:p>
        </w:tc>
      </w:tr>
      <w:tr>
        <w:tc>
          <w:tcPr>
            <w:tcW w:type="dxa" w:w="13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REQ-GRD-01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 비용 상한을 넘지 않는다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 누적 문자 상한 · 조건부 원자 증가 · 번역 전 예약</w:t>
            </w:r>
          </w:p>
        </w:tc>
        <w:tc>
          <w:tcPr>
            <w:tcW w:type="dxa" w:w="20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워커 테스트</w:t>
            </w:r>
          </w:p>
        </w:tc>
      </w:tr>
      <w:tr>
        <w:tc>
          <w:tcPr>
            <w:tcW w:type="dxa" w:w="13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REQ-GLS-01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시험 용어를 지정 표기로 번역한다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원문에 나타난 용어 수로 용어집 선택 · 항등 항목</w:t>
            </w:r>
          </w:p>
        </w:tc>
        <w:tc>
          <w:tcPr>
            <w:tcW w:type="dxa" w:w="20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골든셋 term · keep 축</w:t>
            </w:r>
          </w:p>
        </w:tc>
      </w:tr>
      <w:tr>
        <w:tc>
          <w:tcPr>
            <w:tcW w:type="dxa" w:w="13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REQ-ENG-01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엔진을 설정으로 바꾼다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= echo · local · translate · bedrock · http</w:t>
            </w:r>
          </w:p>
        </w:tc>
        <w:tc>
          <w:tcPr>
            <w:tcW w:type="dxa" w:w="20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전검사 레지스트리 검사</w:t>
            </w:r>
          </w:p>
        </w:tc>
      </w:tr>
      <w:tr>
        <w:tc>
          <w:tcPr>
            <w:tcW w:type="dxa" w:w="13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REQ-ENG-02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자체 모델을 끼운다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GET /health</w:t>
            </w:r>
          </w:p>
        </w:tc>
        <w:tc>
          <w:tcPr>
            <w:tcW w:type="dxa" w:w="20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engine_conformance.py</w:t>
            </w:r>
          </w:p>
        </w:tc>
      </w:tr>
      <w:tr>
        <w:tc>
          <w:tcPr>
            <w:tcW w:type="dxa" w:w="13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REQ-PP-01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답 생성 · 마크다운 · 문체 이탈을 막는다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물음표 뒤 자르기 · 강조 제거 · 합쇼체 어미</w:t>
            </w:r>
          </w:p>
        </w:tc>
        <w:tc>
          <w:tcPr>
            <w:tcW w:type="dxa" w:w="20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골든셋 · 어미 코퍼스 톱니</w:t>
            </w:r>
          </w:p>
        </w:tc>
      </w:tr>
      <w:tr>
        <w:tc>
          <w:tcPr>
            <w:tcW w:type="dxa" w:w="13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REQ-LOG-01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학습용 쌍을 남긴다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stdout JSON → Firehose → S3 Parquet → Glue</w:t>
            </w:r>
          </w:p>
        </w:tc>
        <w:tc>
          <w:tcPr>
            <w:tcW w:type="dxa" w:w="20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· Athena</w:t>
            </w:r>
          </w:p>
        </w:tc>
      </w:tr>
      <w:tr>
        <w:tc>
          <w:tcPr>
            <w:tcW w:type="dxa" w:w="138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REQ-INF-01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태그 하나로 배포하고 승인을 거친다</w:t>
            </w:r>
          </w:p>
        </w:tc>
        <w:tc>
          <w:tcPr>
            <w:tcW w:type="dxa" w:w="277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GitHub Actions · OIDC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production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승인 · 드리프트 검사</w:t>
            </w:r>
          </w:p>
        </w:tc>
        <w:tc>
          <w:tcPr>
            <w:tcW w:type="dxa" w:w="208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배포 게이트 검사</w:t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5. 비기능 요구사항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1"/>
      </w:tblGrid>
      <w:tr>
        <w:trPr>
          <w:tblHeader/>
        </w:trP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분류</w:t>
            </w: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요구사항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근거 · 수치</w:t>
            </w:r>
          </w:p>
        </w:tc>
      </w:tr>
      <w:t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정확성</w:t>
            </w: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등재 용어 위반 · 환각 · 문체 이탈을 골든셋으로 잰다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45유닛 · 5문항 · 13,954자. 배포본 위반 4 · 환각 0 · 문체 0</w:t>
            </w:r>
          </w:p>
        </w:tc>
      </w:tr>
      <w:t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성능</w:t>
            </w: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문항 하나를 체감 지연 없이 번역한다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5.3초 (배치 3 · Nova Lite). 캐시 히트는 즉시</w:t>
            </w:r>
          </w:p>
        </w:tc>
      </w:tr>
      <w:t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비용</w:t>
            </w: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사용자에게 비용을 넘기지 않고 배포자 부담을 상한으로 막는다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골든셋 한 판 $0.00293 · 월 상한 200만 자 전부 $0.59</w:t>
            </w:r>
          </w:p>
        </w:tc>
      </w:tr>
      <w:t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보안</w:t>
            </w: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공개 저장소에 비밀값이 없다. 배포는 장기 키 없이 한다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gitleaks · OIDC 역할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· 승인 게이트</w:t>
            </w:r>
          </w:p>
        </w:tc>
      </w:tr>
      <w:t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저작권</w:t>
            </w: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원문을 재배포하지 않는다. 학습 쌍은 공개하지 않는다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배포물 없음 · 쌍은 비공개 S3 · 로컬 · 픽스처 쌍 제외</w:t>
            </w:r>
          </w:p>
        </w:tc>
      </w:tr>
      <w:t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재현성</w:t>
            </w: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측정 조건을 지문으로 묶는다. 낡은 값은 낡았다고 표시한다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프롬프트 지문 · 배치 기록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stale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표식</w:t>
            </w:r>
          </w:p>
        </w:tc>
      </w:tr>
      <w:t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운영성</w:t>
            </w: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규약은 사람의 기억이 아니라 검사가 지킨다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· 문서 강제자 · CI 가 같은 진입점을 부른다</w:t>
            </w:r>
          </w:p>
        </w:tc>
      </w:tr>
      <w:t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이식성</w:t>
            </w: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엔진 교체가 확장 · 계약을 바꾸지 않는다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계약 · 적합성 검사 · 되돌리기 한 줄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6. 설계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6-1. 아키텍처</w:t>
      </w:r>
    </w:p>
    <w:p>
      <w:pPr>
        <w:shd w:fill="F3F4F6" w:color="auto" w:val="clear"/>
        <w:spacing w:after="0" w:line="260"/>
      </w:pPr>
      <w:r>
        <w:rPr>
          <w:rFonts w:ascii="Consolas" w:cs="Consolas" w:eastAsia="Consolas" w:hAnsi="Consolas"/>
          <w:sz w:val="18"/>
          <w:szCs w:val="18"/>
        </w:rPr>
        <w:t xml:space="preserve">[브라우저 — 확장]</w:t>
      </w:r>
    </w:p>
    <w:p>
      <w:pPr>
        <w:shd w:fill="F3F4F6" w:color="auto" w:val="clear"/>
        <w:spacing w:after="0" w:line="260"/>
      </w:pPr>
      <w:r>
        <w:rPr>
          <w:rFonts w:ascii="Consolas" w:cs="Consolas" w:eastAsia="Consolas" w:hAnsi="Consolas"/>
          <w:sz w:val="18"/>
          <w:szCs w:val="18"/>
        </w:rPr>
        <w:t xml:space="preserve">  어댑터 (DOM 수집) → 브로커 (배치 3) → 클라이언트</w:t>
      </w:r>
    </w:p>
    <w:p>
      <w:pPr>
        <w:shd w:fill="F3F4F6" w:color="auto" w:val="clear"/>
        <w:spacing w:after="0" w:line="260"/>
      </w:pPr>
      <w:r>
        <w:rPr>
          <w:rFonts w:ascii="Consolas" w:cs="Consolas" w:eastAsia="Consolas" w:hAnsi="Consolas"/>
          <w:sz w:val="18"/>
          <w:szCs w:val="18"/>
        </w:rPr>
        <w:t xml:space="preserve">        │                                   │ POST /translate (+ X-Thoth-Token)</w:t>
      </w:r>
    </w:p>
    <w:p>
      <w:pPr>
        <w:shd w:fill="F3F4F6" w:color="auto" w:val="clear"/>
        <w:spacing w:after="0" w:line="260"/>
      </w:pPr>
      <w:r>
        <w:rPr>
          <w:rFonts w:ascii="Consolas" w:cs="Consolas" w:eastAsia="Consolas" w:hAnsi="Consolas"/>
          <w:sz w:val="18"/>
          <w:szCs w:val="18"/>
        </w:rPr>
        <w:t xml:space="preserve">        └────────── 번역 삽입 ◀─────────────┘</w:t>
      </w:r>
    </w:p>
    <w:p>
      <w:pPr>
        <w:shd w:fill="F3F4F6" w:color="auto" w:val="clear"/>
        <w:spacing w:after="0" w:line="260"/>
      </w:pPr>
      <w:r>
        <w:rPr>
          <w:rFonts w:ascii="Consolas" w:cs="Consolas" w:eastAsia="Consolas" w:hAnsi="Consolas"/>
          <w:sz w:val="18"/>
          <w:szCs w:val="18"/>
        </w:rPr>
        <w:t xml:space="preserve">[워커 — 로컬 FastAPI · 배포 Lambda + Function URL]</w:t>
      </w:r>
    </w:p>
    <w:p>
      <w:pPr>
        <w:shd w:fill="F3F4F6" w:color="auto" w:val="clear"/>
        <w:spacing w:after="0" w:line="260"/>
      </w:pPr>
      <w:r>
        <w:rPr>
          <w:rFonts w:ascii="Consolas" w:cs="Consolas" w:eastAsia="Consolas" w:hAnsi="Consolas"/>
          <w:sz w:val="18"/>
          <w:szCs w:val="18"/>
        </w:rPr>
        <w:t xml:space="preserve">  계약 → 캐시(DynamoDB) → 가드(월 상한) → 용어집 → 엔진 → 후처리</w:t>
      </w:r>
    </w:p>
    <w:p>
      <w:pPr>
        <w:shd w:fill="F3F4F6" w:color="auto" w:val="clear"/>
        <w:spacing w:after="0" w:line="26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  │</w:t>
      </w:r>
    </w:p>
    <w:p>
      <w:pPr>
        <w:shd w:fill="F3F4F6" w:color="auto" w:val="clear"/>
        <w:spacing w:after="0" w:line="260"/>
      </w:pPr>
      <w:r>
        <w:rPr>
          <w:rFonts w:ascii="Consolas" w:cs="Consolas" w:eastAsia="Consolas" w:hAnsi="Consolas"/>
          <w:sz w:val="18"/>
          <w:szCs w:val="18"/>
        </w:rPr>
        <w:t xml:space="preserve">        bedrock(Nova Lite) · http(자체 모델) · local · translate · echo</w:t>
      </w:r>
    </w:p>
    <w:p>
      <w:pPr>
        <w:shd w:fill="F3F4F6" w:color="auto" w:val="clear"/>
        <w:spacing w:after="0" w:line="260"/>
      </w:pPr>
      <w:r>
        <w:rPr>
          <w:rFonts w:ascii="Consolas" w:cs="Consolas" w:eastAsia="Consolas" w:hAnsi="Consolas"/>
          <w:sz w:val="18"/>
          <w:szCs w:val="18"/>
        </w:rPr>
        <w:t xml:space="preserve">[콜드패스 — 서빙 경로 밖]</w:t>
      </w:r>
    </w:p>
    <w:p>
      <w:pPr>
        <w:shd w:fill="F3F4F6" w:color="auto" w:val="clear"/>
        <w:spacing w:after="160" w:line="260"/>
      </w:pPr>
      <w:r>
        <w:rPr>
          <w:rFonts w:ascii="Consolas" w:cs="Consolas" w:eastAsia="Consolas" w:hAnsi="Consolas"/>
          <w:sz w:val="18"/>
          <w:szCs w:val="18"/>
        </w:rPr>
        <w:t xml:space="preserve">  stdout JSON → 구독 필터 → Firehose → S3 Parquet → Glue → Athena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한 방향으로만 흐른다.</w:t>
      </w:r>
      <w:r>
        <w:rPr>
          <w:rFonts w:ascii="맑은 고딕" w:cs="맑은 고딕" w:eastAsia="맑은 고딕" w:hAnsi="맑은 고딕"/>
          <w:sz w:val="21"/>
          <w:szCs w:val="21"/>
        </w:rPr>
        <w:t xml:space="preserve"> 캐시에서 끝나면 모델을 부르지 않는다 — 비용도 지연도 거기서 0 이다. 사이트 지식은 어댑터에만 있고 브로커 · 워커는 어떤 사이트인지 모른다.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6-2. 워커 계약</w:t>
      </w:r>
    </w:p>
    <w:p>
      <w:pPr>
        <w:shd w:fill="F3F4F6" w:color="auto" w:val="clear"/>
        <w:spacing w:after="0" w:line="260"/>
      </w:pPr>
      <w:r>
        <w:rPr>
          <w:rFonts w:ascii="Consolas" w:cs="Consolas" w:eastAsia="Consolas" w:hAnsi="Consolas"/>
          <w:sz w:val="18"/>
          <w:szCs w:val="18"/>
        </w:rPr>
        <w:t xml:space="preserve">POST /translate</w:t>
      </w:r>
    </w:p>
    <w:p>
      <w:pPr>
        <w:shd w:fill="F3F4F6" w:color="auto" w:val="clear"/>
        <w:spacing w:after="0" w:line="260"/>
      </w:pPr>
      <w:r>
        <w:rPr>
          <w:rFonts w:ascii="Consolas" w:cs="Consolas" w:eastAsia="Consolas" w:hAnsi="Consolas"/>
          <w:sz w:val="18"/>
          <w:szCs w:val="18"/>
        </w:rPr>
        <w:t xml:space="preserve">req : { "texts": [...], "target": "ko", "source": { "site": ..., "adapter": ... } }</w:t>
      </w:r>
    </w:p>
    <w:p>
      <w:pPr>
        <w:shd w:fill="F3F4F6" w:color="auto" w:val="clear"/>
        <w:spacing w:after="0" w:line="260"/>
      </w:pPr>
      <w:r>
        <w:rPr>
          <w:rFonts w:ascii="Consolas" w:cs="Consolas" w:eastAsia="Consolas" w:hAnsi="Consolas"/>
          <w:sz w:val="18"/>
          <w:szCs w:val="18"/>
        </w:rPr>
        <w:t xml:space="preserve">res : { "translations": [...], "cached": [bool, ...], "version": "..." }</w:t>
      </w:r>
    </w:p>
    <w:p>
      <w:pPr>
        <w:shd w:fill="F3F4F6" w:color="auto" w:val="clear"/>
        <w:spacing w:after="0" w:line="260"/>
      </w:pPr>
      <w:r>
        <w:rPr>
          <w:rFonts w:ascii="Consolas" w:cs="Consolas" w:eastAsia="Consolas" w:hAnsi="Consolas"/>
          <w:sz w:val="18"/>
          <w:szCs w:val="18"/>
        </w:rPr>
        <w:t xml:space="preserve">400 bad_request · 401 unauthorized · 413 too_long · 429 quota_exceeded</w:t>
      </w:r>
    </w:p>
    <w:p>
      <w:pPr>
        <w:shd w:fill="F3F4F6" w:color="auto" w:val="clear"/>
        <w:spacing w:after="160" w:line="260"/>
      </w:pPr>
      <w:r>
        <w:rPr>
          <w:rFonts w:ascii="Consolas" w:cs="Consolas" w:eastAsia="Consolas" w:hAnsi="Consolas"/>
          <w:sz w:val="18"/>
          <w:szCs w:val="18"/>
        </w:rPr>
        <w:t xml:space="preserve">502 engine_failed · 503 guard_unavailable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길이와 순서를 보존한다. 가드에 걸려도 캐시 히트는 돌려주고 못 채운 자리만 비운다(부분 응답).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6-3. 엔진 슬롯 — 자체 모델 계약</w:t>
      </w:r>
    </w:p>
    <w:p>
      <w:pPr>
        <w:shd w:fill="F3F4F6" w:color="auto" w:val="clear"/>
        <w:spacing w:after="0" w:line="260"/>
      </w:pPr>
      <w:r>
        <w:rPr>
          <w:rFonts w:ascii="Consolas" w:cs="Consolas" w:eastAsia="Consolas" w:hAnsi="Consolas"/>
          <w:sz w:val="18"/>
          <w:szCs w:val="18"/>
        </w:rPr>
        <w:t xml:space="preserve">POST {HTTP_URL}/translate  { "texts": [...], "source": "en", "target": "ko", "terms": {...} }</w:t>
      </w:r>
    </w:p>
    <w:p>
      <w:pPr>
        <w:shd w:fill="F3F4F6" w:color="auto" w:val="clear"/>
        <w:spacing w:after="0" w:line="26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→  { "translations": [...] }        같은 길이 · 같은 순서</w:t>
      </w:r>
    </w:p>
    <w:p>
      <w:pPr>
        <w:shd w:fill="F3F4F6" w:color="auto" w:val="clear"/>
        <w:spacing w:after="160" w:line="260"/>
      </w:pPr>
      <w:r>
        <w:rPr>
          <w:rFonts w:ascii="Consolas" w:cs="Consolas" w:eastAsia="Consolas" w:hAnsi="Consolas"/>
          <w:sz w:val="18"/>
          <w:szCs w:val="18"/>
        </w:rPr>
        <w:t xml:space="preserve">GET  {HTTP_URL}/health  →  { "model": "&lt;이름&gt;" }           배포자 선언과 대조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프롬프트를 보내지 않는다. 번역을 학습한 모델은 입력 형식을 스스로 정한다. 용어집만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terms</w:t>
      </w:r>
      <w:r>
        <w:rPr>
          <w:rFonts w:ascii="맑은 고딕" w:cs="맑은 고딕" w:eastAsia="맑은 고딕" w:hAnsi="맑은 고딕"/>
          <w:sz w:val="21"/>
          <w:szCs w:val="21"/>
        </w:rPr>
        <w:t xml:space="preserve"> 로 싣는다.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모델명은 배포자가 선언하고(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HTTP_MODEL</w:t>
      </w:r>
      <w:r>
        <w:rPr>
          <w:rFonts w:ascii="맑은 고딕" w:cs="맑은 고딕" w:eastAsia="맑은 고딕" w:hAnsi="맑은 고딕"/>
          <w:sz w:val="21"/>
          <w:szCs w:val="21"/>
        </w:rPr>
        <w:t xml:space="preserve">) 전검사가 서버의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/health</w:t>
      </w:r>
      <w:r>
        <w:rPr>
          <w:rFonts w:ascii="맑은 고딕" w:cs="맑은 고딕" w:eastAsia="맑은 고딕" w:hAnsi="맑은 고딕"/>
          <w:sz w:val="21"/>
          <w:szCs w:val="21"/>
        </w:rPr>
        <w:t xml:space="preserve"> 와 대조한다. 어긋나면 쌍 로그가 어느 모델의 출력인지 거짓말을 하므로 기동을 막는다.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적합성 검사(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engine_conformance.py</w:t>
      </w:r>
      <w:r>
        <w:rPr>
          <w:rFonts w:ascii="맑은 고딕" w:cs="맑은 고딕" w:eastAsia="맑은 고딕" w:hAnsi="맑은 고딕"/>
          <w:sz w:val="21"/>
          <w:szCs w:val="21"/>
        </w:rPr>
        <w:t xml:space="preserve">)가 헬스 · 한 건 · 아홉 건 · 순서 ·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terms</w:t>
      </w:r>
      <w:r>
        <w:rPr>
          <w:rFonts w:ascii="맑은 고딕" w:cs="맑은 고딕" w:eastAsia="맑은 고딕" w:hAnsi="맑은 고딕"/>
          <w:sz w:val="21"/>
          <w:szCs w:val="21"/>
        </w:rPr>
        <w:t xml:space="preserve"> · 개행 · 토큰 거절을 본다. 모델 저장소가 이 파일을 복사해 자기 CI 에서 돌린다.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6-4. 데이터 설계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1504"/>
        <w:gridCol w:w="3761"/>
        <w:gridCol w:w="1504"/>
      </w:tblGrid>
      <w:tr>
        <w:trPr>
          <w:tblHeader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저장소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키</w:t>
            </w:r>
          </w:p>
        </w:tc>
        <w:tc>
          <w:tcPr>
            <w:tcW w:type="dxa" w:w="37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값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수명</w:t>
            </w:r>
          </w:p>
        </w:tc>
      </w:tr>
      <w:t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번역 캐시 (DynamoDB)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sha256(원문)</w:t>
            </w:r>
          </w:p>
        </w:tc>
        <w:tc>
          <w:tcPr>
            <w:tcW w:type="dxa" w:w="37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번역문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TTL</w:t>
            </w:r>
          </w:p>
        </w:tc>
      </w:tr>
      <w:t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사용량 카운터 (DynamoDB)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</w:t>
            </w:r>
          </w:p>
        </w:tc>
        <w:tc>
          <w:tcPr>
            <w:tcW w:type="dxa" w:w="37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누적 문자 · 조건부 원자 증가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</w:t>
            </w:r>
          </w:p>
        </w:tc>
      </w:tr>
      <w:t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쌍 로그 (S3 Parquet)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dt=YYYY-MM-DD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파티션</w:t>
            </w:r>
          </w:p>
        </w:tc>
        <w:tc>
          <w:tcPr>
            <w:tcW w:type="dxa" w:w="376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k · v · ts · h · src · raw · ko · engine · model · prompt · book · n · site · adapter · ver</w:t>
            </w:r>
          </w:p>
        </w:tc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보존 · 비공개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쌍 로그는 모델 출력(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raw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)과 후처리 결과(</w:t>
      </w:r>
      <w:r>
        <w:rPr>
          <w:rFonts w:ascii="Consolas" w:cs="Consolas" w:eastAsia="Consolas" w:hAnsi="Consolas"/>
          <w:b/>
          <w:bCs/>
          <w:color w:val="7A2E0E"/>
          <w:sz w:val="19"/>
          <w:szCs w:val="19"/>
        </w:rPr>
        <w:t xml:space="preserve">ko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)를 따로 남긴다.</w:t>
      </w:r>
      <w:r>
        <w:rPr>
          <w:rFonts w:ascii="맑은 고딕" w:cs="맑은 고딕" w:eastAsia="맑은 고딕" w:hAnsi="맑은 고딕"/>
          <w:sz w:val="21"/>
          <w:szCs w:val="21"/>
        </w:rPr>
        <w:t xml:space="preserve"> 후처리가 고친 자리가 곧 모델이 틀린 자리이고, 둘을 합치면 모델의 실수와 규칙의 교정이 한 값으로 뭉개진다. 판정 열은 비워 둔다 — 쓸 때 박은 판정은 오탐을 박제한다.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6-5. 콜드패스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Firehose 는 최소 버퍼링이 있어 동기 번역 경로에 두면 제품이 죽는다. 그래서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서빙 경로 밖</w:t>
      </w:r>
      <w:r>
        <w:rPr>
          <w:rFonts w:ascii="맑은 고딕" w:cs="맑은 고딕" w:eastAsia="맑은 고딕" w:hAnsi="맑은 고딕"/>
          <w:sz w:val="21"/>
          <w:szCs w:val="21"/>
        </w:rPr>
        <w:t xml:space="preserve">에 두고, 워커는 stdout 에 JSON 한 줄을 쓰기만 한다. CloudWatch 구독 필터가 그 줄을 Firehose 로 넘기고, Firehose 가 Glue 스키마로 Parquet 변환해 S3 에 파티션으로 떨군다. Athena 는 파티션 투영으로 읽는다. 로컬 · 픽스처 번역은 쌍으로 남기지 않는다.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7. 평가 설계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3009"/>
        <w:gridCol w:w="2257"/>
        <w:gridCol w:w="2256"/>
      </w:tblGrid>
      <w:tr>
        <w:trPr>
          <w:tblHeader/>
        </w:trPr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자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무엇을 재는가</w:t>
            </w:r>
          </w:p>
        </w:tc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규모</w:t>
            </w:r>
          </w:p>
        </w:tc>
        <w:tc>
          <w:tcPr>
            <w:tcW w:type="dxa" w:w="22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게이트</w:t>
            </w:r>
          </w:p>
        </w:tc>
      </w:tr>
      <w:tr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골든셋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용어 · 고유명사 유지 · 환각 · 문체 · 어미 · 길이</w:t>
            </w:r>
          </w:p>
        </w:tc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5문항 · 45유닛 · 13,954자</w:t>
            </w:r>
          </w:p>
        </w:tc>
        <w:tc>
          <w:tcPr>
            <w:tcW w:type="dxa" w:w="22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기준선 대조 · 프롬프트 지문</w:t>
            </w:r>
          </w:p>
        </w:tc>
      </w:tr>
      <w:tr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어미 코퍼스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후처리가 해요체를 합쇼체로 바꿀 때 비문을 만드는가</w:t>
            </w:r>
          </w:p>
        </w:tc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생성 2,472줄 · 손 43줄 · 15 부류</w:t>
            </w:r>
          </w:p>
        </w:tc>
        <w:tc>
          <w:tcPr>
            <w:tcW w:type="dxa" w:w="22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틀림 214 — 양방향 톱니</w:t>
            </w:r>
          </w:p>
        </w:tc>
      </w:tr>
      <w:tr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어댑터 픽스처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사이트 DOM 계약이 깨졌을 때 관측이 드러내는가</w:t>
            </w:r>
          </w:p>
        </w:tc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6화면 · 누른 순서 무관 · 자가 채점</w:t>
            </w:r>
          </w:p>
        </w:tc>
        <w:tc>
          <w:tcPr>
            <w:tcW w:type="dxa" w:w="22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jsdom 검사 · 브라우저 보고서</w:t>
            </w:r>
          </w:p>
        </w:tc>
      </w:tr>
      <w:tr>
        <w:tc>
          <w:tcPr>
            <w:tcW w:type="dxa" w:w="150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적합성 검사</w:t>
            </w:r>
          </w:p>
        </w:tc>
        <w:tc>
          <w:tcPr>
            <w:tcW w:type="dxa" w:w="300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자체 모델 서버가 엔진 계약을 지키는가</w:t>
            </w:r>
          </w:p>
        </w:tc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7항목</w:t>
            </w:r>
          </w:p>
        </w:tc>
        <w:tc>
          <w:tcPr>
            <w:tcW w:type="dxa" w:w="225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전부 통과해야 끼운다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판정은 셋으로 가른다 — 맞음 · 그대로 · 틀림.</w:t>
      </w:r>
      <w:r>
        <w:rPr>
          <w:rFonts w:ascii="맑은 고딕" w:cs="맑은 고딕" w:eastAsia="맑은 고딕" w:hAnsi="맑은 고딕"/>
          <w:sz w:val="21"/>
          <w:szCs w:val="21"/>
        </w:rPr>
        <w:t xml:space="preserve"> 확신이 없을 때 그대로 두는 후처리가 억지로 바꾸는 후처리보다 낫다. 그래서 게이트는 틀림만 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측정 조건을 지문으로 묶는다.</w:t>
      </w:r>
      <w:r>
        <w:rPr>
          <w:rFonts w:ascii="맑은 고딕" w:cs="맑은 고딕" w:eastAsia="맑은 고딕" w:hAnsi="맑은 고딕"/>
          <w:sz w:val="21"/>
          <w:szCs w:val="21"/>
        </w:rPr>
        <w:t xml:space="preserve"> 프롬프트 · 용어집이 바뀌면 지문이 바뀌고, 기준선이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stale</w:t>
      </w:r>
      <w:r>
        <w:rPr>
          <w:rFonts w:ascii="맑은 고딕" w:cs="맑은 고딕" w:eastAsia="맑은 고딕" w:hAnsi="맑은 고딕"/>
          <w:sz w:val="21"/>
          <w:szCs w:val="21"/>
        </w:rPr>
        <w:t xml:space="preserve"> 로 표시된다. 낡은 값을 낡지 않은 척하지 않는다.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재현성은 엔진마다 다르다.</w:t>
      </w:r>
      <w:r>
        <w:rPr>
          <w:rFonts w:ascii="맑은 고딕" w:cs="맑은 고딕" w:eastAsia="맑은 고딕" w:hAnsi="맑은 고딕"/>
          <w:sz w:val="21"/>
          <w:szCs w:val="21"/>
        </w:rPr>
        <w:t xml:space="preserve"> 로컬은 seed 로 유닛 이름까지 재현되고, Nova Lite 는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temperature 0</w:t>
      </w:r>
      <w:r>
        <w:rPr>
          <w:rFonts w:ascii="맑은 고딕" w:cs="맑은 고딕" w:eastAsia="맑은 고딕" w:hAnsi="맑은 고딕"/>
          <w:sz w:val="21"/>
          <w:szCs w:val="21"/>
        </w:rPr>
        <w:t xml:space="preserve"> 이어도 어구가 갈린다. 캐시가 최초 결과를 고정한다.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8. 개발 환경 및 배포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6"/>
        <w:gridCol w:w="7020"/>
      </w:tblGrid>
      <w:tr>
        <w:trPr>
          <w:tblHeader/>
        </w:trPr>
        <w:tc>
          <w:tcPr>
            <w:tcW w:type="dxa" w:w="20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702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구성</w:t>
            </w:r>
          </w:p>
        </w:tc>
      </w:tr>
      <w:tr>
        <w:tc>
          <w:tcPr>
            <w:tcW w:type="dxa" w:w="20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개발 기계</w:t>
            </w:r>
          </w:p>
        </w:tc>
        <w:tc>
          <w:tcPr>
            <w:tcW w:type="dxa" w:w="702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WSL Ubuntu · GTX 1660 Ti 6GB · Python 3.13(uv) · Node 22</w:t>
            </w:r>
          </w:p>
        </w:tc>
      </w:tr>
      <w:tr>
        <w:tc>
          <w:tcPr>
            <w:tcW w:type="dxa" w:w="20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확장</w:t>
            </w:r>
          </w:p>
        </w:tc>
        <w:tc>
          <w:tcPr>
            <w:tcW w:type="dxa" w:w="702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Manifest V3 · 의존성 0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node --test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+ jsdom 하네스</w:t>
            </w:r>
          </w:p>
        </w:tc>
      </w:tr>
      <w:tr>
        <w:tc>
          <w:tcPr>
            <w:tcW w:type="dxa" w:w="20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워커</w:t>
            </w:r>
          </w:p>
        </w:tc>
        <w:tc>
          <w:tcPr>
            <w:tcW w:type="dxa" w:w="702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FastAPI(로컬) · Lambda 핸들러(배포) · 배포 패키지 의존성 0 · 약 18KB</w:t>
            </w:r>
          </w:p>
        </w:tc>
      </w:tr>
      <w:tr>
        <w:tc>
          <w:tcPr>
            <w:tcW w:type="dxa" w:w="20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인프라</w:t>
            </w:r>
          </w:p>
        </w:tc>
        <w:tc>
          <w:tcPr>
            <w:tcW w:type="dxa" w:w="702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Terraform — Lambda · Function URL · DynamoDB · IAM · Firehose · S3 · Glue · 예산 알림</w:t>
            </w:r>
          </w:p>
        </w:tc>
      </w:tr>
      <w:tr>
        <w:tc>
          <w:tcPr>
            <w:tcW w:type="dxa" w:w="20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CI</w:t>
            </w:r>
          </w:p>
        </w:tc>
        <w:tc>
          <w:tcPr>
            <w:tcW w:type="dxa" w:w="702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한 진입점 · gitleaks · 러너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고정 · Node 24 액션</w:t>
            </w:r>
          </w:p>
        </w:tc>
      </w:tr>
      <w:tr>
        <w:tc>
          <w:tcPr>
            <w:tcW w:type="dxa" w:w="20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배포</w:t>
            </w:r>
          </w:p>
        </w:tc>
        <w:tc>
          <w:tcPr>
            <w:tcW w:type="dxa" w:w="702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v*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태그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production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승인 → OIDC 역할 →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terraform apply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→ 드리프트 검사</w:t>
            </w:r>
          </w:p>
        </w:tc>
      </w:tr>
      <w:tr>
        <w:tc>
          <w:tcPr>
            <w:tcW w:type="dxa" w:w="20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기획서</w:t>
            </w:r>
          </w:p>
        </w:tc>
        <w:tc>
          <w:tcPr>
            <w:tcW w:type="dxa" w:w="702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정본 · GitHub Pages 뷰어가 변환 없이 그린다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태그를 다는 것이 승인 절차이고, 승인이 곧 자격증명의 조건이다.</w:t>
      </w:r>
      <w:r>
        <w:rPr>
          <w:rFonts w:ascii="맑은 고딕" w:cs="맑은 고딕" w:eastAsia="맑은 고딕" w:hAnsi="맑은 고딕"/>
          <w:sz w:val="21"/>
          <w:szCs w:val="21"/>
        </w:rPr>
        <w:t xml:space="preserve"> 배포 역할은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production</w:t>
      </w:r>
      <w:r>
        <w:rPr>
          <w:rFonts w:ascii="맑은 고딕" w:cs="맑은 고딕" w:eastAsia="맑은 고딕" w:hAnsi="맑은 고딕"/>
          <w:sz w:val="21"/>
          <w:szCs w:val="21"/>
        </w:rPr>
        <w:t xml:space="preserve"> Environment 를 거친 토큰만 받는다. IAM 쓰기가 없어 IAM 변경은 CI 에서 멈추고 손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apply</w:t>
      </w:r>
      <w:r>
        <w:rPr>
          <w:rFonts w:ascii="맑은 고딕" w:cs="맑은 고딕" w:eastAsia="맑은 고딕" w:hAnsi="맑은 고딕"/>
          <w:sz w:val="21"/>
          <w:szCs w:val="21"/>
        </w:rPr>
        <w:t xml:space="preserve"> 로 넘어간다 — 결함이 아니라 경계다.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규약은 검사가 지킨다.</w:t>
      </w:r>
      <w:r>
        <w:rPr>
          <w:rFonts w:ascii="맑은 고딕" w:cs="맑은 고딕" w:eastAsia="맑은 고딕" w:hAnsi="맑은 고딕"/>
          <w:sz w:val="21"/>
          <w:szCs w:val="21"/>
        </w:rPr>
        <w:t xml:space="preserve"> 비밀값 ·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.env</w:t>
      </w:r>
      <w:r>
        <w:rPr>
          <w:rFonts w:ascii="맑은 고딕" w:cs="맑은 고딕" w:eastAsia="맑은 고딕" w:hAnsi="맑은 고딕"/>
          <w:sz w:val="21"/>
          <w:szCs w:val="21"/>
        </w:rPr>
        <w:t xml:space="preserve"> 정합 · 셸 · 인프라 형식 · 원격이 거절하는 값 · 확장 · 워커 테스트 · 문서 규약 · 문서가 가리키는 실물 · 문서 건수 · 배포 게이트를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doctor</w:t>
      </w:r>
      <w:r>
        <w:rPr>
          <w:rFonts w:ascii="맑은 고딕" w:cs="맑은 고딕" w:eastAsia="맑은 고딕" w:hAnsi="맑은 고딕"/>
          <w:sz w:val="21"/>
          <w:szCs w:val="21"/>
        </w:rPr>
        <w:t xml:space="preserve"> 하나가 부르고, 커밋 훅과 CI 가 같은 진입점을 쓴다.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9. 실측 결과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9-1. 엔진 비교 (45유닛 · 배치 3)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3385"/>
        <w:gridCol w:w="3384"/>
      </w:tblGrid>
      <w:tr>
        <w:trPr>
          <w:tblHeader/>
        </w:trP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</w:p>
        </w:tc>
        <w:tc>
          <w:tcPr>
            <w:tcW w:type="dxa" w:w="33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local · EXAONE 3.5 7.8B</w:t>
            </w:r>
          </w:p>
        </w:tc>
        <w:tc>
          <w:tcPr>
            <w:tcW w:type="dxa" w:w="3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bedrock · Nova Lite</w:t>
            </w:r>
          </w:p>
        </w:tc>
      </w:tr>
      <w:t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처리율</w:t>
            </w:r>
          </w:p>
        </w:tc>
        <w:tc>
          <w:tcPr>
            <w:tcW w:type="dxa" w:w="33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34.6자/초</w:t>
            </w:r>
          </w:p>
        </w:tc>
        <w:tc>
          <w:tcPr>
            <w:tcW w:type="dxa" w:w="3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525자/초</w:t>
            </w:r>
          </w:p>
        </w:tc>
      </w:tr>
      <w:t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문항 하나</w:t>
            </w:r>
          </w:p>
        </w:tc>
        <w:tc>
          <w:tcPr>
            <w:tcW w:type="dxa" w:w="33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80.7초</w:t>
            </w:r>
          </w:p>
        </w:tc>
        <w:tc>
          <w:tcPr>
            <w:tcW w:type="dxa" w:w="3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5.3초</w:t>
            </w:r>
          </w:p>
        </w:tc>
      </w:tr>
      <w:t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콜드 로딩</w:t>
            </w:r>
          </w:p>
        </w:tc>
        <w:tc>
          <w:tcPr>
            <w:tcW w:type="dxa" w:w="33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87.6초</w:t>
            </w:r>
          </w:p>
        </w:tc>
        <w:tc>
          <w:tcPr>
            <w:tcW w:type="dxa" w:w="3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없음</w:t>
            </w:r>
          </w:p>
        </w:tc>
      </w:tr>
      <w:t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위반 유닛</w:t>
            </w:r>
          </w:p>
        </w:tc>
        <w:tc>
          <w:tcPr>
            <w:tcW w:type="dxa" w:w="33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257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환각 · 문체</w:t>
            </w:r>
          </w:p>
        </w:tc>
        <w:tc>
          <w:tcPr>
            <w:tcW w:type="dxa" w:w="33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 · 0</w:t>
            </w:r>
          </w:p>
        </w:tc>
        <w:tc>
          <w:tcPr>
            <w:tcW w:type="dxa" w:w="3384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 · 0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9-2. 비용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5"/>
        <w:gridCol w:w="5641"/>
      </w:tblGrid>
      <w:tr>
        <w:trPr>
          <w:tblHeader/>
        </w:trPr>
        <w:tc>
          <w:tcPr>
            <w:tcW w:type="dxa" w:w="33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564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33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단가 (Nova Lite · 서울 교차 지역)</w:t>
            </w:r>
          </w:p>
        </w:tc>
        <w:tc>
          <w:tcPr>
            <w:tcW w:type="dxa" w:w="564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입력 $0.071 · 출력 $0.284 / 100만 토큰</w:t>
            </w:r>
          </w:p>
        </w:tc>
      </w:tr>
      <w:tr>
        <w:tc>
          <w:tcPr>
            <w:tcW w:type="dxa" w:w="33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골든셋 45유닛 한 판</w:t>
            </w:r>
          </w:p>
        </w:tc>
        <w:tc>
          <w:tcPr>
            <w:tcW w:type="dxa" w:w="564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$0.00293 (실측 토큰 × 공개 단가)</w:t>
            </w:r>
          </w:p>
        </w:tc>
      </w:tr>
      <w:tr>
        <w:tc>
          <w:tcPr>
            <w:tcW w:type="dxa" w:w="33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 상한 200만 자 전부</w:t>
            </w:r>
          </w:p>
        </w:tc>
        <w:tc>
          <w:tcPr>
            <w:tcW w:type="dxa" w:w="564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$0.59 (환산)</w:t>
            </w:r>
          </w:p>
        </w:tc>
      </w:tr>
      <w:tr>
        <w:tc>
          <w:tcPr>
            <w:tcW w:type="dxa" w:w="33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비용 구성</w:t>
            </w:r>
          </w:p>
        </w:tc>
        <w:tc>
          <w:tcPr>
            <w:tcW w:type="dxa" w:w="564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출력이 83%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비용은 이 프로젝트의 제약이 아니다.</w:t>
      </w:r>
      <w:r>
        <w:rPr>
          <w:rFonts w:ascii="맑은 고딕" w:cs="맑은 고딕" w:eastAsia="맑은 고딕" w:hAnsi="맑은 고딕"/>
          <w:sz w:val="21"/>
          <w:szCs w:val="21"/>
        </w:rPr>
        <w:t xml:space="preserve"> 배치 · 캐시 · 상한은 비용이 아니라 품질과 속도로 정한다. 배치 9 는 입력 토큰을 38% 줄였지만 같은 조건 네 판에서 위반이 3 · 3 · 5 · 5 로 갈려, 네 판 모두 같은 배치 3 을 유지했다.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9-3. 실사이트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Udemy 연습 시험에서 번역이 화면에 붙었고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Kinesis Data Streams</w:t>
      </w:r>
      <w:r>
        <w:rPr>
          <w:rFonts w:ascii="맑은 고딕" w:cs="맑은 고딕" w:eastAsia="맑은 고딕" w:hAnsi="맑은 고딕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DecreaseStreamRetentionPeriod</w:t>
      </w:r>
      <w:r>
        <w:rPr>
          <w:rFonts w:ascii="맑은 고딕" w:cs="맑은 고딕" w:eastAsia="맑은 고딕" w:hAnsi="맑은 고딕"/>
          <w:sz w:val="21"/>
          <w:szCs w:val="21"/>
        </w:rPr>
        <w:t xml:space="preserve"> 가 영어로 남았다. MDN 에서 제네릭 어댑터만으로 동작했고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CSS</w:t>
      </w:r>
      <w:r>
        <w:rPr>
          <w:rFonts w:ascii="맑은 고딕" w:cs="맑은 고딕" w:eastAsia="맑은 고딕" w:hAnsi="맑은 고딕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HTML</w:t>
      </w:r>
      <w:r>
        <w:rPr>
          <w:rFonts w:ascii="맑은 고딕" w:cs="맑은 고딕" w:eastAsia="맑은 고딕" w:hAnsi="맑은 고딕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JavaScript</w:t>
      </w:r>
      <w:r>
        <w:rPr>
          <w:rFonts w:ascii="맑은 고딕" w:cs="맑은 고딕" w:eastAsia="맑은 고딕" w:hAnsi="맑은 고딕"/>
          <w:sz w:val="21"/>
          <w:szCs w:val="21"/>
        </w:rPr>
        <w:t xml:space="preserve"> 가 영어로 남았다 — 용어집이 없는 도메인에서도 보편 규칙이 먹는다.</w:t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10. 한계와 후속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10-1. 알려진 한계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Data Catalog</w:t>
      </w:r>
      <w:r>
        <w:rPr>
          <w:rFonts w:ascii="맑은 고딕" w:cs="맑은 고딕" w:eastAsia="맑은 고딕" w:hAnsi="맑은 고딕"/>
          <w:sz w:val="21"/>
          <w:szCs w:val="21"/>
        </w:rPr>
        <w:t xml:space="preserve"> 가 배치 3 네 판 모두에서 한글로 새어 나간다. 프롬프트로 닫았다고 적은 값이 두 판의 결과였다.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후처리의 어미 변환은 불규칙 활용에서 틀린다 — 어미 코퍼스 2,472줄 중 틀림 214(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도웁니까</w:t>
      </w:r>
      <w:r>
        <w:rPr>
          <w:rFonts w:ascii="맑은 고딕" w:cs="맑은 고딕" w:eastAsia="맑은 고딕" w:hAnsi="맑은 고딕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걸습니까</w:t>
      </w:r>
      <w:r>
        <w:rPr>
          <w:rFonts w:ascii="맑은 고딕" w:cs="맑은 고딕" w:eastAsia="맑은 고딕" w:hAnsi="맑은 고딕"/>
          <w:sz w:val="21"/>
          <w:szCs w:val="21"/>
        </w:rPr>
        <w:t xml:space="preserve">). 규칙 후처리는 돌아가는 만큼에서 멈췄다. 문체는 자체 모델이 배운다.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로컬 엔진 기준선은 프롬프트를 바꾸기 전의 값이다(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stale</w:t>
      </w:r>
      <w:r>
        <w:rPr>
          <w:rFonts w:ascii="맑은 고딕" w:cs="맑은 고딕" w:eastAsia="맑은 고딕" w:hAnsi="맑은 고딕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비용의 실측은 골든셋 한 판뿐이다. Udemy 한 페이지와 월 상한은 환산이다.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Udemy 어댑터는 퀴즈 화면만 걷는다. 강의 소개 · 시작 화면은 번역되지 않는다.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10-2. 후속 — 자체 번역 모델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별도 저장소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seshat</w:t>
      </w:r>
      <w:r>
        <w:rPr>
          <w:rFonts w:ascii="맑은 고딕" w:cs="맑은 고딕" w:eastAsia="맑은 고딕" w:hAnsi="맑은 고딕"/>
          <w:sz w:val="21"/>
          <w:szCs w:val="21"/>
        </w:rPr>
        <w:t xml:space="preserve"> 이 사전학습 모델을 골라 좁힌다. 처음부터 학습하지 않는다 — 좁은 과제(영어 자격증 문제 → 한국어 합쇼체)와 자기 데이터(쌍 로그)와 자(평가셋)가 이 프로젝트가 더하는 것이다.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5"/>
        <w:gridCol w:w="5641"/>
      </w:tblGrid>
      <w:tr>
        <w:trPr>
          <w:tblHeader/>
        </w:trPr>
        <w:tc>
          <w:tcPr>
            <w:tcW w:type="dxa" w:w="33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끼우는 기준</w:t>
            </w:r>
          </w:p>
        </w:tc>
        <w:tc>
          <w:tcPr>
            <w:tcW w:type="dxa" w:w="564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비교 대상</w:t>
            </w:r>
          </w:p>
        </w:tc>
      </w:tr>
      <w:tr>
        <w:tc>
          <w:tcPr>
            <w:tcW w:type="dxa" w:w="33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골든셋 위반</w:t>
            </w:r>
          </w:p>
        </w:tc>
        <w:tc>
          <w:tcPr>
            <w:tcW w:type="dxa" w:w="564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Nova Lite 기준선과 같거나 적다</w:t>
            </w:r>
          </w:p>
        </w:tc>
      </w:tr>
      <w:tr>
        <w:tc>
          <w:tcPr>
            <w:tcW w:type="dxa" w:w="33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어미 코퍼스 틀림</w:t>
            </w:r>
          </w:p>
        </w:tc>
        <w:tc>
          <w:tcPr>
            <w:tcW w:type="dxa" w:w="564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같거나 적다</w:t>
            </w:r>
          </w:p>
        </w:tc>
      </w:tr>
      <w:tr>
        <w:tc>
          <w:tcPr>
            <w:tcW w:type="dxa" w:w="33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문항당 지연</w:t>
            </w:r>
          </w:p>
        </w:tc>
        <w:tc>
          <w:tcPr>
            <w:tcW w:type="dxa" w:w="564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5.3초와 같거나 빠르다</w:t>
            </w:r>
          </w:p>
        </w:tc>
      </w:tr>
      <w:tr>
        <w:tc>
          <w:tcPr>
            <w:tcW w:type="dxa" w:w="338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1,000자당 비용</w:t>
            </w:r>
          </w:p>
        </w:tc>
        <w:tc>
          <w:tcPr>
            <w:tcW w:type="dxa" w:w="564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같거나 싸다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넷을 모두 만족하면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engine = "http"</w:t>
      </w:r>
      <w:r>
        <w:rPr>
          <w:rFonts w:ascii="맑은 고딕" w:cs="맑은 고딕" w:eastAsia="맑은 고딕" w:hAnsi="맑은 고딕"/>
          <w:sz w:val="21"/>
          <w:szCs w:val="21"/>
        </w:rPr>
        <w:t xml:space="preserve"> 로 끼운다. 되돌리는 것도 한 줄이다. 크롬 웹스토어 공개와 설치별 익명 키(사용자가 토큰을 넣지 않고 설치마다 한도를 두는 방식)는 모델 교체 뒤에 연다 — 엔진이 바뀌면 품질 · 비용 구조가 바뀌어 두 번 일하게 된다.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11. 산출물 목록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1"/>
      </w:tblGrid>
      <w:tr>
        <w:trPr>
          <w:tblHeader/>
        </w:trP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산출물</w:t>
            </w: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위치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크롬 확장</w:t>
            </w: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extension/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어댑터 3계층 · 브로커 · 팝업 · 번역 박스</w:t>
            </w:r>
          </w:p>
        </w:tc>
      </w:tr>
      <w:t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번역 워커</w:t>
            </w: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worker/app/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계약 · 캐시 · 가드 · 용어집 · 엔진 · 후처리 · 쌍 로그</w:t>
            </w:r>
          </w:p>
        </w:tc>
      </w:tr>
      <w:t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인프라</w:t>
            </w: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infra/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Terraform. Lambda · DynamoDB · Firehose · S3 · Glue · OIDC</w:t>
            </w:r>
          </w:p>
        </w:tc>
      </w:tr>
      <w:t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골든셋 · 기준선</w:t>
            </w: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docs/bench/baseline.json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엔진 비교의 정본</w:t>
            </w:r>
          </w:p>
        </w:tc>
      </w:tr>
      <w:t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어미 코퍼스</w:t>
            </w: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worker/tests/endings/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후처리 평가 · 모델 평가셋</w:t>
            </w:r>
          </w:p>
        </w:tc>
      </w:tr>
      <w:t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어댑터 픽스처</w:t>
            </w: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extension/tests/fixtures/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사이트 없이 어댑터를 가른다</w:t>
            </w:r>
          </w:p>
        </w:tc>
      </w:tr>
      <w:t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적합성 검사</w:t>
            </w: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tools/engine_conformance.py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자체 모델 서버의 계약 검사</w:t>
            </w:r>
          </w:p>
        </w:tc>
      </w:tr>
      <w:t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점검 도구</w:t>
            </w: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tools/doctor.sh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외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저장소 불변식 · 문서 강제자</w:t>
            </w:r>
          </w:p>
        </w:tc>
      </w:tr>
      <w:t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문서</w:t>
            </w: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docs/PLAN.md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docs/MASTER.md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docs/DECISIONS.md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미래 · 현재 · 과거</w:t>
            </w:r>
          </w:p>
        </w:tc>
      </w:tr>
      <w:tr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기획서</w:t>
            </w:r>
          </w:p>
        </w:tc>
        <w:tc>
          <w:tcPr>
            <w:tcW w:type="dxa" w:w="361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7"/>
                <w:szCs w:val="17"/>
              </w:rPr>
              <w:t xml:space="preserve">docs/proposal.docx</w:t>
            </w:r>
          </w:p>
        </w:tc>
        <w:tc>
          <w:tcPr>
            <w:tcW w:type="dxa" w:w="3611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 문서. 대외 제출용</w:t>
            </w:r>
          </w:p>
        </w:tc>
      </w:tr>
    </w:tbl>
    <w:p>
      <w:pPr>
        <w:pStyle w:val="Heading1"/>
        <w:spacing w:after="180" w:before="36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12. 갱신 이력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1805"/>
        <w:gridCol w:w="6318"/>
      </w:tblGrid>
      <w:tr>
        <w:trPr>
          <w:tblHeader/>
        </w:trPr>
        <w:tc>
          <w:tcPr>
            <w:tcW w:type="dxa" w:w="9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판</w:t>
            </w:r>
          </w:p>
        </w:tc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날짜</w:t>
            </w:r>
          </w:p>
        </w:tc>
        <w:tc>
          <w:tcPr>
            <w:tcW w:type="dxa" w:w="631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90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  <w:tc>
          <w:tcPr>
            <w:tcW w:type="dxa" w:w="1805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2026-09-22</w:t>
            </w:r>
          </w:p>
        </w:tc>
        <w:tc>
          <w:tcPr>
            <w:tcW w:type="dxa" w:w="631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첫 판. 껍데기 완결 · 엔진 슬롯 · 후처리 땜질 · 문서 강제자 2판 시점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기획서 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</w:lvl>
    <w:lvl w:ilvl="1" w15:tentative="1">
      <w:start w:val="1"/>
      <w:numFmt w:val="bullet"/>
      <w:lvlText w:val="–"/>
      <w:lvlJc w:val="left"/>
      <w:pPr>
        <w:ind w:left="8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맑은 고딕" w:cs="맑은 고딕" w:eastAsia="맑은 고딕" w:hAnsi="맑은 고딕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맑은 고딕" w:cs="맑은 고딕" w:eastAsia="맑은 고딕" w:hAnsi="맑은 고딕"/>
      <w:b/>
      <w:bCs/>
      <w:color w:val="1F4E79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기획서</dc:title>
  <dc:creator>오창준</dc:creator>
  <cp:lastModifiedBy>Un-named</cp:lastModifiedBy>
  <cp:revision>1</cp:revision>
  <dcterms:created xsi:type="dcterms:W3CDTF">2026-09-22T04:29:58.355Z</dcterms:created>
  <dcterms:modified xsi:type="dcterms:W3CDTF">2026-09-22T04:29:58.356Z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