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A7AB5"/>
          <w:sz w:val="52"/>
          <w:szCs w:val="52"/>
        </w:rPr>
        <w:t xml:space="preserve">ClimAssist</w:t>
      </w:r>
    </w:p>
    <w:p>
      <w:pPr>
        <w:spacing w:after="40"/>
      </w:pPr>
      <w:r>
        <w:rPr>
          <w:rFonts w:ascii="Arial" w:cs="Arial" w:eastAsia="Arial" w:hAnsi="Arial"/>
          <w:color w:val="666666"/>
          <w:sz w:val="23"/>
          <w:szCs w:val="23"/>
        </w:rPr>
        <w:t xml:space="preserve">Open-Source Climate-Health-Agriculture Decision Intelligence</w:t>
      </w:r>
    </w:p>
    <w:p>
      <w:pPr>
        <w:pBdr>
          <w:bottom w:val="single" w:color="1A7AB5" w:sz="8" w:space="6"/>
        </w:pBdr>
        <w:spacing w:after="200"/>
      </w:pPr>
      <w:r>
        <w:rPr>
          <w:rFonts w:ascii="Arial" w:cs="Arial" w:eastAsia="Arial" w:hAnsi="Arial"/>
          <w:i/>
          <w:iCs/>
          <w:color w:val="333333"/>
          <w:sz w:val="21"/>
          <w:szCs w:val="21"/>
        </w:rPr>
        <w:t xml:space="preserve">A partnership proposal for Katsina State</w:t>
      </w:r>
    </w:p>
    <w:p>
      <w:pPr>
        <w:pStyle w:val="Heading1"/>
      </w:pPr>
      <w:r>
        <w:t xml:space="preserve">The Problem</w:t>
      </w:r>
    </w:p>
    <w:p>
      <w:pPr>
        <w:spacing w:after="120"/>
      </w:pPr>
      <w:r>
        <w:rPr>
          <w:rFonts w:ascii="Arial" w:cs="Arial" w:eastAsia="Arial" w:hAnsi="Arial"/>
          <w:color w:val="333333"/>
          <w:sz w:val="21"/>
          <w:szCs w:val="21"/>
        </w:rPr>
        <w:t xml:space="preserve">Climate data exists at global scale. Health surveillance data sits in facility registers. Agricultural guidance lives in databases scientists built for scientists. In Katsina State, where 77% of severe childhood malaria cases cluster May–September in direct correlation with rainfall, no local decision-maker can access any of this in a form they can act on.</w:t>
      </w:r>
    </w:p>
    <w:p>
      <w:pPr>
        <w:spacing w:after="120"/>
      </w:pPr>
      <w:r>
        <w:rPr>
          <w:rFonts w:ascii="Arial" w:cs="Arial" w:eastAsia="Arial" w:hAnsi="Arial"/>
          <w:color w:val="333333"/>
          <w:sz w:val="21"/>
          <w:szCs w:val="21"/>
        </w:rPr>
        <w:t xml:space="preserve">This is not a data problem. It is an integration and last-mile intelligence problem. The climate models, the disease patterns, the crop suitability data all exist. What does not exist is a system that connects them at the LGA level and delivers actionable guidance to the people making daily decisions.</w:t>
      </w:r>
    </w:p>
    <w:p>
      <w:pPr>
        <w:pStyle w:val="Heading1"/>
      </w:pPr>
      <w:r>
        <w:t xml:space="preserve">The Vision</w:t>
      </w:r>
    </w:p>
    <w:p>
      <w:pPr>
        <w:spacing w:after="120"/>
      </w:pPr>
      <w:r>
        <w:rPr>
          <w:rFonts w:ascii="Arial" w:cs="Arial" w:eastAsia="Arial" w:hAnsi="Arial"/>
          <w:b/>
          <w:bCs/>
          <w:color w:val="333333"/>
          <w:sz w:val="21"/>
          <w:szCs w:val="21"/>
        </w:rPr>
        <w:t xml:space="preserve">ClimAssist </w:t>
      </w:r>
      <w:r>
        <w:rPr>
          <w:rFonts w:ascii="Arial" w:cs="Arial" w:eastAsia="Arial" w:hAnsi="Arial"/>
          <w:color w:val="333333"/>
          <w:sz w:val="21"/>
          <w:szCs w:val="21"/>
        </w:rPr>
        <w:t xml:space="preserve">is an open-source framework that connects climate projections, health surveillance, and agricultural intelligence into a single decision platform. A farmer in Jibia gets planting guidance based on real climate forecasts. A health officer in Dutsin-Ma gets an 8-week malaria risk forecast. The SA on Climate Change gets an LGA-level dashboard showing where to deploy resources.</w:t>
      </w:r>
    </w:p>
    <w:p>
      <w:pPr>
        <w:spacing w:after="120"/>
      </w:pPr>
      <w:r>
        <w:rPr>
          <w:rFonts w:ascii="Arial" w:cs="Arial" w:eastAsia="Arial" w:hAnsi="Arial"/>
          <w:color w:val="333333"/>
          <w:sz w:val="21"/>
          <w:szCs w:val="21"/>
        </w:rPr>
        <w:t xml:space="preserve">Everything we build is released as open-source infrastructure (Apache 2.0). </w:t>
      </w:r>
      <w:r>
        <w:rPr>
          <w:rFonts w:ascii="Arial" w:cs="Arial" w:eastAsia="Arial" w:hAnsi="Arial"/>
          <w:b/>
          <w:bCs/>
          <w:i/>
          <w:iCs/>
          <w:color w:val="333333"/>
          <w:sz w:val="21"/>
          <w:szCs w:val="21"/>
        </w:rPr>
        <w:t xml:space="preserve">Katsina is the first deployment, not the product.</w:t>
      </w:r>
      <w:r>
        <w:rPr>
          <w:rFonts w:ascii="Arial" w:cs="Arial" w:eastAsia="Arial" w:hAnsi="Arial"/>
          <w:color w:val="333333"/>
          <w:sz w:val="21"/>
          <w:szCs w:val="21"/>
        </w:rPr>
        <w:t xml:space="preserve"> The framework and deployment playbooks can be replicated by any state in Nigeria or any climate-vulnerable region globally.</w:t>
      </w:r>
    </w:p>
    <w:p>
      <w:pPr>
        <w:pStyle w:val="Heading1"/>
      </w:pPr>
      <w:r>
        <w:t xml:space="preserve">Platform Architecture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3"/>
        <w:gridCol w:w="3214"/>
        <w:gridCol w:w="3213"/>
      </w:tblGrid>
      <w:tr>
        <w:tc>
          <w:tcPr>
            <w:tcW w:type="dxa" w:w="3213"/>
            <w:tcBorders>
              <w:top w:val="single" w:color="CCCCCC" w:sz="1"/>
              <w:left w:val="single" w:color="CCCCCC" w:sz="1"/>
              <w:bottom w:val="single" w:color="CCCCCC" w:sz="1"/>
              <w:right w:val="single" w:color="CCCCCC" w:sz="1"/>
            </w:tcBorders>
            <w:shd w:fill="D5EAF4" w:val="clear"/>
            <w:tcMar>
              <w:top w:type="dxa" w:w="40"/>
              <w:left w:type="dxa" w:w="80"/>
              <w:bottom w:type="dxa" w:w="40"/>
              <w:right w:type="dxa" w:w="80"/>
            </w:tcMar>
          </w:tcPr>
          <w:p>
            <w:pPr>
              <w:spacing w:after="20"/>
              <w:jc w:val="center"/>
            </w:pPr>
            <w:r>
              <w:rPr>
                <w:rFonts w:ascii="Arial" w:cs="Arial" w:eastAsia="Arial" w:hAnsi="Arial"/>
                <w:b/>
                <w:bCs/>
                <w:color w:val="0D4F73"/>
                <w:sz w:val="18"/>
                <w:szCs w:val="18"/>
              </w:rPr>
              <w:t xml:space="preserve">Climate Models</w:t>
            </w:r>
          </w:p>
          <w:p>
            <w:pPr>
              <w:jc w:val="center"/>
            </w:pPr>
            <w:r>
              <w:rPr>
                <w:rFonts w:ascii="Arial" w:cs="Arial" w:eastAsia="Arial" w:hAnsi="Arial"/>
                <w:color w:val="666666"/>
                <w:sz w:val="16"/>
                <w:szCs w:val="16"/>
              </w:rPr>
              <w:t xml:space="preserve">ERA5, nextGEMS, DestinE</w:t>
            </w:r>
          </w:p>
        </w:tc>
        <w:tc>
          <w:tcPr>
            <w:tcW w:type="dxa" w:w="3214"/>
            <w:tcBorders>
              <w:top w:val="single" w:color="CCCCCC" w:sz="1"/>
              <w:left w:val="single" w:color="CCCCCC" w:sz="1"/>
              <w:bottom w:val="single" w:color="CCCCCC" w:sz="1"/>
              <w:right w:val="single" w:color="CCCCCC" w:sz="1"/>
            </w:tcBorders>
            <w:shd w:fill="D5EAF4" w:val="clear"/>
            <w:tcMar>
              <w:top w:type="dxa" w:w="40"/>
              <w:left w:type="dxa" w:w="80"/>
              <w:bottom w:type="dxa" w:w="40"/>
              <w:right w:type="dxa" w:w="80"/>
            </w:tcMar>
          </w:tcPr>
          <w:p>
            <w:pPr>
              <w:spacing w:after="20"/>
              <w:jc w:val="center"/>
            </w:pPr>
            <w:r>
              <w:rPr>
                <w:rFonts w:ascii="Arial" w:cs="Arial" w:eastAsia="Arial" w:hAnsi="Arial"/>
                <w:b/>
                <w:bCs/>
                <w:color w:val="0D4F73"/>
                <w:sz w:val="18"/>
                <w:szCs w:val="18"/>
              </w:rPr>
              <w:t xml:space="preserve">Health Records</w:t>
            </w:r>
          </w:p>
          <w:p>
            <w:pPr>
              <w:jc w:val="center"/>
            </w:pPr>
            <w:r>
              <w:rPr>
                <w:rFonts w:ascii="Arial" w:cs="Arial" w:eastAsia="Arial" w:hAnsi="Arial"/>
                <w:color w:val="666666"/>
                <w:sz w:val="16"/>
                <w:szCs w:val="16"/>
              </w:rPr>
              <w:t xml:space="preserve">Malaria, Meningitis, Nutrition</w:t>
            </w:r>
          </w:p>
        </w:tc>
        <w:tc>
          <w:tcPr>
            <w:tcW w:type="dxa" w:w="3213"/>
            <w:tcBorders>
              <w:top w:val="single" w:color="CCCCCC" w:sz="1"/>
              <w:left w:val="single" w:color="CCCCCC" w:sz="1"/>
              <w:bottom w:val="single" w:color="CCCCCC" w:sz="1"/>
              <w:right w:val="single" w:color="CCCCCC" w:sz="1"/>
            </w:tcBorders>
            <w:shd w:fill="D5EAF4" w:val="clear"/>
            <w:tcMar>
              <w:top w:type="dxa" w:w="40"/>
              <w:left w:type="dxa" w:w="80"/>
              <w:bottom w:type="dxa" w:w="40"/>
              <w:right w:type="dxa" w:w="80"/>
            </w:tcMar>
          </w:tcPr>
          <w:p>
            <w:pPr>
              <w:spacing w:after="20"/>
              <w:jc w:val="center"/>
            </w:pPr>
            <w:r>
              <w:rPr>
                <w:rFonts w:ascii="Arial" w:cs="Arial" w:eastAsia="Arial" w:hAnsi="Arial"/>
                <w:b/>
                <w:bCs/>
                <w:color w:val="0D4F73"/>
                <w:sz w:val="18"/>
                <w:szCs w:val="18"/>
              </w:rPr>
              <w:t xml:space="preserve">Agriculture Data</w:t>
            </w:r>
          </w:p>
          <w:p>
            <w:pPr>
              <w:jc w:val="center"/>
            </w:pPr>
            <w:r>
              <w:rPr>
                <w:rFonts w:ascii="Arial" w:cs="Arial" w:eastAsia="Arial" w:hAnsi="Arial"/>
                <w:color w:val="666666"/>
                <w:sz w:val="16"/>
                <w:szCs w:val="16"/>
              </w:rPr>
              <w:t xml:space="preserve">ECOCROP, Soil, Crop Yields</w:t>
            </w:r>
          </w:p>
        </w:tc>
      </w:tr>
    </w:tbl>
    <w:p>
      <w:pPr>
        <w:spacing w:after="40" w:before="40"/>
        <w:jc w:val="center"/>
      </w:pPr>
      <w:r>
        <w:rPr>
          <w:rFonts w:ascii="Arial" w:cs="Arial" w:eastAsia="Arial" w:hAnsi="Arial"/>
          <w:color w:val="1A7AB5"/>
          <w:sz w:val="20"/>
          <w:szCs w:val="20"/>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tcBorders>
              <w:top w:val="single" w:color="CCCCCC" w:sz="1"/>
              <w:left w:val="single" w:color="CCCCCC" w:sz="1"/>
              <w:bottom w:val="single" w:color="CCCCCC" w:sz="1"/>
              <w:right w:val="single" w:color="CCCCCC" w:sz="1"/>
            </w:tcBorders>
            <w:shd w:fill="E8F4E8" w:val="clear"/>
            <w:tcMar>
              <w:top w:type="dxa" w:w="40"/>
              <w:left w:type="dxa" w:w="80"/>
              <w:bottom w:type="dxa" w:w="40"/>
              <w:right w:type="dxa" w:w="80"/>
            </w:tcMar>
          </w:tcPr>
          <w:p>
            <w:pPr>
              <w:spacing w:after="20"/>
              <w:jc w:val="center"/>
            </w:pPr>
            <w:r>
              <w:rPr>
                <w:rFonts w:ascii="Arial" w:cs="Arial" w:eastAsia="Arial" w:hAnsi="Arial"/>
                <w:b/>
                <w:bCs/>
                <w:color w:val="2E8B57"/>
                <w:sz w:val="18"/>
                <w:szCs w:val="18"/>
              </w:rPr>
              <w:t xml:space="preserve">Multi-Agent AI Engine</w:t>
            </w:r>
          </w:p>
          <w:p>
            <w:pPr>
              <w:jc w:val="center"/>
            </w:pPr>
            <w:r>
              <w:rPr>
                <w:rFonts w:ascii="Arial" w:cs="Arial" w:eastAsia="Arial" w:hAnsi="Arial"/>
                <w:color w:val="666666"/>
                <w:sz w:val="16"/>
                <w:szCs w:val="16"/>
              </w:rPr>
              <w:t xml:space="preserve">RAG + LLM + Climate Science</w:t>
            </w:r>
          </w:p>
        </w:tc>
        <w:tc>
          <w:tcPr>
            <w:tcW w:type="dxa" w:w="4820"/>
            <w:tcBorders>
              <w:top w:val="single" w:color="CCCCCC" w:sz="1"/>
              <w:left w:val="single" w:color="CCCCCC" w:sz="1"/>
              <w:bottom w:val="single" w:color="CCCCCC" w:sz="1"/>
              <w:right w:val="single" w:color="CCCCCC" w:sz="1"/>
            </w:tcBorders>
            <w:shd w:fill="E8F4E8" w:val="clear"/>
            <w:tcMar>
              <w:top w:type="dxa" w:w="40"/>
              <w:left w:type="dxa" w:w="80"/>
              <w:bottom w:type="dxa" w:w="40"/>
              <w:right w:type="dxa" w:w="80"/>
            </w:tcMar>
          </w:tcPr>
          <w:p>
            <w:pPr>
              <w:spacing w:after="20"/>
              <w:jc w:val="center"/>
            </w:pPr>
            <w:r>
              <w:rPr>
                <w:rFonts w:ascii="Arial" w:cs="Arial" w:eastAsia="Arial" w:hAnsi="Arial"/>
                <w:b/>
                <w:bCs/>
                <w:color w:val="2E8B57"/>
                <w:sz w:val="18"/>
                <w:szCs w:val="18"/>
              </w:rPr>
              <w:t xml:space="preserve">Predictive Analytics</w:t>
            </w:r>
          </w:p>
          <w:p>
            <w:pPr>
              <w:jc w:val="center"/>
            </w:pPr>
            <w:r>
              <w:rPr>
                <w:rFonts w:ascii="Arial" w:cs="Arial" w:eastAsia="Arial" w:hAnsi="Arial"/>
                <w:color w:val="666666"/>
                <w:sz w:val="16"/>
                <w:szCs w:val="16"/>
              </w:rPr>
              <w:t xml:space="preserve">Malaria risk, Crop timing, Drought</w:t>
            </w:r>
          </w:p>
        </w:tc>
      </w:tr>
    </w:tbl>
    <w:p>
      <w:pPr>
        <w:spacing w:after="40" w:before="40"/>
        <w:jc w:val="center"/>
      </w:pPr>
      <w:r>
        <w:rPr>
          <w:rFonts w:ascii="Arial" w:cs="Arial" w:eastAsia="Arial" w:hAnsi="Arial"/>
          <w:color w:val="1A7AB5"/>
          <w:sz w:val="20"/>
          <w:szCs w:val="20"/>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3"/>
        <w:gridCol w:w="3214"/>
        <w:gridCol w:w="3213"/>
      </w:tblGrid>
      <w:tr>
        <w:tc>
          <w:tcPr>
            <w:tcW w:type="dxa" w:w="3213"/>
            <w:tcBorders>
              <w:top w:val="single" w:color="CCCCCC" w:sz="1"/>
              <w:left w:val="single" w:color="CCCCCC" w:sz="1"/>
              <w:bottom w:val="single" w:color="CCCCCC" w:sz="1"/>
              <w:right w:val="single" w:color="CCCCCC" w:sz="1"/>
            </w:tcBorders>
            <w:shd w:fill="FFF3E0" w:val="clear"/>
            <w:tcMar>
              <w:top w:type="dxa" w:w="40"/>
              <w:left w:type="dxa" w:w="80"/>
              <w:bottom w:type="dxa" w:w="40"/>
              <w:right w:type="dxa" w:w="80"/>
            </w:tcMar>
          </w:tcPr>
          <w:p>
            <w:pPr>
              <w:spacing w:after="20"/>
              <w:jc w:val="center"/>
            </w:pPr>
            <w:r>
              <w:rPr>
                <w:rFonts w:ascii="Arial" w:cs="Arial" w:eastAsia="Arial" w:hAnsi="Arial"/>
                <w:b/>
                <w:bCs/>
                <w:color w:val="CC6600"/>
                <w:sz w:val="18"/>
                <w:szCs w:val="18"/>
              </w:rPr>
              <w:t xml:space="preserve">Farmer Advisory</w:t>
            </w:r>
          </w:p>
          <w:p>
            <w:pPr>
              <w:jc w:val="center"/>
            </w:pPr>
            <w:r>
              <w:rPr>
                <w:rFonts w:ascii="Arial" w:cs="Arial" w:eastAsia="Arial" w:hAnsi="Arial"/>
                <w:color w:val="666666"/>
                <w:sz w:val="16"/>
                <w:szCs w:val="16"/>
              </w:rPr>
              <w:t xml:space="preserve">When/what to plant</w:t>
            </w:r>
          </w:p>
        </w:tc>
        <w:tc>
          <w:tcPr>
            <w:tcW w:type="dxa" w:w="3214"/>
            <w:tcBorders>
              <w:top w:val="single" w:color="CCCCCC" w:sz="1"/>
              <w:left w:val="single" w:color="CCCCCC" w:sz="1"/>
              <w:bottom w:val="single" w:color="CCCCCC" w:sz="1"/>
              <w:right w:val="single" w:color="CCCCCC" w:sz="1"/>
            </w:tcBorders>
            <w:shd w:fill="FFF3E0" w:val="clear"/>
            <w:tcMar>
              <w:top w:type="dxa" w:w="40"/>
              <w:left w:type="dxa" w:w="80"/>
              <w:bottom w:type="dxa" w:w="40"/>
              <w:right w:type="dxa" w:w="80"/>
            </w:tcMar>
          </w:tcPr>
          <w:p>
            <w:pPr>
              <w:spacing w:after="20"/>
              <w:jc w:val="center"/>
            </w:pPr>
            <w:r>
              <w:rPr>
                <w:rFonts w:ascii="Arial" w:cs="Arial" w:eastAsia="Arial" w:hAnsi="Arial"/>
                <w:b/>
                <w:bCs/>
                <w:color w:val="CC6600"/>
                <w:sz w:val="18"/>
                <w:szCs w:val="18"/>
              </w:rPr>
              <w:t xml:space="preserve">Health Early Warning</w:t>
            </w:r>
          </w:p>
          <w:p>
            <w:pPr>
              <w:jc w:val="center"/>
            </w:pPr>
            <w:r>
              <w:rPr>
                <w:rFonts w:ascii="Arial" w:cs="Arial" w:eastAsia="Arial" w:hAnsi="Arial"/>
                <w:color w:val="666666"/>
                <w:sz w:val="16"/>
                <w:szCs w:val="16"/>
              </w:rPr>
              <w:t xml:space="preserve">8-week malaria forecast</w:t>
            </w:r>
          </w:p>
        </w:tc>
        <w:tc>
          <w:tcPr>
            <w:tcW w:type="dxa" w:w="3213"/>
            <w:tcBorders>
              <w:top w:val="single" w:color="CCCCCC" w:sz="1"/>
              <w:left w:val="single" w:color="CCCCCC" w:sz="1"/>
              <w:bottom w:val="single" w:color="CCCCCC" w:sz="1"/>
              <w:right w:val="single" w:color="CCCCCC" w:sz="1"/>
            </w:tcBorders>
            <w:shd w:fill="FFF3E0" w:val="clear"/>
            <w:tcMar>
              <w:top w:type="dxa" w:w="40"/>
              <w:left w:type="dxa" w:w="80"/>
              <w:bottom w:type="dxa" w:w="40"/>
              <w:right w:type="dxa" w:w="80"/>
            </w:tcMar>
          </w:tcPr>
          <w:p>
            <w:pPr>
              <w:spacing w:after="20"/>
              <w:jc w:val="center"/>
            </w:pPr>
            <w:r>
              <w:rPr>
                <w:rFonts w:ascii="Arial" w:cs="Arial" w:eastAsia="Arial" w:hAnsi="Arial"/>
                <w:b/>
                <w:bCs/>
                <w:color w:val="CC6600"/>
                <w:sz w:val="18"/>
                <w:szCs w:val="18"/>
              </w:rPr>
              <w:t xml:space="preserve">Policy Dashboard</w:t>
            </w:r>
          </w:p>
          <w:p>
            <w:pPr>
              <w:jc w:val="center"/>
            </w:pPr>
            <w:r>
              <w:rPr>
                <w:rFonts w:ascii="Arial" w:cs="Arial" w:eastAsia="Arial" w:hAnsi="Arial"/>
                <w:color w:val="666666"/>
                <w:sz w:val="16"/>
                <w:szCs w:val="16"/>
              </w:rPr>
              <w:t xml:space="preserve">LGA-level climate risk</w:t>
            </w:r>
          </w:p>
        </w:tc>
      </w:tr>
    </w:tbl>
    <w:p>
      <w:pPr>
        <w:spacing w:after="40" w:before="40"/>
        <w:jc w:val="center"/>
      </w:pPr>
      <w:r>
        <w:rPr>
          <w:rFonts w:ascii="Arial" w:cs="Arial" w:eastAsia="Arial" w:hAnsi="Arial"/>
          <w:color w:val="1A7AB5"/>
          <w:sz w:val="20"/>
          <w:szCs w:val="20"/>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tcBorders>
              <w:top w:val="single" w:color="CCCCCC" w:sz="1"/>
              <w:left w:val="single" w:color="CCCCCC" w:sz="1"/>
              <w:bottom w:val="single" w:color="CCCCCC" w:sz="1"/>
              <w:right w:val="single" w:color="CCCCCC" w:sz="1"/>
            </w:tcBorders>
            <w:shd w:fill="E8E0F0" w:val="clear"/>
            <w:tcMar>
              <w:top w:type="dxa" w:w="40"/>
              <w:left w:type="dxa" w:w="80"/>
              <w:bottom w:type="dxa" w:w="40"/>
              <w:right w:type="dxa" w:w="80"/>
            </w:tcMar>
          </w:tcPr>
          <w:p>
            <w:pPr>
              <w:spacing w:after="20"/>
              <w:jc w:val="center"/>
            </w:pPr>
            <w:r>
              <w:rPr>
                <w:rFonts w:ascii="Arial" w:cs="Arial" w:eastAsia="Arial" w:hAnsi="Arial"/>
                <w:b/>
                <w:bCs/>
                <w:color w:val="5B3A8C"/>
                <w:sz w:val="18"/>
                <w:szCs w:val="18"/>
              </w:rPr>
              <w:t xml:space="preserve">Katsina State Government</w:t>
            </w:r>
          </w:p>
          <w:p>
            <w:pPr>
              <w:jc w:val="center"/>
            </w:pPr>
            <w:r>
              <w:rPr>
                <w:rFonts w:ascii="Arial" w:cs="Arial" w:eastAsia="Arial" w:hAnsi="Arial"/>
                <w:color w:val="666666"/>
                <w:sz w:val="16"/>
                <w:szCs w:val="16"/>
              </w:rPr>
              <w:t xml:space="preserve">34 LGAs, Extension Workers</w:t>
            </w:r>
          </w:p>
        </w:tc>
        <w:tc>
          <w:tcPr>
            <w:tcW w:type="dxa" w:w="4820"/>
            <w:tcBorders>
              <w:top w:val="single" w:color="CCCCCC" w:sz="1"/>
              <w:left w:val="single" w:color="CCCCCC" w:sz="1"/>
              <w:bottom w:val="single" w:color="CCCCCC" w:sz="1"/>
              <w:right w:val="single" w:color="CCCCCC" w:sz="1"/>
            </w:tcBorders>
            <w:shd w:fill="E8E0F0" w:val="clear"/>
            <w:tcMar>
              <w:top w:type="dxa" w:w="40"/>
              <w:left w:type="dxa" w:w="80"/>
              <w:bottom w:type="dxa" w:w="40"/>
              <w:right w:type="dxa" w:w="80"/>
            </w:tcMar>
          </w:tcPr>
          <w:p>
            <w:pPr>
              <w:spacing w:after="20"/>
              <w:jc w:val="center"/>
            </w:pPr>
            <w:r>
              <w:rPr>
                <w:rFonts w:ascii="Arial" w:cs="Arial" w:eastAsia="Arial" w:hAnsi="Arial"/>
                <w:b/>
                <w:bCs/>
                <w:color w:val="5B3A8C"/>
                <w:sz w:val="18"/>
                <w:szCs w:val="18"/>
              </w:rPr>
              <w:t xml:space="preserve">Primary Health Centers</w:t>
            </w:r>
          </w:p>
          <w:p>
            <w:pPr>
              <w:jc w:val="center"/>
            </w:pPr>
            <w:r>
              <w:rPr>
                <w:rFonts w:ascii="Arial" w:cs="Arial" w:eastAsia="Arial" w:hAnsi="Arial"/>
                <w:color w:val="666666"/>
                <w:sz w:val="16"/>
                <w:szCs w:val="16"/>
              </w:rPr>
              <w:t xml:space="preserve">Digitized Health Records</w:t>
            </w:r>
          </w:p>
        </w:tc>
      </w:tr>
    </w:tbl>
    <w:p>
      <w:r>
        <w:br w:type="page"/>
      </w:r>
    </w:p>
    <w:p>
      <w:pPr>
        <w:pStyle w:val="Heading1"/>
      </w:pPr>
      <w:r>
        <w:t xml:space="preserve">What We Build (Phase 1 — 12 Months)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tcBorders>
              <w:top w:val="single" w:color="CCCCCC" w:sz="1"/>
              <w:left w:val="single" w:color="CCCCCC" w:sz="1"/>
              <w:bottom w:val="single" w:color="CCCCCC" w:sz="1"/>
              <w:right w:val="single" w:color="CCCCCC" w:sz="1"/>
            </w:tcBorders>
            <w:shd w:fill="0D4F73"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7040"/>
            <w:tcBorders>
              <w:top w:val="single" w:color="CCCCCC" w:sz="1"/>
              <w:left w:val="single" w:color="CCCCCC" w:sz="1"/>
              <w:bottom w:val="single" w:color="CCCCCC" w:sz="1"/>
              <w:right w:val="single" w:color="CCCCCC" w:sz="1"/>
            </w:tcBorders>
            <w:shd w:fill="0D4F73"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9"/>
                <w:szCs w:val="19"/>
              </w:rPr>
              <w:t xml:space="preserve">Climate Engine</w:t>
            </w:r>
          </w:p>
        </w:tc>
        <w:tc>
          <w:tcPr>
            <w:tcW w:type="dxa" w:w="7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Deploy ClimSight for Katsina: localized climate projections, ERA5 ground truth, crop suitability analysis (ECOCROP), scientific literature RAG. Already functional.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Health Integration</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Digitize basic health indicators (malaria cases, malnutrition admissions, respiratory infections) from primary health centers across priority LGAs. Build the climate-health correlation pipeline.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9"/>
                <w:szCs w:val="19"/>
              </w:rPr>
              <w:t xml:space="preserve">Predictive Layer</w:t>
            </w:r>
          </w:p>
        </w:tc>
        <w:tc>
          <w:tcPr>
            <w:tcW w:type="dxa" w:w="7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Train malaria early warning model using ERA5 rainfall (2–3 month lag) + temperature + historical case data. Target: 8-week advance warning at LGA level.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Farmer Advisory</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SMS/WhatsApp-based planting guidance for extension workers. When to plant, what to plant, fertilizer timing — all driven by climate projections for the specific location.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9"/>
                <w:szCs w:val="19"/>
              </w:rPr>
              <w:t xml:space="preserve">Policy Dashboard</w:t>
            </w:r>
          </w:p>
        </w:tc>
        <w:tc>
          <w:tcPr>
            <w:tcW w:type="dxa" w:w="7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Web dashboard for the SA on Climate Change showing LGA-level risk maps, seasonal outlooks, and intervention tracking aligned with KAGGA targets.</w:t>
            </w:r>
          </w:p>
        </w:tc>
      </w:tr>
    </w:tbl>
    <w:p>
      <w:pPr>
        <w:spacing w:after="160"/>
      </w:pPr>
    </w:p>
    <w:p>
      <w:pPr>
        <w:pStyle w:val="Heading1"/>
      </w:pPr>
      <w:r>
        <w:t xml:space="preserve">Open Data and Open Science Contribution</w:t>
      </w:r>
    </w:p>
    <w:p>
      <w:pPr>
        <w:spacing w:after="120"/>
      </w:pPr>
      <w:r>
        <w:rPr>
          <w:rFonts w:ascii="Arial" w:cs="Arial" w:eastAsia="Arial" w:hAnsi="Arial"/>
          <w:color w:val="333333"/>
          <w:sz w:val="21"/>
          <w:szCs w:val="21"/>
        </w:rPr>
        <w:t xml:space="preserve">All software, models, and non-sensitive datasets produced by this project will be released under open-source licenses (Apache 2.0 for code, Creative Commons for data). This is a core principle, not an afterthought.</w:t>
      </w:r>
    </w:p>
    <w:p>
      <w:pPr>
        <w:pStyle w:val="Heading2"/>
      </w:pPr>
      <w:r>
        <w:t xml:space="preserve">What We Publish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2600"/>
            <w:tcBorders>
              <w:top w:val="single" w:color="CCCCCC" w:sz="1"/>
              <w:left w:val="single" w:color="CCCCCC" w:sz="1"/>
              <w:bottom w:val="single" w:color="CCCCCC" w:sz="1"/>
              <w:right w:val="single" w:color="CCCCCC" w:sz="1"/>
            </w:tcBorders>
            <w:shd w:fill="0D4F73" w:val="clear"/>
            <w:tcMar>
              <w:top w:type="dxa" w:w="60"/>
              <w:left w:type="dxa" w:w="100"/>
              <w:bottom w:type="dxa" w:w="60"/>
              <w:right w:type="dxa" w:w="100"/>
            </w:tcMar>
          </w:tcPr>
          <w:p>
            <w:r>
              <w:rPr>
                <w:rFonts w:ascii="Arial" w:cs="Arial" w:eastAsia="Arial" w:hAnsi="Arial"/>
                <w:b/>
                <w:bCs/>
                <w:color w:val="FFFFFF"/>
                <w:sz w:val="19"/>
                <w:szCs w:val="19"/>
              </w:rPr>
              <w:t xml:space="preserve">Deliverable</w:t>
            </w:r>
          </w:p>
        </w:tc>
        <w:tc>
          <w:tcPr>
            <w:tcW w:type="dxa" w:w="7040"/>
            <w:tcBorders>
              <w:top w:val="single" w:color="CCCCCC" w:sz="1"/>
              <w:left w:val="single" w:color="CCCCCC" w:sz="1"/>
              <w:bottom w:val="single" w:color="CCCCCC" w:sz="1"/>
              <w:right w:val="single" w:color="CCCCCC" w:sz="1"/>
            </w:tcBorders>
            <w:shd w:fill="0D4F73"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9"/>
                <w:szCs w:val="19"/>
              </w:rPr>
              <w:t xml:space="preserve">Anonymized Health–Climate Dataset</w:t>
            </w:r>
          </w:p>
        </w:tc>
        <w:tc>
          <w:tcPr>
            <w:tcW w:type="dxa" w:w="7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Aggregated, LGA-level disease burden data (malaria incidence, malnutrition rates, respiratory cases) correlated with ERA5 climate variables. All records anonymized to LGA-month granularity — no individual patient data. Published under CC-BY-4.0.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Climate Projection Pipelines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Open-source data connectors that pull ERA5/nextGEMS/DestinE projections and downscale to LGA resolution for any location. Reusable by any researcher or government.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9"/>
                <w:szCs w:val="19"/>
              </w:rPr>
              <w:t xml:space="preserve">Multi-Agent RAG Framework</w:t>
            </w:r>
          </w:p>
        </w:tc>
        <w:tc>
          <w:tcPr>
            <w:tcW w:type="dxa" w:w="7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The full ClimSight-derived LangGraph engine: 5 parallel agents, scientific literature retrieval, configurable for any region. Released as a deployable framework, not a monolith.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Deployment Playbook</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Step-by-step documentation for replicating ClimAssist in a new state or country: data requirements, infrastructure setup, government onboarding, cost estimates.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9"/>
                <w:szCs w:val="19"/>
              </w:rPr>
              <w:t xml:space="preserve">Evaluation Benchmarks</w:t>
            </w:r>
          </w:p>
        </w:tc>
        <w:tc>
          <w:tcPr>
            <w:tcW w:type="dxa" w:w="70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Published accuracy metrics for climate-health predictions against ground truth. Reproducible evaluation framework so others can validate and improve.</w:t>
            </w:r>
          </w:p>
        </w:tc>
      </w:tr>
    </w:tbl>
    <w:p>
      <w:pPr>
        <w:spacing w:after="80"/>
      </w:pPr>
    </w:p>
    <w:p>
      <w:pPr>
        <w:spacing w:after="120"/>
      </w:pPr>
      <w:r>
        <w:rPr>
          <w:rFonts w:ascii="Arial" w:cs="Arial" w:eastAsia="Arial" w:hAnsi="Arial"/>
          <w:b/>
          <w:bCs/>
          <w:color w:val="333333"/>
          <w:sz w:val="21"/>
          <w:szCs w:val="21"/>
        </w:rPr>
        <w:t xml:space="preserve">Privacy guarantee: </w:t>
      </w:r>
      <w:r>
        <w:rPr>
          <w:rFonts w:ascii="Arial" w:cs="Arial" w:eastAsia="Arial" w:hAnsi="Arial"/>
          <w:color w:val="333333"/>
          <w:sz w:val="21"/>
          <w:szCs w:val="21"/>
        </w:rPr>
        <w:t xml:space="preserve">Health data is aggregated to LGA-month level before any analysis or publication. No individual patient records leave the primary health center. The anonymization protocol will be documented and published so other states can adopt the same standard.</w:t>
      </w:r>
    </w:p>
    <w:p>
      <w:r>
        <w:br w:type="page"/>
      </w:r>
    </w:p>
    <w:p>
      <w:pPr>
        <w:pStyle w:val="Heading1"/>
      </w:pPr>
      <w:r>
        <w:t xml:space="preserve">Funding Strategy</w:t>
      </w:r>
    </w:p>
    <w:p>
      <w:pPr>
        <w:spacing w:after="120"/>
      </w:pPr>
      <w:r>
        <w:rPr>
          <w:rFonts w:ascii="Arial" w:cs="Arial" w:eastAsia="Arial" w:hAnsi="Arial"/>
          <w:b/>
          <w:bCs/>
          <w:color w:val="333333"/>
          <w:sz w:val="21"/>
          <w:szCs w:val="21"/>
        </w:rPr>
        <w:t xml:space="preserve">Google.org AI for Science Challenge </w:t>
      </w:r>
      <w:r>
        <w:rPr>
          <w:rFonts w:ascii="Arial" w:cs="Arial" w:eastAsia="Arial" w:hAnsi="Arial"/>
          <w:color w:val="666666"/>
          <w:sz w:val="21"/>
          <w:szCs w:val="21"/>
        </w:rPr>
        <w:t xml:space="preserve">(Deadline: April 17, 2026)</w:t>
      </w:r>
    </w:p>
    <w:p>
      <w:pPr>
        <w:spacing w:after="120"/>
      </w:pPr>
      <w:r>
        <w:rPr>
          <w:rFonts w:ascii="Arial" w:cs="Arial" w:eastAsia="Arial" w:hAnsi="Arial"/>
          <w:color w:val="333333"/>
          <w:sz w:val="21"/>
          <w:szCs w:val="21"/>
        </w:rPr>
        <w:t xml:space="preserve">$500K–$3M grants for AI projects advancing climate resilience and health. ClimAssist bridges both tracks. Scolo applies as the tech lead; the Office of the SA on Climate Change, Katsina State is the implementation partner. All outputs are open-sourced as required by the programme.</w:t>
      </w:r>
    </w:p>
    <w:p>
      <w:pPr>
        <w:spacing w:after="120"/>
      </w:pPr>
      <w:r>
        <w:rPr>
          <w:rFonts w:ascii="Arial" w:cs="Arial" w:eastAsia="Arial" w:hAnsi="Arial"/>
          <w:b/>
          <w:bCs/>
          <w:color w:val="333333"/>
          <w:sz w:val="21"/>
          <w:szCs w:val="21"/>
        </w:rPr>
        <w:t xml:space="preserve">What the grant funds: </w:t>
      </w:r>
      <w:r>
        <w:rPr>
          <w:rFonts w:ascii="Arial" w:cs="Arial" w:eastAsia="Arial" w:hAnsi="Arial"/>
          <w:color w:val="333333"/>
          <w:sz w:val="21"/>
          <w:szCs w:val="21"/>
        </w:rPr>
        <w:t xml:space="preserve">climate data infrastructure, health data digitization across priority LGAs, engineering of the open-source framework, field deployment with extension workers, and publication of the first anonymized climate-health dataset for northern Nigeria.</w:t>
      </w:r>
    </w:p>
    <w:p>
      <w:pPr>
        <w:spacing w:after="200"/>
      </w:pPr>
    </w:p>
    <w:p>
      <w:pPr>
        <w:pStyle w:val="Heading1"/>
      </w:pPr>
      <w:r>
        <w:t xml:space="preserve">Why Katsina, Why Now</w:t>
      </w:r>
    </w:p>
    <w:p>
      <w:pPr>
        <w:pStyle w:val="ListParagraph"/>
        <w:numPr>
          <w:ilvl w:val="0"/>
          <w:numId w:val="2"/>
        </w:numPr>
        <w:spacing w:after="80"/>
      </w:pPr>
      <w:r>
        <w:rPr>
          <w:rFonts w:ascii="Arial" w:cs="Arial" w:eastAsia="Arial" w:hAnsi="Arial"/>
          <w:b/>
          <w:bCs/>
          <w:color w:val="333333"/>
          <w:sz w:val="21"/>
          <w:szCs w:val="21"/>
        </w:rPr>
        <w:t xml:space="preserve">#2 in Nigeria’s Climate Governance Ranking</w:t>
      </w:r>
      <w:r>
        <w:rPr>
          <w:rFonts w:ascii="Arial" w:cs="Arial" w:eastAsia="Arial" w:hAnsi="Arial"/>
          <w:color w:val="666666"/>
          <w:sz w:val="21"/>
          <w:szCs w:val="21"/>
        </w:rPr>
        <w:t xml:space="preserve"> — institutional readiness is already proven</w:t>
      </w:r>
    </w:p>
    <w:p>
      <w:pPr>
        <w:pStyle w:val="ListParagraph"/>
        <w:numPr>
          <w:ilvl w:val="0"/>
          <w:numId w:val="2"/>
        </w:numPr>
        <w:spacing w:after="80"/>
      </w:pPr>
      <w:r>
        <w:rPr>
          <w:rFonts w:ascii="Arial" w:cs="Arial" w:eastAsia="Arial" w:hAnsi="Arial"/>
          <w:b/>
          <w:bCs/>
          <w:color w:val="333333"/>
          <w:sz w:val="21"/>
          <w:szCs w:val="21"/>
        </w:rPr>
        <w:t xml:space="preserve">30 bankable climate projects</w:t>
      </w:r>
      <w:r>
        <w:rPr>
          <w:rFonts w:ascii="Arial" w:cs="Arial" w:eastAsia="Arial" w:hAnsi="Arial"/>
          <w:color w:val="666666"/>
          <w:sz w:val="21"/>
          <w:szCs w:val="21"/>
        </w:rPr>
        <w:t xml:space="preserve"> presented at COP30 — the mandate exists</w:t>
      </w:r>
    </w:p>
    <w:p>
      <w:pPr>
        <w:pStyle w:val="ListParagraph"/>
        <w:numPr>
          <w:ilvl w:val="0"/>
          <w:numId w:val="2"/>
        </w:numPr>
        <w:spacing w:after="80"/>
      </w:pPr>
      <w:r>
        <w:rPr>
          <w:rFonts w:ascii="Arial" w:cs="Arial" w:eastAsia="Arial" w:hAnsi="Arial"/>
          <w:b/>
          <w:bCs/>
          <w:color w:val="333333"/>
          <w:sz w:val="21"/>
          <w:szCs w:val="21"/>
        </w:rPr>
        <w:t xml:space="preserve">30% state budget pledged to climate resilience</w:t>
      </w:r>
      <w:r>
        <w:rPr>
          <w:rFonts w:ascii="Arial" w:cs="Arial" w:eastAsia="Arial" w:hAnsi="Arial"/>
          <w:color w:val="666666"/>
          <w:sz w:val="21"/>
          <w:szCs w:val="21"/>
        </w:rPr>
        <w:t xml:space="preserve"> — funding commitment is real</w:t>
      </w:r>
    </w:p>
    <w:p>
      <w:pPr>
        <w:pStyle w:val="ListParagraph"/>
        <w:numPr>
          <w:ilvl w:val="0"/>
          <w:numId w:val="2"/>
        </w:numPr>
        <w:spacing w:after="80"/>
      </w:pPr>
      <w:r>
        <w:rPr>
          <w:rFonts w:ascii="Arial" w:cs="Arial" w:eastAsia="Arial" w:hAnsi="Arial"/>
          <w:b/>
          <w:bCs/>
          <w:color w:val="333333"/>
          <w:sz w:val="21"/>
          <w:szCs w:val="21"/>
        </w:rPr>
        <w:t xml:space="preserve">Africa’s first subnational Green Public Procurement EO</w:t>
      </w:r>
      <w:r>
        <w:rPr>
          <w:rFonts w:ascii="Arial" w:cs="Arial" w:eastAsia="Arial" w:hAnsi="Arial"/>
          <w:color w:val="666666"/>
          <w:sz w:val="21"/>
          <w:szCs w:val="21"/>
        </w:rPr>
        <w:t xml:space="preserve"> — policy innovation is happening</w:t>
      </w:r>
    </w:p>
    <w:p>
      <w:pPr>
        <w:pStyle w:val="ListParagraph"/>
        <w:numPr>
          <w:ilvl w:val="0"/>
          <w:numId w:val="2"/>
        </w:numPr>
        <w:spacing w:after="80"/>
      </w:pPr>
      <w:r>
        <w:rPr>
          <w:rFonts w:ascii="Arial" w:cs="Arial" w:eastAsia="Arial" w:hAnsi="Arial"/>
          <w:b/>
          <w:bCs/>
          <w:color w:val="333333"/>
          <w:sz w:val="21"/>
          <w:szCs w:val="21"/>
        </w:rPr>
        <w:t xml:space="preserve">9 million population, 34 LGAs</w:t>
      </w:r>
      <w:r>
        <w:rPr>
          <w:rFonts w:ascii="Arial" w:cs="Arial" w:eastAsia="Arial" w:hAnsi="Arial"/>
          <w:color w:val="666666"/>
          <w:sz w:val="21"/>
          <w:szCs w:val="21"/>
        </w:rPr>
        <w:t xml:space="preserve"> — large enough to prove impact, small enough to execute in 12 months</w:t>
      </w:r>
    </w:p>
    <w:p>
      <w:pPr>
        <w:spacing w:after="160"/>
      </w:pPr>
    </w:p>
    <w:p>
      <w:pPr>
        <w:pStyle w:val="Heading1"/>
      </w:pPr>
      <w:r>
        <w:t xml:space="preserve">Global Alignment</w:t>
      </w:r>
    </w:p>
    <w:p>
      <w:pPr>
        <w:spacing w:after="120"/>
      </w:pPr>
      <w:r>
        <w:rPr>
          <w:rFonts w:ascii="Arial" w:cs="Arial" w:eastAsia="Arial" w:hAnsi="Arial"/>
          <w:color w:val="333333"/>
          <w:sz w:val="21"/>
          <w:szCs w:val="21"/>
        </w:rPr>
        <w:t xml:space="preserve">This work sits within a rapidly growing climate-health ecosystem. PATH, with backing from the Rockefeller Foundation and Wellcome Trust, is advancing Digital Public Goods for climate-health data systems. The WHO has released frameworks for climate-resilient health systems. Organizations like Scope Impact (Helsinki) are building community-level health tools that need exactly the kind of policy-layer intelligence ClimAssist provides. Our open-source framework is designed to interoperate with these efforts, not compete with them.</w:t>
      </w:r>
    </w:p>
    <w:p>
      <w:pPr>
        <w:spacing w:after="200"/>
      </w:pPr>
    </w:p>
    <w:p>
      <w:pPr>
        <w:pBdr>
          <w:top w:val="single" w:color="1A7AB5" w:sz="6" w:space="6"/>
        </w:pBdr>
        <w:spacing w:after="80" w:before="160"/>
      </w:pPr>
      <w:r>
        <w:rPr>
          <w:rFonts w:ascii="Arial" w:cs="Arial" w:eastAsia="Arial" w:hAnsi="Arial"/>
          <w:b/>
          <w:bCs/>
          <w:color w:val="0D4F73"/>
          <w:sz w:val="26"/>
          <w:szCs w:val="26"/>
        </w:rPr>
        <w:t xml:space="preserve">Next Step</w:t>
      </w:r>
    </w:p>
    <w:p>
      <w:pPr>
        <w:spacing w:after="120"/>
      </w:pPr>
      <w:r>
        <w:rPr>
          <w:rFonts w:ascii="Arial" w:cs="Arial" w:eastAsia="Arial" w:hAnsi="Arial"/>
          <w:color w:val="333333"/>
          <w:sz w:val="21"/>
          <w:szCs w:val="21"/>
        </w:rPr>
        <w:t xml:space="preserve">We deploy a customized ClimAssist instance for Katsina State within 4 weeks. Professor Al-Amin’s office provides priority LGAs and health facility contacts. Scolo configures the platform, runs the first climate-health correlation analysis, and submits the Google.org application by April 17.</w:t>
      </w:r>
    </w:p>
    <w:p>
      <w:pPr>
        <w:spacing w:after="160"/>
      </w:pPr>
    </w:p>
    <w:p>
      <w:pPr>
        <w:pBdr>
          <w:top w:val="single" w:color="DDDDDD" w:sz="4" w:space="6"/>
        </w:pBdr>
        <w:spacing w:before="80"/>
      </w:pPr>
      <w:r>
        <w:rPr>
          <w:rFonts w:ascii="Arial" w:cs="Arial" w:eastAsia="Arial" w:hAnsi="Arial"/>
          <w:b/>
          <w:bCs/>
          <w:color w:val="333333"/>
          <w:sz w:val="21"/>
          <w:szCs w:val="21"/>
        </w:rPr>
        <w:t xml:space="preserve">Abdulhakim Gafai</w:t>
      </w:r>
      <w:r>
        <w:rPr>
          <w:rFonts w:ascii="Arial" w:cs="Arial" w:eastAsia="Arial" w:hAnsi="Arial"/>
          <w:color w:val="666666"/>
          <w:sz w:val="21"/>
          <w:szCs w:val="21"/>
        </w:rPr>
        <w:t xml:space="preserve">  |  Scolo  |  abdulhakim.gafai@gmail.com</w:t>
      </w:r>
    </w:p>
    <w:sectPr>
      <w:headerReference w:type="default" r:id="rId7"/>
      <w:footerReference w:type="default" r:id="rId8"/>
      <w:pgSz w:w="12240" w:h="15840" w:orient="portrait"/>
      <w:pgMar w:top="12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3"/>
      </w:pBdr>
      <w:jc w:val="center"/>
    </w:pPr>
    <w:r>
      <w:rPr>
        <w:rFonts w:ascii="Arial" w:cs="Arial" w:eastAsia="Arial" w:hAnsi="Arial"/>
        <w:color w:val="666666"/>
        <w:sz w:val="15"/>
        <w:szCs w:val="15"/>
      </w:rPr>
      <w:t xml:space="preserve">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B5" w:sz="6" w:space="3"/>
      </w:pBdr>
      <w:jc w:val="right"/>
    </w:pPr>
    <w:r>
      <w:rPr>
        <w:rFonts w:ascii="Arial" w:cs="Arial" w:eastAsia="Arial" w:hAnsi="Arial"/>
        <w:b/>
        <w:bCs/>
        <w:color w:val="1A7AB5"/>
        <w:sz w:val="17"/>
        <w:szCs w:val="17"/>
      </w:rPr>
      <w:t xml:space="preserve">SCOLO</w:t>
    </w:r>
    <w:r>
      <w:rPr>
        <w:rFonts w:ascii="Arial" w:cs="Arial" w:eastAsia="Arial" w:hAnsi="Arial"/>
        <w:color w:val="666666"/>
        <w:sz w:val="15"/>
        <w:szCs w:val="15"/>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4F73"/>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A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2026-03-27T16:42:35.430Z</dcterms:created>
  <dcterms:modified xsi:type="dcterms:W3CDTF">2026-03-27T16:42:35.431Z</dcterms:modified>
</cp:coreProperties>
</file>

<file path=docProps/custom.xml><?xml version="1.0" encoding="utf-8"?>
<Properties xmlns="http://schemas.openxmlformats.org/officeDocument/2006/custom-properties" xmlns:vt="http://schemas.openxmlformats.org/officeDocument/2006/docPropsVTypes"/>
</file>