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5000" w:hRule="exact"/>
        </w:trPr>
        <w:tc>
          <w:tcPr>
            <w:tcBorders>
              <w:top w:val="none" w:color="FFFFFF" w:sz="0"/>
              <w:left w:val="none" w:color="FFFFFF" w:sz="0"/>
              <w:bottom w:val="none" w:color="FFFFFF" w:sz="0"/>
              <w:right w:val="none" w:color="FFFFFF" w:sz="0"/>
            </w:tcBorders>
            <w:shd w:fill="1A1A2E" w:val="clear"/>
            <w:tcMar>
              <w:top w:type="dxa" w:w="1200"/>
              <w:left w:type="dxa" w:w="1440"/>
              <w:bottom w:type="dxa" w:w="600"/>
              <w:right w:type="dxa" w:w="1440"/>
            </w:tcMar>
          </w:tcPr>
          <w:p>
            <w:pPr>
              <w:spacing w:after="200" w:before="600"/>
              <w:jc w:val="center"/>
            </w:pPr>
            <w:r>
              <w:rPr>
                <w:rFonts w:ascii="Arial" w:cs="Arial" w:eastAsia="Arial" w:hAnsi="Arial"/>
                <w:b/>
                <w:bCs/>
                <w:color w:val="AAAACC"/>
                <w:sz w:val="20"/>
                <w:szCs w:val="20"/>
              </w:rPr>
              <w:t xml:space="preserve">CAHIER DES CHARGES FONCTIONNEL</w:t>
            </w:r>
          </w:p>
          <w:p>
            <w:pPr>
              <w:spacing w:after="200" w:before="100"/>
              <w:jc w:val="center"/>
            </w:pPr>
            <w:r>
              <w:rPr>
                <w:rFonts w:ascii="Arial" w:cs="Arial" w:eastAsia="Arial" w:hAnsi="Arial"/>
                <w:b/>
                <w:bCs/>
                <w:color w:val="FFFFFF"/>
                <w:sz w:val="52"/>
                <w:szCs w:val="52"/>
              </w:rPr>
              <w:t xml:space="preserve">Plateforme de Mise en Relation</w:t>
            </w:r>
          </w:p>
          <w:p>
            <w:pPr>
              <w:spacing w:after="400" w:before="0"/>
              <w:jc w:val="center"/>
            </w:pPr>
            <w:r>
              <w:rPr>
                <w:rFonts w:ascii="Arial" w:cs="Arial" w:eastAsia="Arial" w:hAnsi="Arial"/>
                <w:b/>
                <w:bCs/>
                <w:color w:val="FFFFFF"/>
                <w:sz w:val="52"/>
                <w:szCs w:val="52"/>
              </w:rPr>
              <w:t xml:space="preserve">pour Prestations de Forage</w:t>
            </w:r>
          </w:p>
          <w:p>
            <w:pPr>
              <w:pBdr>
                <w:top w:val="single" w:color="1F6FEB" w:sz="4" w:space="4"/>
              </w:pBdr>
              <w:spacing w:after="0" w:before="200"/>
              <w:jc w:val="center"/>
            </w:pPr>
            <w:r>
              <w:rPr>
                <w:sz w:val="10"/>
                <w:szCs w:val="10"/>
              </w:rPr>
              <w:t xml:space="preserve"> </w:t>
            </w:r>
          </w:p>
          <w:p>
            <w:pPr>
              <w:spacing w:after="0" w:before="200"/>
              <w:jc w:val="center"/>
            </w:pPr>
            <w:r>
              <w:rPr>
                <w:rFonts w:ascii="Arial" w:cs="Arial" w:eastAsia="Arial" w:hAnsi="Arial"/>
                <w:i/>
                <w:iCs/>
                <w:color w:val="8899BB"/>
                <w:sz w:val="22"/>
                <w:szCs w:val="22"/>
              </w:rPr>
              <w:t xml:space="preserve">Solution web tripartite — Client · Entreprise · Administrateur</w:t>
            </w:r>
          </w:p>
        </w:tc>
      </w:tr>
      <w:tr>
        <w:trPr>
          <w:trHeight w:val="1400" w:hRule="exact"/>
        </w:trPr>
        <w:tc>
          <w:tcPr>
            <w:tcBorders>
              <w:top w:val="none" w:color="FFFFFF" w:sz="0"/>
              <w:left w:val="none" w:color="FFFFFF" w:sz="0"/>
              <w:bottom w:val="none" w:color="FFFFFF" w:sz="0"/>
              <w:right w:val="none" w:color="FFFFFF" w:sz="0"/>
            </w:tcBorders>
            <w:shd w:fill="1F6FEB" w:val="clear"/>
            <w:tcMar>
              <w:top w:type="dxa" w:w="300"/>
              <w:left w:type="dxa" w:w="1440"/>
              <w:bottom w:type="dxa" w:w="300"/>
              <w:right w:type="dxa" w:w="1440"/>
            </w:tcMar>
            <w:vAlign w:val="cente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CCE0FF"/>
                      <w:sz w:val="18"/>
                      <w:szCs w:val="18"/>
                    </w:rPr>
                    <w:t xml:space="preserve">Version</w:t>
                  </w:r>
                </w:p>
                <w:p>
                  <w:r>
                    <w:rPr>
                      <w:rFonts w:ascii="Arial" w:cs="Arial" w:eastAsia="Arial" w:hAnsi="Arial"/>
                      <w:b/>
                      <w:bCs/>
                      <w:color w:val="FFFFFF"/>
                      <w:sz w:val="26"/>
                      <w:szCs w:val="26"/>
                    </w:rPr>
                    <w:t xml:space="preserve">1.0</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CCE0FF"/>
                      <w:sz w:val="18"/>
                      <w:szCs w:val="18"/>
                    </w:rPr>
                    <w:t xml:space="preserve">Date</w:t>
                  </w:r>
                </w:p>
                <w:p>
                  <w:r>
                    <w:rPr>
                      <w:rFonts w:ascii="Arial" w:cs="Arial" w:eastAsia="Arial" w:hAnsi="Arial"/>
                      <w:b/>
                      <w:bCs/>
                      <w:color w:val="FFFFFF"/>
                      <w:sz w:val="26"/>
                      <w:szCs w:val="26"/>
                    </w:rPr>
                    <w:t xml:space="preserve">Avril 2025</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CCE0FF"/>
                      <w:sz w:val="18"/>
                      <w:szCs w:val="18"/>
                    </w:rPr>
                    <w:t xml:space="preserve">Statut</w:t>
                  </w:r>
                </w:p>
                <w:p>
                  <w:r>
                    <w:rPr>
                      <w:rFonts w:ascii="Arial" w:cs="Arial" w:eastAsia="Arial" w:hAnsi="Arial"/>
                      <w:b/>
                      <w:bCs/>
                      <w:color w:val="FFFFFF"/>
                      <w:sz w:val="26"/>
                      <w:szCs w:val="26"/>
                    </w:rPr>
                    <w:t xml:space="preserve">Document de travail</w:t>
                  </w:r>
                </w:p>
              </w:tc>
            </w:tr>
          </w:tbl>
          <w:p/>
        </w:tc>
      </w:tr>
      <w:tr>
        <w:trPr>
          <w:trHeight w:val="8438" w:hRule="exact"/>
        </w:trPr>
        <w:tc>
          <w:tcPr>
            <w:tcBorders>
              <w:top w:val="none" w:color="FFFFFF" w:sz="0"/>
              <w:left w:val="none" w:color="FFFFFF" w:sz="0"/>
              <w:bottom w:val="none" w:color="FFFFFF" w:sz="0"/>
              <w:right w:val="none" w:color="FFFFFF" w:sz="0"/>
            </w:tcBorders>
            <w:shd w:fill="F8FAFF" w:val="clear"/>
            <w:tcMar>
              <w:top w:type="dxa" w:w="600"/>
              <w:left w:type="dxa" w:w="1440"/>
              <w:bottom w:type="dxa" w:w="0"/>
              <w:right w:type="dxa" w:w="1440"/>
            </w:tcMar>
          </w:tcPr>
          <w:p>
            <w:pPr>
              <w:spacing w:after="0" w:before="120"/>
            </w:pPr>
          </w:p>
        </w:tc>
      </w:tr>
    </w:tbl>
    <w:p>
      <w:pPr>
        <w:sectPr>
          <w:pgSz w:w="11906" w:h="16838"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1. Contexte et Objectifs</w:t>
            </w:r>
          </w:p>
        </w:tc>
      </w:tr>
    </w:tbl>
    <w:p>
      <w:pPr>
        <w:spacing w:after="0" w:before="160"/>
      </w:pPr>
    </w:p>
    <w:p>
      <w:pPr>
        <w:spacing w:after="80" w:before="80"/>
        <w:jc w:val="both"/>
      </w:pPr>
      <w:r>
        <w:rPr>
          <w:rFonts w:ascii="Arial" w:cs="Arial" w:eastAsia="Arial" w:hAnsi="Arial"/>
          <w:color w:val="555555"/>
          <w:sz w:val="22"/>
          <w:szCs w:val="22"/>
        </w:rPr>
        <w:t xml:space="preserve">La plateforme est une solution web tripartite permettant à des particuliers ou entreprises de soumettre des demandes de prestation de forage, de les mettre en concurrence auprès de prestataires spécialisés, et de centraliser la sélection via un administrateur qui garantit le respect du budget client tout en prélevant une marge commerciale.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6FEB" w:sz="16"/>
              <w:bottom w:val="none" w:color="FFFFFF" w:sz="0"/>
              <w:right w:val="none" w:color="FFFFFF" w:sz="0"/>
            </w:tcBorders>
            <w:shd w:fill="EAF2FF" w:val="clear"/>
            <w:tcMar>
              <w:top w:type="dxa" w:w="100"/>
              <w:left w:type="dxa" w:w="200"/>
              <w:bottom w:type="dxa" w:w="100"/>
              <w:right w:type="dxa" w:w="200"/>
            </w:tcMar>
          </w:tcPr>
          <w:p>
            <w:r>
              <w:rPr>
                <w:rFonts w:ascii="Arial" w:cs="Arial" w:eastAsia="Arial" w:hAnsi="Arial"/>
                <w:i/>
                <w:iCs/>
                <w:color w:val="1A1A2E"/>
                <w:sz w:val="22"/>
                <w:szCs w:val="22"/>
              </w:rPr>
              <w:t xml:space="preserve">Objectif principal : Digitaliser et structurer le processus de mise en relation entre demandeurs de forage et entreprises prestataires, avec un tiers de confiance (l'admin) comme intermédiaire commercial.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2. Acteurs du Système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1F6FEB" w:val="clear"/>
            <w:tcMar>
              <w:top w:type="dxa" w:w="100"/>
              <w:left w:type="dxa" w:w="160"/>
              <w:bottom w:type="dxa" w:w="100"/>
              <w:right w:type="dxa" w:w="160"/>
            </w:tcMar>
          </w:tcPr>
          <w:p>
            <w:r>
              <w:rPr>
                <w:rFonts w:ascii="Arial" w:cs="Arial" w:eastAsia="Arial" w:hAnsi="Arial"/>
                <w:b/>
                <w:bCs/>
                <w:color w:val="FFFFFF"/>
                <w:sz w:val="22"/>
                <w:szCs w:val="22"/>
              </w:rPr>
              <w:t xml:space="preserve">Acteur</w:t>
            </w:r>
          </w:p>
        </w:tc>
        <w:tc>
          <w:tcPr>
            <w:tcW w:type="dxa" w:w="6860"/>
            <w:tcBorders>
              <w:top w:val="single" w:color="DDDDDD" w:sz="1"/>
              <w:left w:val="single" w:color="DDDDDD" w:sz="1"/>
              <w:bottom w:val="single" w:color="DDDDDD" w:sz="1"/>
              <w:right w:val="single" w:color="DDDDDD" w:sz="1"/>
            </w:tcBorders>
            <w:shd w:fill="1F6FEB" w:val="clear"/>
            <w:tcMar>
              <w:top w:type="dxa" w:w="100"/>
              <w:left w:type="dxa" w:w="160"/>
              <w:bottom w:type="dxa" w:w="100"/>
              <w:right w:type="dxa" w:w="160"/>
            </w:tcMar>
          </w:tcPr>
          <w:p>
            <w:r>
              <w:rPr>
                <w:rFonts w:ascii="Arial" w:cs="Arial" w:eastAsia="Arial" w:hAnsi="Arial"/>
                <w:b/>
                <w:bCs/>
                <w:color w:val="FFFFFF"/>
                <w:sz w:val="22"/>
                <w:szCs w:val="22"/>
              </w:rPr>
              <w:t xml:space="preserve">Rôle</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2"/>
                <w:szCs w:val="22"/>
              </w:rPr>
              <w:t xml:space="preserve">Client</w:t>
            </w:r>
          </w:p>
        </w:tc>
        <w:tc>
          <w:tcPr>
            <w:tcW w:type="dxa" w:w="68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2"/>
                <w:szCs w:val="22"/>
              </w:rPr>
              <w:t xml:space="preserve">Toute personne physique ou morale ayant besoin d'une prestation de forage. Il initie le processus en soumettant une demande avec son budget confidentiel.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2E"/>
                <w:sz w:val="22"/>
                <w:szCs w:val="22"/>
              </w:rPr>
              <w:t xml:space="preserve">Entreprise Prestataire</w:t>
            </w:r>
          </w:p>
        </w:tc>
        <w:tc>
          <w:tcPr>
            <w:tcW w:type="dxa" w:w="68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2"/>
                <w:szCs w:val="22"/>
              </w:rPr>
              <w:t xml:space="preserve">Société spécialisée dans le forage, invitée par l'admin à soumettre ses offres sur des demandes précises. Elle ne connaît pas le budget du client.</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2"/>
                <w:szCs w:val="22"/>
              </w:rPr>
              <w:t xml:space="preserve">Administrateur</w:t>
            </w:r>
          </w:p>
        </w:tc>
        <w:tc>
          <w:tcPr>
            <w:tcW w:type="dxa" w:w="68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2"/>
                <w:szCs w:val="22"/>
              </w:rPr>
              <w:t xml:space="preserve">Gestionnaire de la plateforme. Il orchestre les échanges, compare les offres, fixe le prix final au client et encaisse la marge commerciale.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3. Description des Interfaces</w:t>
            </w:r>
          </w:p>
        </w:tc>
      </w:tr>
    </w:tbl>
    <w:p>
      <w:pPr>
        <w:spacing w:after="0" w:before="160"/>
      </w:pPr>
    </w:p>
    <w:p>
      <w:pPr>
        <w:pStyle w:val="Heading2"/>
        <w:spacing w:after="120" w:before="280"/>
      </w:pPr>
      <w:r>
        <w:rPr>
          <w:rFonts w:ascii="Arial" w:cs="Arial" w:eastAsia="Arial" w:hAnsi="Arial"/>
          <w:b/>
          <w:bCs/>
          <w:color w:val="1F6FEB"/>
          <w:sz w:val="26"/>
          <w:szCs w:val="26"/>
        </w:rPr>
        <w:t xml:space="preserve">3.1 Interface Client</w:t>
      </w:r>
    </w:p>
    <w:p>
      <w:pPr>
        <w:spacing w:after="100" w:before="200"/>
      </w:pPr>
      <w:r>
        <w:rPr>
          <w:rFonts w:ascii="Arial" w:cs="Arial" w:eastAsia="Arial" w:hAnsi="Arial"/>
          <w:b/>
          <w:bCs/>
          <w:color w:val="1A1A2E"/>
          <w:sz w:val="24"/>
          <w:szCs w:val="24"/>
        </w:rPr>
        <w:t xml:space="preserve">Inscription / Connexion</w:t>
      </w:r>
    </w:p>
    <w:p>
      <w:pPr>
        <w:pStyle w:val="ListParagraph"/>
        <w:numPr>
          <w:ilvl w:val="0"/>
          <w:numId w:val="2"/>
        </w:numPr>
        <w:spacing w:after="60" w:before="60"/>
      </w:pPr>
      <w:r>
        <w:rPr>
          <w:rFonts w:ascii="Arial" w:cs="Arial" w:eastAsia="Arial" w:hAnsi="Arial"/>
          <w:color w:val="555555"/>
          <w:sz w:val="22"/>
          <w:szCs w:val="22"/>
        </w:rPr>
        <w:t xml:space="preserve">Création de compte : nom complet, contact (téléphone + email), type (particulier / entreprise)</w:t>
      </w:r>
    </w:p>
    <w:p>
      <w:pPr>
        <w:pStyle w:val="ListParagraph"/>
        <w:numPr>
          <w:ilvl w:val="0"/>
          <w:numId w:val="2"/>
        </w:numPr>
        <w:spacing w:after="60" w:before="60"/>
      </w:pPr>
      <w:r>
        <w:rPr>
          <w:rFonts w:ascii="Arial" w:cs="Arial" w:eastAsia="Arial" w:hAnsi="Arial"/>
          <w:color w:val="555555"/>
          <w:sz w:val="22"/>
          <w:szCs w:val="22"/>
        </w:rPr>
        <w:t xml:space="preserve">Connexion sécurisée par email et mot de passe</w:t>
      </w:r>
    </w:p>
    <w:p>
      <w:pPr>
        <w:spacing w:after="0" w:before="100"/>
      </w:pPr>
    </w:p>
    <w:p>
      <w:pPr>
        <w:spacing w:after="100" w:before="200"/>
      </w:pPr>
      <w:r>
        <w:rPr>
          <w:rFonts w:ascii="Arial" w:cs="Arial" w:eastAsia="Arial" w:hAnsi="Arial"/>
          <w:b/>
          <w:bCs/>
          <w:color w:val="1A1A2E"/>
          <w:sz w:val="24"/>
          <w:szCs w:val="24"/>
        </w:rPr>
        <w:t xml:space="preserve">Soumission d'une demande</w:t>
      </w:r>
    </w:p>
    <w:p>
      <w:pPr>
        <w:pStyle w:val="ListParagraph"/>
        <w:numPr>
          <w:ilvl w:val="0"/>
          <w:numId w:val="2"/>
        </w:numPr>
        <w:spacing w:after="60" w:before="60"/>
      </w:pPr>
      <w:r>
        <w:rPr>
          <w:rFonts w:ascii="Arial" w:cs="Arial" w:eastAsia="Arial" w:hAnsi="Arial"/>
          <w:color w:val="555555"/>
          <w:sz w:val="22"/>
          <w:szCs w:val="22"/>
        </w:rPr>
        <w:t xml:space="preserve">Type de forage souhaité (eau, géotechnique, pétrolier, autre)</w:t>
      </w:r>
    </w:p>
    <w:p>
      <w:pPr>
        <w:pStyle w:val="ListParagraph"/>
        <w:numPr>
          <w:ilvl w:val="0"/>
          <w:numId w:val="2"/>
        </w:numPr>
        <w:spacing w:after="60" w:before="60"/>
      </w:pPr>
      <w:r>
        <w:rPr>
          <w:rFonts w:ascii="Arial" w:cs="Arial" w:eastAsia="Arial" w:hAnsi="Arial"/>
          <w:color w:val="555555"/>
          <w:sz w:val="22"/>
          <w:szCs w:val="22"/>
        </w:rPr>
        <w:t xml:space="preserve">Description libre des besoins</w:t>
      </w:r>
    </w:p>
    <w:p>
      <w:pPr>
        <w:pStyle w:val="ListParagraph"/>
        <w:numPr>
          <w:ilvl w:val="0"/>
          <w:numId w:val="2"/>
        </w:numPr>
        <w:spacing w:after="60" w:before="60"/>
      </w:pPr>
      <w:r>
        <w:rPr>
          <w:rFonts w:ascii="Arial" w:cs="Arial" w:eastAsia="Arial" w:hAnsi="Arial"/>
          <w:color w:val="555555"/>
          <w:sz w:val="22"/>
          <w:szCs w:val="22"/>
        </w:rPr>
        <w:t xml:space="preserve">Localisation du chantier (saisie manuelle + géolocalisation sur carte)</w:t>
      </w:r>
    </w:p>
    <w:p>
      <w:pPr>
        <w:pStyle w:val="ListParagraph"/>
        <w:numPr>
          <w:ilvl w:val="0"/>
          <w:numId w:val="2"/>
        </w:numPr>
        <w:spacing w:after="60" w:before="60"/>
      </w:pPr>
      <w:r>
        <w:rPr>
          <w:rFonts w:ascii="Arial" w:cs="Arial" w:eastAsia="Arial" w:hAnsi="Arial"/>
          <w:color w:val="555555"/>
          <w:sz w:val="22"/>
          <w:szCs w:val="22"/>
        </w:rPr>
        <w:t xml:space="preserve">Profondeur estimée (si connue)</w:t>
      </w:r>
    </w:p>
    <w:p>
      <w:pPr>
        <w:pStyle w:val="ListParagraph"/>
        <w:numPr>
          <w:ilvl w:val="0"/>
          <w:numId w:val="2"/>
        </w:numPr>
        <w:spacing w:after="60" w:before="60"/>
      </w:pPr>
      <w:r>
        <w:rPr>
          <w:rFonts w:ascii="Arial" w:cs="Arial" w:eastAsia="Arial" w:hAnsi="Arial"/>
          <w:color w:val="555555"/>
          <w:sz w:val="22"/>
          <w:szCs w:val="22"/>
        </w:rPr>
        <w:t xml:space="preserve">Budget maximum accepté — confidentiel, visible uniquement par l'admin</w:t>
      </w:r>
    </w:p>
    <w:p>
      <w:pPr>
        <w:pStyle w:val="ListParagraph"/>
        <w:numPr>
          <w:ilvl w:val="0"/>
          <w:numId w:val="2"/>
        </w:numPr>
        <w:spacing w:after="60" w:before="60"/>
      </w:pPr>
      <w:r>
        <w:rPr>
          <w:rFonts w:ascii="Arial" w:cs="Arial" w:eastAsia="Arial" w:hAnsi="Arial"/>
          <w:color w:val="555555"/>
          <w:sz w:val="22"/>
          <w:szCs w:val="22"/>
        </w:rPr>
        <w:t xml:space="preserve">Délai souhaité d'exécution</w:t>
      </w:r>
    </w:p>
    <w:p>
      <w:pPr>
        <w:pStyle w:val="ListParagraph"/>
        <w:numPr>
          <w:ilvl w:val="0"/>
          <w:numId w:val="2"/>
        </w:numPr>
        <w:spacing w:after="60" w:before="60"/>
      </w:pPr>
      <w:r>
        <w:rPr>
          <w:rFonts w:ascii="Arial" w:cs="Arial" w:eastAsia="Arial" w:hAnsi="Arial"/>
          <w:color w:val="555555"/>
          <w:sz w:val="22"/>
          <w:szCs w:val="22"/>
        </w:rPr>
        <w:t xml:space="preserve">Documents joints optionnels (plans de terrain, rapports géologiques, etc.)</w:t>
      </w:r>
    </w:p>
    <w:p>
      <w:pPr>
        <w:pStyle w:val="ListParagraph"/>
        <w:numPr>
          <w:ilvl w:val="0"/>
          <w:numId w:val="2"/>
        </w:numPr>
        <w:spacing w:after="60" w:before="60"/>
      </w:pPr>
      <w:r>
        <w:rPr>
          <w:rFonts w:ascii="Arial" w:cs="Arial" w:eastAsia="Arial" w:hAnsi="Arial"/>
          <w:color w:val="555555"/>
          <w:sz w:val="22"/>
          <w:szCs w:val="22"/>
        </w:rPr>
        <w:t xml:space="preserve">Confirmation de soumission par email</w:t>
      </w:r>
    </w:p>
    <w:p>
      <w:pPr>
        <w:spacing w:after="0" w:before="100"/>
      </w:pPr>
    </w:p>
    <w:p>
      <w:pPr>
        <w:spacing w:after="100" w:before="200"/>
      </w:pPr>
      <w:r>
        <w:rPr>
          <w:rFonts w:ascii="Arial" w:cs="Arial" w:eastAsia="Arial" w:hAnsi="Arial"/>
          <w:b/>
          <w:bCs/>
          <w:color w:val="1A1A2E"/>
          <w:sz w:val="24"/>
          <w:szCs w:val="24"/>
        </w:rPr>
        <w:t xml:space="preserve">Suivi de demande</w:t>
      </w:r>
    </w:p>
    <w:p>
      <w:pPr>
        <w:pStyle w:val="ListParagraph"/>
        <w:numPr>
          <w:ilvl w:val="0"/>
          <w:numId w:val="2"/>
        </w:numPr>
        <w:spacing w:after="60" w:before="60"/>
      </w:pPr>
      <w:r>
        <w:rPr>
          <w:rFonts w:ascii="Arial" w:cs="Arial" w:eastAsia="Arial" w:hAnsi="Arial"/>
          <w:color w:val="555555"/>
          <w:sz w:val="22"/>
          <w:szCs w:val="22"/>
        </w:rPr>
        <w:t xml:space="preserve">Tableau de bord avec statut en temps réel : En attente → Offres en cours → Offre reçue → Acceptée / Refusée / Clôturée</w:t>
      </w:r>
    </w:p>
    <w:p>
      <w:pPr>
        <w:pStyle w:val="ListParagraph"/>
        <w:numPr>
          <w:ilvl w:val="0"/>
          <w:numId w:val="2"/>
        </w:numPr>
        <w:spacing w:after="60" w:before="60"/>
      </w:pPr>
      <w:r>
        <w:rPr>
          <w:rFonts w:ascii="Arial" w:cs="Arial" w:eastAsia="Arial" w:hAnsi="Arial"/>
          <w:color w:val="555555"/>
          <w:sz w:val="22"/>
          <w:szCs w:val="22"/>
        </w:rPr>
        <w:t xml:space="preserve">Réception de l'offre finale formulée par l'admin (prix, délai, résumé de la prestation)</w:t>
      </w:r>
    </w:p>
    <w:p>
      <w:pPr>
        <w:pStyle w:val="ListParagraph"/>
        <w:numPr>
          <w:ilvl w:val="0"/>
          <w:numId w:val="2"/>
        </w:numPr>
        <w:spacing w:after="60" w:before="60"/>
      </w:pPr>
      <w:r>
        <w:rPr>
          <w:rFonts w:ascii="Arial" w:cs="Arial" w:eastAsia="Arial" w:hAnsi="Arial"/>
          <w:color w:val="555555"/>
          <w:sz w:val="22"/>
          <w:szCs w:val="22"/>
        </w:rPr>
        <w:t xml:space="preserve">Acceptation ou refus de l'offre directement depuis l'interface</w:t>
      </w:r>
    </w:p>
    <w:p>
      <w:pPr>
        <w:pStyle w:val="ListParagraph"/>
        <w:numPr>
          <w:ilvl w:val="0"/>
          <w:numId w:val="2"/>
        </w:numPr>
        <w:spacing w:after="60" w:before="60"/>
      </w:pPr>
      <w:r>
        <w:rPr>
          <w:rFonts w:ascii="Arial" w:cs="Arial" w:eastAsia="Arial" w:hAnsi="Arial"/>
          <w:color w:val="555555"/>
          <w:sz w:val="22"/>
          <w:szCs w:val="22"/>
        </w:rPr>
        <w:t xml:space="preserve">Historique complet de toutes les demandes passées</w:t>
      </w:r>
    </w:p>
    <w:p>
      <w:pPr>
        <w:pStyle w:val="ListParagraph"/>
        <w:numPr>
          <w:ilvl w:val="0"/>
          <w:numId w:val="2"/>
        </w:numPr>
        <w:spacing w:after="60" w:before="60"/>
      </w:pPr>
      <w:r>
        <w:rPr>
          <w:rFonts w:ascii="Arial" w:cs="Arial" w:eastAsia="Arial" w:hAnsi="Arial"/>
          <w:color w:val="555555"/>
          <w:sz w:val="22"/>
          <w:szCs w:val="22"/>
        </w:rPr>
        <w:t xml:space="preserve">Notifications email et/ou SMS à chaque changement de statut</w:t>
      </w:r>
    </w:p>
    <w:p>
      <w:pPr>
        <w:spacing w:after="0" w:before="200"/>
      </w:pPr>
    </w:p>
    <w:p>
      <w:pPr>
        <w:pStyle w:val="Heading2"/>
        <w:spacing w:after="120" w:before="280"/>
      </w:pPr>
      <w:r>
        <w:rPr>
          <w:rFonts w:ascii="Arial" w:cs="Arial" w:eastAsia="Arial" w:hAnsi="Arial"/>
          <w:b/>
          <w:bCs/>
          <w:color w:val="1F6FEB"/>
          <w:sz w:val="26"/>
          <w:szCs w:val="26"/>
        </w:rPr>
        <w:t xml:space="preserve">3.2 Interface Entreprise Prestataire</w:t>
      </w:r>
    </w:p>
    <w:p>
      <w:pPr>
        <w:spacing w:after="100" w:before="200"/>
      </w:pPr>
      <w:r>
        <w:rPr>
          <w:rFonts w:ascii="Arial" w:cs="Arial" w:eastAsia="Arial" w:hAnsi="Arial"/>
          <w:b/>
          <w:bCs/>
          <w:color w:val="1A1A2E"/>
          <w:sz w:val="24"/>
          <w:szCs w:val="24"/>
        </w:rPr>
        <w:t xml:space="preserve">Inscription / Connexion</w:t>
      </w:r>
    </w:p>
    <w:p>
      <w:pPr>
        <w:pStyle w:val="ListParagraph"/>
        <w:numPr>
          <w:ilvl w:val="0"/>
          <w:numId w:val="2"/>
        </w:numPr>
        <w:spacing w:after="60" w:before="60"/>
      </w:pPr>
      <w:r>
        <w:rPr>
          <w:rFonts w:ascii="Arial" w:cs="Arial" w:eastAsia="Arial" w:hAnsi="Arial"/>
          <w:color w:val="555555"/>
          <w:sz w:val="22"/>
          <w:szCs w:val="22"/>
        </w:rPr>
        <w:t xml:space="preserve">Création de compte entreprise : raison sociale, RCCM ou équivalent, contact, domaines d'intervention, zones géographiques couvertes</w:t>
      </w:r>
    </w:p>
    <w:p>
      <w:pPr>
        <w:pStyle w:val="ListParagraph"/>
        <w:numPr>
          <w:ilvl w:val="0"/>
          <w:numId w:val="2"/>
        </w:numPr>
        <w:spacing w:after="60" w:before="60"/>
      </w:pPr>
      <w:r>
        <w:rPr>
          <w:rFonts w:ascii="Arial" w:cs="Arial" w:eastAsia="Arial" w:hAnsi="Arial"/>
          <w:color w:val="555555"/>
          <w:sz w:val="22"/>
          <w:szCs w:val="22"/>
        </w:rPr>
        <w:t xml:space="preserve">Validation du compte par l'admin avant activation</w:t>
      </w:r>
    </w:p>
    <w:p>
      <w:pPr>
        <w:spacing w:after="0" w:before="100"/>
      </w:pPr>
    </w:p>
    <w:p>
      <w:pPr>
        <w:spacing w:after="100" w:before="200"/>
      </w:pPr>
      <w:r>
        <w:rPr>
          <w:rFonts w:ascii="Arial" w:cs="Arial" w:eastAsia="Arial" w:hAnsi="Arial"/>
          <w:b/>
          <w:bCs/>
          <w:color w:val="1A1A2E"/>
          <w:sz w:val="24"/>
          <w:szCs w:val="24"/>
        </w:rPr>
        <w:t xml:space="preserve">Réception des appels d'offres</w:t>
      </w:r>
    </w:p>
    <w:p>
      <w:pPr>
        <w:pStyle w:val="ListParagraph"/>
        <w:numPr>
          <w:ilvl w:val="0"/>
          <w:numId w:val="2"/>
        </w:numPr>
        <w:spacing w:after="60" w:before="60"/>
      </w:pPr>
      <w:r>
        <w:rPr>
          <w:rFonts w:ascii="Arial" w:cs="Arial" w:eastAsia="Arial" w:hAnsi="Arial"/>
          <w:color w:val="555555"/>
          <w:sz w:val="22"/>
          <w:szCs w:val="22"/>
        </w:rPr>
        <w:t xml:space="preserve">Notification (email/SMS) à chaque appel d'offre correspondant aux zones et domaines de l'entreprise</w:t>
      </w:r>
    </w:p>
    <w:p>
      <w:pPr>
        <w:pStyle w:val="ListParagraph"/>
        <w:numPr>
          <w:ilvl w:val="0"/>
          <w:numId w:val="2"/>
        </w:numPr>
        <w:spacing w:after="60" w:before="60"/>
      </w:pPr>
      <w:r>
        <w:rPr>
          <w:rFonts w:ascii="Arial" w:cs="Arial" w:eastAsia="Arial" w:hAnsi="Arial"/>
          <w:color w:val="555555"/>
          <w:sz w:val="22"/>
          <w:szCs w:val="22"/>
        </w:rPr>
        <w:t xml:space="preserve">Accès à la fiche de la demande — sans affichage du budget client</w:t>
      </w:r>
    </w:p>
    <w:p>
      <w:pPr>
        <w:pStyle w:val="ListParagraph"/>
        <w:numPr>
          <w:ilvl w:val="0"/>
          <w:numId w:val="2"/>
        </w:numPr>
        <w:spacing w:after="60" w:before="60"/>
      </w:pPr>
      <w:r>
        <w:rPr>
          <w:rFonts w:ascii="Arial" w:cs="Arial" w:eastAsia="Arial" w:hAnsi="Arial"/>
          <w:color w:val="555555"/>
          <w:sz w:val="22"/>
          <w:szCs w:val="22"/>
        </w:rPr>
        <w:t xml:space="preserve">Délai de réponse défini par l'admin, avec compte à rebours visible</w:t>
      </w:r>
    </w:p>
    <w:p>
      <w:pPr>
        <w:spacing w:after="0" w:before="100"/>
      </w:pPr>
    </w:p>
    <w:p>
      <w:pPr>
        <w:spacing w:after="100" w:before="200"/>
      </w:pPr>
      <w:r>
        <w:rPr>
          <w:rFonts w:ascii="Arial" w:cs="Arial" w:eastAsia="Arial" w:hAnsi="Arial"/>
          <w:b/>
          <w:bCs/>
          <w:color w:val="1A1A2E"/>
          <w:sz w:val="24"/>
          <w:szCs w:val="24"/>
        </w:rPr>
        <w:t xml:space="preserve">Soumission d'une offre</w:t>
      </w:r>
    </w:p>
    <w:p>
      <w:pPr>
        <w:pStyle w:val="ListParagraph"/>
        <w:numPr>
          <w:ilvl w:val="0"/>
          <w:numId w:val="2"/>
        </w:numPr>
        <w:spacing w:after="60" w:before="60"/>
      </w:pPr>
      <w:r>
        <w:rPr>
          <w:rFonts w:ascii="Arial" w:cs="Arial" w:eastAsia="Arial" w:hAnsi="Arial"/>
          <w:color w:val="555555"/>
          <w:sz w:val="22"/>
          <w:szCs w:val="22"/>
        </w:rPr>
        <w:t xml:space="preserve">Prix de prestation proposé (HT et TTC)</w:t>
      </w:r>
    </w:p>
    <w:p>
      <w:pPr>
        <w:pStyle w:val="ListParagraph"/>
        <w:numPr>
          <w:ilvl w:val="0"/>
          <w:numId w:val="2"/>
        </w:numPr>
        <w:spacing w:after="60" w:before="60"/>
      </w:pPr>
      <w:r>
        <w:rPr>
          <w:rFonts w:ascii="Arial" w:cs="Arial" w:eastAsia="Arial" w:hAnsi="Arial"/>
          <w:color w:val="555555"/>
          <w:sz w:val="22"/>
          <w:szCs w:val="22"/>
        </w:rPr>
        <w:t xml:space="preserve">Délai d'exécution estimé</w:t>
      </w:r>
    </w:p>
    <w:p>
      <w:pPr>
        <w:pStyle w:val="ListParagraph"/>
        <w:numPr>
          <w:ilvl w:val="0"/>
          <w:numId w:val="2"/>
        </w:numPr>
        <w:spacing w:after="60" w:before="60"/>
      </w:pPr>
      <w:r>
        <w:rPr>
          <w:rFonts w:ascii="Arial" w:cs="Arial" w:eastAsia="Arial" w:hAnsi="Arial"/>
          <w:color w:val="555555"/>
          <w:sz w:val="22"/>
          <w:szCs w:val="22"/>
        </w:rPr>
        <w:t xml:space="preserve">Description technique de l'approche</w:t>
      </w:r>
    </w:p>
    <w:p>
      <w:pPr>
        <w:pStyle w:val="ListParagraph"/>
        <w:numPr>
          <w:ilvl w:val="0"/>
          <w:numId w:val="2"/>
        </w:numPr>
        <w:spacing w:after="60" w:before="60"/>
      </w:pPr>
      <w:r>
        <w:rPr>
          <w:rFonts w:ascii="Arial" w:cs="Arial" w:eastAsia="Arial" w:hAnsi="Arial"/>
          <w:color w:val="555555"/>
          <w:sz w:val="22"/>
          <w:szCs w:val="22"/>
        </w:rPr>
        <w:t xml:space="preserve">Documents joints : devis formel, certifications, références de projets similaires</w:t>
      </w:r>
    </w:p>
    <w:p>
      <w:pPr>
        <w:spacing w:after="0" w:before="100"/>
      </w:pPr>
    </w:p>
    <w:p>
      <w:pPr>
        <w:spacing w:after="100" w:before="200"/>
      </w:pPr>
      <w:r>
        <w:rPr>
          <w:rFonts w:ascii="Arial" w:cs="Arial" w:eastAsia="Arial" w:hAnsi="Arial"/>
          <w:b/>
          <w:bCs/>
          <w:color w:val="1A1A2E"/>
          <w:sz w:val="24"/>
          <w:szCs w:val="24"/>
        </w:rPr>
        <w:t xml:space="preserve">Suivi des offres</w:t>
      </w:r>
    </w:p>
    <w:p>
      <w:pPr>
        <w:pStyle w:val="ListParagraph"/>
        <w:numPr>
          <w:ilvl w:val="0"/>
          <w:numId w:val="2"/>
        </w:numPr>
        <w:spacing w:after="60" w:before="60"/>
      </w:pPr>
      <w:r>
        <w:rPr>
          <w:rFonts w:ascii="Arial" w:cs="Arial" w:eastAsia="Arial" w:hAnsi="Arial"/>
          <w:color w:val="555555"/>
          <w:sz w:val="22"/>
          <w:szCs w:val="22"/>
        </w:rPr>
        <w:t xml:space="preserve">Historique des appels d'offres reçus et statut de chaque réponse (soumise, retenue, non retenue)</w:t>
      </w:r>
    </w:p>
    <w:p>
      <w:pPr>
        <w:pStyle w:val="ListParagraph"/>
        <w:numPr>
          <w:ilvl w:val="0"/>
          <w:numId w:val="2"/>
        </w:numPr>
        <w:spacing w:after="60" w:before="60"/>
      </w:pPr>
      <w:r>
        <w:rPr>
          <w:rFonts w:ascii="Arial" w:cs="Arial" w:eastAsia="Arial" w:hAnsi="Arial"/>
          <w:color w:val="555555"/>
          <w:sz w:val="22"/>
          <w:szCs w:val="22"/>
        </w:rPr>
        <w:t xml:space="preserve">Notification de la décision de l'admin</w:t>
      </w:r>
    </w:p>
    <w:p>
      <w:pPr>
        <w:spacing w:after="0" w:before="200"/>
      </w:pPr>
    </w:p>
    <w:p>
      <w:pPr>
        <w:pStyle w:val="Heading2"/>
        <w:spacing w:after="120" w:before="280"/>
      </w:pPr>
      <w:r>
        <w:rPr>
          <w:rFonts w:ascii="Arial" w:cs="Arial" w:eastAsia="Arial" w:hAnsi="Arial"/>
          <w:b/>
          <w:bCs/>
          <w:color w:val="1F6FEB"/>
          <w:sz w:val="26"/>
          <w:szCs w:val="26"/>
        </w:rPr>
        <w:t xml:space="preserve">3.3 Interface Administrateur</w:t>
      </w:r>
    </w:p>
    <w:p>
      <w:pPr>
        <w:spacing w:after="100" w:before="200"/>
      </w:pPr>
      <w:r>
        <w:rPr>
          <w:rFonts w:ascii="Arial" w:cs="Arial" w:eastAsia="Arial" w:hAnsi="Arial"/>
          <w:b/>
          <w:bCs/>
          <w:color w:val="1A1A2E"/>
          <w:sz w:val="24"/>
          <w:szCs w:val="24"/>
        </w:rPr>
        <w:t xml:space="preserve">Gestion des demandes clients</w:t>
      </w:r>
    </w:p>
    <w:p>
      <w:pPr>
        <w:pStyle w:val="ListParagraph"/>
        <w:numPr>
          <w:ilvl w:val="0"/>
          <w:numId w:val="2"/>
        </w:numPr>
        <w:spacing w:after="60" w:before="60"/>
      </w:pPr>
      <w:r>
        <w:rPr>
          <w:rFonts w:ascii="Arial" w:cs="Arial" w:eastAsia="Arial" w:hAnsi="Arial"/>
          <w:color w:val="555555"/>
          <w:sz w:val="22"/>
          <w:szCs w:val="22"/>
        </w:rPr>
        <w:t xml:space="preserve">Vue centralisée de toutes les demandes entrantes avec filtres (statut, région, type de forage, date)</w:t>
      </w:r>
    </w:p>
    <w:p>
      <w:pPr>
        <w:pStyle w:val="ListParagraph"/>
        <w:numPr>
          <w:ilvl w:val="0"/>
          <w:numId w:val="2"/>
        </w:numPr>
        <w:spacing w:after="60" w:before="60"/>
      </w:pPr>
      <w:r>
        <w:rPr>
          <w:rFonts w:ascii="Arial" w:cs="Arial" w:eastAsia="Arial" w:hAnsi="Arial"/>
          <w:color w:val="555555"/>
          <w:sz w:val="22"/>
          <w:szCs w:val="22"/>
        </w:rPr>
        <w:t xml:space="preserve">Accès au budget confidentiel du client</w:t>
      </w:r>
    </w:p>
    <w:p>
      <w:pPr>
        <w:pStyle w:val="ListParagraph"/>
        <w:numPr>
          <w:ilvl w:val="0"/>
          <w:numId w:val="2"/>
        </w:numPr>
        <w:spacing w:after="60" w:before="60"/>
      </w:pPr>
      <w:r>
        <w:rPr>
          <w:rFonts w:ascii="Arial" w:cs="Arial" w:eastAsia="Arial" w:hAnsi="Arial"/>
          <w:color w:val="555555"/>
          <w:sz w:val="22"/>
          <w:szCs w:val="22"/>
        </w:rPr>
        <w:t xml:space="preserve">Validation ou rejet d'une demande avant traitement</w:t>
      </w:r>
    </w:p>
    <w:p>
      <w:pPr>
        <w:pStyle w:val="ListParagraph"/>
        <w:numPr>
          <w:ilvl w:val="0"/>
          <w:numId w:val="2"/>
        </w:numPr>
        <w:spacing w:after="60" w:before="60"/>
      </w:pPr>
      <w:r>
        <w:rPr>
          <w:rFonts w:ascii="Arial" w:cs="Arial" w:eastAsia="Arial" w:hAnsi="Arial"/>
          <w:color w:val="555555"/>
          <w:sz w:val="22"/>
          <w:szCs w:val="22"/>
        </w:rPr>
        <w:t xml:space="preserve">Lancement d'un appel d'offre : sélection manuelle des entreprises à solliciter + définition du délai de réponse</w:t>
      </w:r>
    </w:p>
    <w:p>
      <w:pPr>
        <w:spacing w:after="0" w:before="100"/>
      </w:pPr>
    </w:p>
    <w:p>
      <w:pPr>
        <w:spacing w:after="100" w:before="200"/>
      </w:pPr>
      <w:r>
        <w:rPr>
          <w:rFonts w:ascii="Arial" w:cs="Arial" w:eastAsia="Arial" w:hAnsi="Arial"/>
          <w:b/>
          <w:bCs/>
          <w:color w:val="1A1A2E"/>
          <w:sz w:val="24"/>
          <w:szCs w:val="24"/>
        </w:rPr>
        <w:t xml:space="preserve">Comparaison des offres</w:t>
      </w:r>
    </w:p>
    <w:p>
      <w:pPr>
        <w:pStyle w:val="ListParagraph"/>
        <w:numPr>
          <w:ilvl w:val="0"/>
          <w:numId w:val="2"/>
        </w:numPr>
        <w:spacing w:after="60" w:before="60"/>
      </w:pPr>
      <w:r>
        <w:rPr>
          <w:rFonts w:ascii="Arial" w:cs="Arial" w:eastAsia="Arial" w:hAnsi="Arial"/>
          <w:color w:val="555555"/>
          <w:sz w:val="22"/>
          <w:szCs w:val="22"/>
        </w:rPr>
        <w:t xml:space="preserve">Tableau comparatif automatique des offres reçues : prix, délai, entreprise</w:t>
      </w:r>
    </w:p>
    <w:p>
      <w:pPr>
        <w:pStyle w:val="ListParagraph"/>
        <w:numPr>
          <w:ilvl w:val="0"/>
          <w:numId w:val="2"/>
        </w:numPr>
        <w:spacing w:after="60" w:before="60"/>
      </w:pPr>
      <w:r>
        <w:rPr>
          <w:rFonts w:ascii="Arial" w:cs="Arial" w:eastAsia="Arial" w:hAnsi="Arial"/>
          <w:color w:val="555555"/>
          <w:sz w:val="22"/>
          <w:szCs w:val="22"/>
        </w:rPr>
        <w:t xml:space="preserve">Visualisation de la marge disponible (budget client − prix prestataire)</w:t>
      </w:r>
    </w:p>
    <w:p>
      <w:pPr>
        <w:pStyle w:val="ListParagraph"/>
        <w:numPr>
          <w:ilvl w:val="0"/>
          <w:numId w:val="2"/>
        </w:numPr>
        <w:spacing w:after="60" w:before="60"/>
      </w:pPr>
      <w:r>
        <w:rPr>
          <w:rFonts w:ascii="Arial" w:cs="Arial" w:eastAsia="Arial" w:hAnsi="Arial"/>
          <w:color w:val="555555"/>
          <w:sz w:val="22"/>
          <w:szCs w:val="22"/>
        </w:rPr>
        <w:t xml:space="preserve">Sélection de l'offre retenue</w:t>
      </w:r>
    </w:p>
    <w:p>
      <w:pPr>
        <w:pStyle w:val="ListParagraph"/>
        <w:numPr>
          <w:ilvl w:val="0"/>
          <w:numId w:val="2"/>
        </w:numPr>
        <w:spacing w:after="60" w:before="60"/>
      </w:pPr>
      <w:r>
        <w:rPr>
          <w:rFonts w:ascii="Arial" w:cs="Arial" w:eastAsia="Arial" w:hAnsi="Arial"/>
          <w:color w:val="555555"/>
          <w:sz w:val="22"/>
          <w:szCs w:val="22"/>
        </w:rPr>
        <w:t xml:space="preserve">Saisie du prix final à présenter au client (prix prestataire + marge admin)</w:t>
      </w:r>
    </w:p>
    <w:p>
      <w:pPr>
        <w:pStyle w:val="ListParagraph"/>
        <w:numPr>
          <w:ilvl w:val="0"/>
          <w:numId w:val="2"/>
        </w:numPr>
        <w:spacing w:after="60" w:before="60"/>
      </w:pPr>
      <w:r>
        <w:rPr>
          <w:rFonts w:ascii="Arial" w:cs="Arial" w:eastAsia="Arial" w:hAnsi="Arial"/>
          <w:color w:val="555555"/>
          <w:sz w:val="22"/>
          <w:szCs w:val="22"/>
        </w:rPr>
        <w:t xml:space="preserve">Alerte automatique si le prix final proposé dépasse le budget du client</w:t>
      </w:r>
    </w:p>
    <w:p>
      <w:pPr>
        <w:spacing w:after="0" w:before="100"/>
      </w:pPr>
    </w:p>
    <w:p>
      <w:pPr>
        <w:spacing w:after="100" w:before="200"/>
      </w:pPr>
      <w:r>
        <w:rPr>
          <w:rFonts w:ascii="Arial" w:cs="Arial" w:eastAsia="Arial" w:hAnsi="Arial"/>
          <w:b/>
          <w:bCs/>
          <w:color w:val="1A1A2E"/>
          <w:sz w:val="24"/>
          <w:szCs w:val="24"/>
        </w:rPr>
        <w:t xml:space="preserve">Envoi de l'offre au client</w:t>
      </w:r>
    </w:p>
    <w:p>
      <w:pPr>
        <w:pStyle w:val="ListParagraph"/>
        <w:numPr>
          <w:ilvl w:val="0"/>
          <w:numId w:val="2"/>
        </w:numPr>
        <w:spacing w:after="60" w:before="60"/>
      </w:pPr>
      <w:r>
        <w:rPr>
          <w:rFonts w:ascii="Arial" w:cs="Arial" w:eastAsia="Arial" w:hAnsi="Arial"/>
          <w:color w:val="555555"/>
          <w:sz w:val="22"/>
          <w:szCs w:val="22"/>
        </w:rPr>
        <w:t xml:space="preserve">Génération d'un récapitulatif d'offre (prestation, prix, délai)</w:t>
      </w:r>
    </w:p>
    <w:p>
      <w:pPr>
        <w:pStyle w:val="ListParagraph"/>
        <w:numPr>
          <w:ilvl w:val="0"/>
          <w:numId w:val="2"/>
        </w:numPr>
        <w:spacing w:after="60" w:before="60"/>
      </w:pPr>
      <w:r>
        <w:rPr>
          <w:rFonts w:ascii="Arial" w:cs="Arial" w:eastAsia="Arial" w:hAnsi="Arial"/>
          <w:color w:val="555555"/>
          <w:sz w:val="22"/>
          <w:szCs w:val="22"/>
        </w:rPr>
        <w:t xml:space="preserve">Envoi vers l'interface client avec notification automatique</w:t>
      </w:r>
    </w:p>
    <w:p>
      <w:pPr>
        <w:spacing w:after="0" w:before="100"/>
      </w:pPr>
    </w:p>
    <w:p>
      <w:pPr>
        <w:spacing w:after="100" w:before="200"/>
      </w:pPr>
      <w:r>
        <w:rPr>
          <w:rFonts w:ascii="Arial" w:cs="Arial" w:eastAsia="Arial" w:hAnsi="Arial"/>
          <w:b/>
          <w:bCs/>
          <w:color w:val="1A1A2E"/>
          <w:sz w:val="24"/>
          <w:szCs w:val="24"/>
        </w:rPr>
        <w:t xml:space="preserve">Gestion des utilisateurs</w:t>
      </w:r>
    </w:p>
    <w:p>
      <w:pPr>
        <w:pStyle w:val="ListParagraph"/>
        <w:numPr>
          <w:ilvl w:val="0"/>
          <w:numId w:val="2"/>
        </w:numPr>
        <w:spacing w:after="60" w:before="60"/>
      </w:pPr>
      <w:r>
        <w:rPr>
          <w:rFonts w:ascii="Arial" w:cs="Arial" w:eastAsia="Arial" w:hAnsi="Arial"/>
          <w:color w:val="555555"/>
          <w:sz w:val="22"/>
          <w:szCs w:val="22"/>
        </w:rPr>
        <w:t xml:space="preserve">Validation des comptes entreprises</w:t>
      </w:r>
    </w:p>
    <w:p>
      <w:pPr>
        <w:pStyle w:val="ListParagraph"/>
        <w:numPr>
          <w:ilvl w:val="0"/>
          <w:numId w:val="2"/>
        </w:numPr>
        <w:spacing w:after="60" w:before="60"/>
      </w:pPr>
      <w:r>
        <w:rPr>
          <w:rFonts w:ascii="Arial" w:cs="Arial" w:eastAsia="Arial" w:hAnsi="Arial"/>
          <w:color w:val="555555"/>
          <w:sz w:val="22"/>
          <w:szCs w:val="22"/>
        </w:rPr>
        <w:t xml:space="preserve">Suspension ou suppression de comptes (client ou entreprise)</w:t>
      </w:r>
    </w:p>
    <w:p>
      <w:pPr>
        <w:pStyle w:val="ListParagraph"/>
        <w:numPr>
          <w:ilvl w:val="0"/>
          <w:numId w:val="2"/>
        </w:numPr>
        <w:spacing w:after="60" w:before="60"/>
      </w:pPr>
      <w:r>
        <w:rPr>
          <w:rFonts w:ascii="Arial" w:cs="Arial" w:eastAsia="Arial" w:hAnsi="Arial"/>
          <w:color w:val="555555"/>
          <w:sz w:val="22"/>
          <w:szCs w:val="22"/>
        </w:rPr>
        <w:t xml:space="preserve">Gestion des rôles et droits d'accès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4. Workflow Global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2"/>
                <w:szCs w:val="22"/>
              </w:rPr>
              <w:t xml:space="preserve">Soumission de la demande</w:t>
            </w:r>
          </w:p>
          <w:p>
            <w:r>
              <w:rPr>
                <w:rFonts w:ascii="Arial" w:cs="Arial" w:eastAsia="Arial" w:hAnsi="Arial"/>
                <w:color w:val="555555"/>
                <w:sz w:val="20"/>
                <w:szCs w:val="20"/>
              </w:rPr>
              <w:t xml:space="preserve">Le client remplit le formulaire de demande avec sa localisation, ses besoins et son budget confidentiel.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1A1A2E"/>
                <w:sz w:val="22"/>
                <w:szCs w:val="22"/>
              </w:rPr>
              <w:t xml:space="preserve">Validation par l'admin</w:t>
            </w:r>
          </w:p>
          <w:p>
            <w:r>
              <w:rPr>
                <w:rFonts w:ascii="Arial" w:cs="Arial" w:eastAsia="Arial" w:hAnsi="Arial"/>
                <w:color w:val="555555"/>
                <w:sz w:val="20"/>
                <w:szCs w:val="20"/>
              </w:rPr>
              <w:t xml:space="preserve">L'administrateur examine la demande, la valide (ou la rejette) et prépare l'appel d'offre.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2"/>
                <w:szCs w:val="22"/>
              </w:rPr>
              <w:t xml:space="preserve">Lancement de l'appel d'offre</w:t>
            </w:r>
          </w:p>
          <w:p>
            <w:r>
              <w:rPr>
                <w:rFonts w:ascii="Arial" w:cs="Arial" w:eastAsia="Arial" w:hAnsi="Arial"/>
                <w:color w:val="555555"/>
                <w:sz w:val="20"/>
                <w:szCs w:val="20"/>
              </w:rPr>
              <w:t xml:space="preserve">L'admin sélectionne les entreprises pertinentes et leur envoie une invitation à soumettre une offre.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1A1A2E"/>
                <w:sz w:val="22"/>
                <w:szCs w:val="22"/>
              </w:rPr>
              <w:t xml:space="preserve">Réponse des entreprises</w:t>
            </w:r>
          </w:p>
          <w:p>
            <w:r>
              <w:rPr>
                <w:rFonts w:ascii="Arial" w:cs="Arial" w:eastAsia="Arial" w:hAnsi="Arial"/>
                <w:color w:val="555555"/>
                <w:sz w:val="20"/>
                <w:szCs w:val="20"/>
              </w:rPr>
              <w:t xml:space="preserve">Chaque entreprise soumet son offre (prix, délai, documents) dans le délai imparti.</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2"/>
                <w:szCs w:val="22"/>
              </w:rPr>
              <w:t xml:space="preserve">Comparaison et sélection</w:t>
            </w:r>
          </w:p>
          <w:p>
            <w:r>
              <w:rPr>
                <w:rFonts w:ascii="Arial" w:cs="Arial" w:eastAsia="Arial" w:hAnsi="Arial"/>
                <w:color w:val="555555"/>
                <w:sz w:val="20"/>
                <w:szCs w:val="20"/>
              </w:rPr>
              <w:t xml:space="preserve">L'admin compare les offres, calcule sa marge et sélectionne la meilleure offre dans le budget client.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1A1A2E"/>
                <w:sz w:val="22"/>
                <w:szCs w:val="22"/>
              </w:rPr>
              <w:t xml:space="preserve">Offre finale au client</w:t>
            </w:r>
          </w:p>
          <w:p>
            <w:r>
              <w:rPr>
                <w:rFonts w:ascii="Arial" w:cs="Arial" w:eastAsia="Arial" w:hAnsi="Arial"/>
                <w:color w:val="555555"/>
                <w:sz w:val="20"/>
                <w:szCs w:val="20"/>
              </w:rPr>
              <w:t xml:space="preserve">L'admin transmet l'offre finale au client (prix prestataire + marge) en respectant le plafond du budget.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1A1A2E"/>
                <w:sz w:val="22"/>
                <w:szCs w:val="22"/>
              </w:rPr>
              <w:t xml:space="preserve">Décision du client</w:t>
            </w:r>
          </w:p>
          <w:p>
            <w:r>
              <w:rPr>
                <w:rFonts w:ascii="Arial" w:cs="Arial" w:eastAsia="Arial" w:hAnsi="Arial"/>
                <w:color w:val="555555"/>
                <w:sz w:val="20"/>
                <w:szCs w:val="20"/>
              </w:rPr>
              <w:t xml:space="preserve">Le client accepte ou refuse l'offre depuis son tableau de bord.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1A1A2E"/>
                <w:sz w:val="22"/>
                <w:szCs w:val="22"/>
              </w:rPr>
              <w:t xml:space="preserve">Mise en relation officielle</w:t>
            </w:r>
          </w:p>
          <w:p>
            <w:r>
              <w:rPr>
                <w:rFonts w:ascii="Arial" w:cs="Arial" w:eastAsia="Arial" w:hAnsi="Arial"/>
                <w:color w:val="555555"/>
                <w:sz w:val="20"/>
                <w:szCs w:val="20"/>
              </w:rPr>
              <w:t xml:space="preserve">En cas d'acceptation : les parties sont officiellement mises en contact et le chantier peut démarrer.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5. Modules Transversaux</w:t>
            </w:r>
          </w:p>
        </w:tc>
      </w:tr>
    </w:tbl>
    <w:p>
      <w:pPr>
        <w:spacing w:after="0" w:before="160"/>
      </w:pPr>
    </w:p>
    <w:p>
      <w:pPr>
        <w:pStyle w:val="Heading2"/>
        <w:spacing w:after="120" w:before="280"/>
      </w:pPr>
      <w:r>
        <w:rPr>
          <w:rFonts w:ascii="Arial" w:cs="Arial" w:eastAsia="Arial" w:hAnsi="Arial"/>
          <w:b/>
          <w:bCs/>
          <w:color w:val="1F6FEB"/>
          <w:sz w:val="26"/>
          <w:szCs w:val="26"/>
        </w:rPr>
        <w:t xml:space="preserve">5.1 Système de Notifications</w:t>
      </w:r>
    </w:p>
    <w:p>
      <w:pPr>
        <w:pStyle w:val="ListParagraph"/>
        <w:numPr>
          <w:ilvl w:val="0"/>
          <w:numId w:val="2"/>
        </w:numPr>
        <w:spacing w:after="60" w:before="60"/>
      </w:pPr>
      <w:r>
        <w:rPr>
          <w:rFonts w:ascii="Arial" w:cs="Arial" w:eastAsia="Arial" w:hAnsi="Arial"/>
          <w:color w:val="555555"/>
          <w:sz w:val="22"/>
          <w:szCs w:val="22"/>
        </w:rPr>
        <w:t xml:space="preserve">Notifications email pour tous les acteurs à chaque étape clé du workflow</w:t>
      </w:r>
    </w:p>
    <w:p>
      <w:pPr>
        <w:pStyle w:val="ListParagraph"/>
        <w:numPr>
          <w:ilvl w:val="0"/>
          <w:numId w:val="2"/>
        </w:numPr>
        <w:spacing w:after="60" w:before="60"/>
      </w:pPr>
      <w:r>
        <w:rPr>
          <w:rFonts w:ascii="Arial" w:cs="Arial" w:eastAsia="Arial" w:hAnsi="Arial"/>
          <w:color w:val="555555"/>
          <w:sz w:val="22"/>
          <w:szCs w:val="22"/>
        </w:rPr>
        <w:t xml:space="preserve">Notifications SMS pour les étapes critiques : nouvelle offre reçue, offre finale envoyée, décision client</w:t>
      </w:r>
    </w:p>
    <w:p>
      <w:pPr>
        <w:pStyle w:val="ListParagraph"/>
        <w:numPr>
          <w:ilvl w:val="0"/>
          <w:numId w:val="2"/>
        </w:numPr>
        <w:spacing w:after="60" w:before="60"/>
      </w:pPr>
      <w:r>
        <w:rPr>
          <w:rFonts w:ascii="Arial" w:cs="Arial" w:eastAsia="Arial" w:hAnsi="Arial"/>
          <w:color w:val="555555"/>
          <w:sz w:val="22"/>
          <w:szCs w:val="22"/>
        </w:rPr>
        <w:t xml:space="preserve">Tableau de gestion des notifications côté admin (activation/désactivation par type)</w:t>
      </w:r>
    </w:p>
    <w:p>
      <w:pPr>
        <w:spacing w:after="0" w:before="100"/>
      </w:pPr>
    </w:p>
    <w:p>
      <w:pPr>
        <w:pStyle w:val="Heading2"/>
        <w:spacing w:after="120" w:before="280"/>
      </w:pPr>
      <w:r>
        <w:rPr>
          <w:rFonts w:ascii="Arial" w:cs="Arial" w:eastAsia="Arial" w:hAnsi="Arial"/>
          <w:b/>
          <w:bCs/>
          <w:color w:val="1F6FEB"/>
          <w:sz w:val="26"/>
          <w:szCs w:val="26"/>
        </w:rPr>
        <w:t xml:space="preserve">5.2 Gestion Documentaire</w:t>
      </w:r>
    </w:p>
    <w:p>
      <w:pPr>
        <w:pStyle w:val="ListParagraph"/>
        <w:numPr>
          <w:ilvl w:val="0"/>
          <w:numId w:val="2"/>
        </w:numPr>
        <w:spacing w:after="60" w:before="60"/>
      </w:pPr>
      <w:r>
        <w:rPr>
          <w:rFonts w:ascii="Arial" w:cs="Arial" w:eastAsia="Arial" w:hAnsi="Arial"/>
          <w:color w:val="555555"/>
          <w:sz w:val="22"/>
          <w:szCs w:val="22"/>
        </w:rPr>
        <w:t xml:space="preserve">Upload de fichiers (PDF, images, formats techniques) sur les demandes et les offres</w:t>
      </w:r>
    </w:p>
    <w:p>
      <w:pPr>
        <w:pStyle w:val="ListParagraph"/>
        <w:numPr>
          <w:ilvl w:val="0"/>
          <w:numId w:val="2"/>
        </w:numPr>
        <w:spacing w:after="60" w:before="60"/>
      </w:pPr>
      <w:r>
        <w:rPr>
          <w:rFonts w:ascii="Arial" w:cs="Arial" w:eastAsia="Arial" w:hAnsi="Arial"/>
          <w:color w:val="555555"/>
          <w:sz w:val="22"/>
          <w:szCs w:val="22"/>
        </w:rPr>
        <w:t xml:space="preserve">Stockage sécurisé avec accès restreint par rôle</w:t>
      </w:r>
    </w:p>
    <w:p>
      <w:pPr>
        <w:spacing w:after="0" w:before="100"/>
      </w:pPr>
    </w:p>
    <w:p>
      <w:pPr>
        <w:pStyle w:val="Heading2"/>
        <w:spacing w:after="120" w:before="280"/>
      </w:pPr>
      <w:r>
        <w:rPr>
          <w:rFonts w:ascii="Arial" w:cs="Arial" w:eastAsia="Arial" w:hAnsi="Arial"/>
          <w:b/>
          <w:bCs/>
          <w:color w:val="1F6FEB"/>
          <w:sz w:val="26"/>
          <w:szCs w:val="26"/>
        </w:rPr>
        <w:t xml:space="preserve">5.3 Messagerie Interne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6FEB" w:sz="16"/>
              <w:bottom w:val="none" w:color="FFFFFF" w:sz="0"/>
              <w:right w:val="none" w:color="FFFFFF" w:sz="0"/>
            </w:tcBorders>
            <w:shd w:fill="EAF2FF" w:val="clear"/>
            <w:tcMar>
              <w:top w:type="dxa" w:w="100"/>
              <w:left w:type="dxa" w:w="200"/>
              <w:bottom w:type="dxa" w:w="100"/>
              <w:right w:type="dxa" w:w="200"/>
            </w:tcMar>
          </w:tcPr>
          <w:p>
            <w:r>
              <w:rPr>
                <w:rFonts w:ascii="Arial" w:cs="Arial" w:eastAsia="Arial" w:hAnsi="Arial"/>
                <w:i/>
                <w:iCs/>
                <w:color w:val="1A1A2E"/>
                <w:sz w:val="22"/>
                <w:szCs w:val="22"/>
              </w:rPr>
              <w:t xml:space="preserve">Ce module est fortement recommandé pour conserver une traçabilité complète des échanges et éviter les communications hors plateforme.</w:t>
            </w:r>
          </w:p>
        </w:tc>
      </w:tr>
    </w:tbl>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Canal de discussion contextuel par demande (Admin ↔ Client et Admin ↔ Entreprise)</w:t>
      </w:r>
    </w:p>
    <w:p>
      <w:pPr>
        <w:pStyle w:val="ListParagraph"/>
        <w:numPr>
          <w:ilvl w:val="0"/>
          <w:numId w:val="2"/>
        </w:numPr>
        <w:spacing w:after="60" w:before="60"/>
      </w:pPr>
      <w:r>
        <w:rPr>
          <w:rFonts w:ascii="Arial" w:cs="Arial" w:eastAsia="Arial" w:hAnsi="Arial"/>
          <w:color w:val="555555"/>
          <w:sz w:val="22"/>
          <w:szCs w:val="22"/>
        </w:rPr>
        <w:t xml:space="preserve">Les entreprises et clients ne communiquent jamais directement entre eux</w:t>
      </w:r>
    </w:p>
    <w:p>
      <w:pPr>
        <w:pStyle w:val="ListParagraph"/>
        <w:numPr>
          <w:ilvl w:val="0"/>
          <w:numId w:val="2"/>
        </w:numPr>
        <w:spacing w:after="60" w:before="60"/>
      </w:pPr>
      <w:r>
        <w:rPr>
          <w:rFonts w:ascii="Arial" w:cs="Arial" w:eastAsia="Arial" w:hAnsi="Arial"/>
          <w:color w:val="555555"/>
          <w:sz w:val="22"/>
          <w:szCs w:val="22"/>
        </w:rPr>
        <w:t xml:space="preserve">Notification à chaque nouveau message reçu</w:t>
      </w:r>
    </w:p>
    <w:p>
      <w:pPr>
        <w:spacing w:after="0" w:before="100"/>
      </w:pPr>
    </w:p>
    <w:p>
      <w:pPr>
        <w:pStyle w:val="Heading2"/>
        <w:spacing w:after="120" w:before="280"/>
      </w:pPr>
      <w:r>
        <w:rPr>
          <w:rFonts w:ascii="Arial" w:cs="Arial" w:eastAsia="Arial" w:hAnsi="Arial"/>
          <w:b/>
          <w:bCs/>
          <w:color w:val="1F6FEB"/>
          <w:sz w:val="26"/>
          <w:szCs w:val="26"/>
        </w:rPr>
        <w:t xml:space="preserve">5.4 Tableau de Bord Analytique (Admin)</w:t>
      </w:r>
    </w:p>
    <w:p>
      <w:pPr>
        <w:pStyle w:val="ListParagraph"/>
        <w:numPr>
          <w:ilvl w:val="0"/>
          <w:numId w:val="2"/>
        </w:numPr>
        <w:spacing w:after="60" w:before="60"/>
      </w:pPr>
      <w:r>
        <w:rPr>
          <w:rFonts w:ascii="Arial" w:cs="Arial" w:eastAsia="Arial" w:hAnsi="Arial"/>
          <w:color w:val="555555"/>
          <w:sz w:val="22"/>
          <w:szCs w:val="22"/>
        </w:rPr>
        <w:t xml:space="preserve">Nombre de demandes par période (semaine / mois / année)</w:t>
      </w:r>
    </w:p>
    <w:p>
      <w:pPr>
        <w:pStyle w:val="ListParagraph"/>
        <w:numPr>
          <w:ilvl w:val="0"/>
          <w:numId w:val="2"/>
        </w:numPr>
        <w:spacing w:after="60" w:before="60"/>
      </w:pPr>
      <w:r>
        <w:rPr>
          <w:rFonts w:ascii="Arial" w:cs="Arial" w:eastAsia="Arial" w:hAnsi="Arial"/>
          <w:color w:val="555555"/>
          <w:sz w:val="22"/>
          <w:szCs w:val="22"/>
        </w:rPr>
        <w:t xml:space="preserve">Taux de conversion : demandes soumises → offres acceptées</w:t>
      </w:r>
    </w:p>
    <w:p>
      <w:pPr>
        <w:pStyle w:val="ListParagraph"/>
        <w:numPr>
          <w:ilvl w:val="0"/>
          <w:numId w:val="2"/>
        </w:numPr>
        <w:spacing w:after="60" w:before="60"/>
      </w:pPr>
      <w:r>
        <w:rPr>
          <w:rFonts w:ascii="Arial" w:cs="Arial" w:eastAsia="Arial" w:hAnsi="Arial"/>
          <w:color w:val="555555"/>
          <w:sz w:val="22"/>
          <w:szCs w:val="22"/>
        </w:rPr>
        <w:t xml:space="preserve">Chiffre d'affaires généré et marges cumulées</w:t>
      </w:r>
    </w:p>
    <w:p>
      <w:pPr>
        <w:pStyle w:val="ListParagraph"/>
        <w:numPr>
          <w:ilvl w:val="0"/>
          <w:numId w:val="2"/>
        </w:numPr>
        <w:spacing w:after="60" w:before="60"/>
      </w:pPr>
      <w:r>
        <w:rPr>
          <w:rFonts w:ascii="Arial" w:cs="Arial" w:eastAsia="Arial" w:hAnsi="Arial"/>
          <w:color w:val="555555"/>
          <w:sz w:val="22"/>
          <w:szCs w:val="22"/>
        </w:rPr>
        <w:t xml:space="preserve">Répartition géographique des demandes (visualisation cartographique)</w:t>
      </w:r>
    </w:p>
    <w:p>
      <w:pPr>
        <w:pStyle w:val="ListParagraph"/>
        <w:numPr>
          <w:ilvl w:val="0"/>
          <w:numId w:val="2"/>
        </w:numPr>
        <w:spacing w:after="60" w:before="60"/>
      </w:pPr>
      <w:r>
        <w:rPr>
          <w:rFonts w:ascii="Arial" w:cs="Arial" w:eastAsia="Arial" w:hAnsi="Arial"/>
          <w:color w:val="555555"/>
          <w:sz w:val="22"/>
          <w:szCs w:val="22"/>
        </w:rPr>
        <w:t xml:space="preserve">Classement des entreprises les plus performantes (prix, délai, taux de sélection)</w:t>
      </w:r>
    </w:p>
    <w:p>
      <w:pPr>
        <w:pStyle w:val="ListParagraph"/>
        <w:numPr>
          <w:ilvl w:val="0"/>
          <w:numId w:val="2"/>
        </w:numPr>
        <w:spacing w:after="60" w:before="60"/>
      </w:pPr>
      <w:r>
        <w:rPr>
          <w:rFonts w:ascii="Arial" w:cs="Arial" w:eastAsia="Arial" w:hAnsi="Arial"/>
          <w:color w:val="555555"/>
          <w:sz w:val="22"/>
          <w:szCs w:val="22"/>
        </w:rPr>
        <w:t xml:space="preserve">Alertes automatiques sur les demandes sans réponse depuis X jours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6. Règles de Sécurité et Confidentialité</w:t>
            </w:r>
          </w:p>
        </w:tc>
      </w:tr>
    </w:tbl>
    <w:p>
      <w:pPr>
        <w:spacing w:after="0" w:before="160"/>
      </w:pPr>
    </w:p>
    <w:p>
      <w:pPr>
        <w:spacing w:after="80" w:before="80"/>
        <w:jc w:val="both"/>
      </w:pPr>
      <w:r>
        <w:rPr>
          <w:rFonts w:ascii="Arial" w:cs="Arial" w:eastAsia="Arial" w:hAnsi="Arial"/>
          <w:color w:val="555555"/>
          <w:sz w:val="22"/>
          <w:szCs w:val="22"/>
        </w:rPr>
        <w:t xml:space="preserve">Les règles suivantes sont non-négociables et doivent être respectées dans l'ensemble de la plateforme :</w:t>
      </w:r>
    </w:p>
    <w:p>
      <w:pPr>
        <w:spacing w:after="0" w:before="80"/>
      </w:pPr>
    </w:p>
    <w:p>
      <w:pPr>
        <w:pStyle w:val="ListParagraph"/>
        <w:numPr>
          <w:ilvl w:val="0"/>
          <w:numId w:val="2"/>
        </w:numPr>
        <w:spacing w:after="60" w:before="60"/>
      </w:pPr>
      <w:r>
        <w:rPr>
          <w:rFonts w:ascii="Arial" w:cs="Arial" w:eastAsia="Arial" w:hAnsi="Arial"/>
          <w:color w:val="555555"/>
          <w:sz w:val="22"/>
          <w:szCs w:val="22"/>
        </w:rPr>
        <w:t xml:space="preserve">Le budget du client est strictement masqué aux entreprises prestataires, en permanence</w:t>
      </w:r>
    </w:p>
    <w:p>
      <w:pPr>
        <w:pStyle w:val="ListParagraph"/>
        <w:numPr>
          <w:ilvl w:val="0"/>
          <w:numId w:val="2"/>
        </w:numPr>
        <w:spacing w:after="60" w:before="60"/>
      </w:pPr>
      <w:r>
        <w:rPr>
          <w:rFonts w:ascii="Arial" w:cs="Arial" w:eastAsia="Arial" w:hAnsi="Arial"/>
          <w:color w:val="555555"/>
          <w:sz w:val="22"/>
          <w:szCs w:val="22"/>
        </w:rPr>
        <w:t xml:space="preserve">Les offres des entreprises sont masquées entre elles — pas de système d'enchères visibles</w:t>
      </w:r>
    </w:p>
    <w:p>
      <w:pPr>
        <w:pStyle w:val="ListParagraph"/>
        <w:numPr>
          <w:ilvl w:val="0"/>
          <w:numId w:val="2"/>
        </w:numPr>
        <w:spacing w:after="60" w:before="60"/>
      </w:pPr>
      <w:r>
        <w:rPr>
          <w:rFonts w:ascii="Arial" w:cs="Arial" w:eastAsia="Arial" w:hAnsi="Arial"/>
          <w:color w:val="555555"/>
          <w:sz w:val="22"/>
          <w:szCs w:val="22"/>
        </w:rPr>
        <w:t xml:space="preserve">Authentification sécurisée avec gestion des sessions et récupération de mot de passe</w:t>
      </w:r>
    </w:p>
    <w:p>
      <w:pPr>
        <w:pStyle w:val="ListParagraph"/>
        <w:numPr>
          <w:ilvl w:val="0"/>
          <w:numId w:val="2"/>
        </w:numPr>
        <w:spacing w:after="60" w:before="60"/>
      </w:pPr>
      <w:r>
        <w:rPr>
          <w:rFonts w:ascii="Arial" w:cs="Arial" w:eastAsia="Arial" w:hAnsi="Arial"/>
          <w:color w:val="555555"/>
          <w:sz w:val="22"/>
          <w:szCs w:val="22"/>
        </w:rPr>
        <w:t xml:space="preserve">Contrôle d'accès strict par rôle : aucune action hors du périmètre autorisé</w:t>
      </w:r>
    </w:p>
    <w:p>
      <w:pPr>
        <w:pStyle w:val="ListParagraph"/>
        <w:numPr>
          <w:ilvl w:val="0"/>
          <w:numId w:val="2"/>
        </w:numPr>
        <w:spacing w:after="60" w:before="60"/>
      </w:pPr>
      <w:r>
        <w:rPr>
          <w:rFonts w:ascii="Arial" w:cs="Arial" w:eastAsia="Arial" w:hAnsi="Arial"/>
          <w:color w:val="555555"/>
          <w:sz w:val="22"/>
          <w:szCs w:val="22"/>
        </w:rPr>
        <w:t xml:space="preserve">Toutes les transitions de statut suivent un workflow contrôlé — aucune transition hors séquence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6FEB" w:val="clear"/>
            <w:tcMar>
              <w:top w:type="dxa" w:w="120"/>
              <w:left w:type="dxa" w:w="200"/>
              <w:bottom w:type="dxa" w:w="120"/>
              <w:right w:type="dxa" w:w="200"/>
            </w:tcMar>
          </w:tcPr>
          <w:p>
            <w:r>
              <w:rPr>
                <w:rFonts w:ascii="Arial" w:cs="Arial" w:eastAsia="Arial" w:hAnsi="Arial"/>
                <w:b/>
                <w:bCs/>
                <w:color w:val="FFFFFF"/>
                <w:sz w:val="28"/>
                <w:szCs w:val="28"/>
              </w:rPr>
              <w:t xml:space="preserve">7. Évolutions Futures — Phase 2</w:t>
            </w:r>
          </w:p>
        </w:tc>
      </w:tr>
    </w:tbl>
    <w:p>
      <w:pPr>
        <w:spacing w:after="0" w:before="160"/>
      </w:pPr>
    </w:p>
    <w:p>
      <w:pPr>
        <w:spacing w:after="80" w:before="80"/>
        <w:jc w:val="both"/>
      </w:pPr>
      <w:r>
        <w:rPr>
          <w:rFonts w:ascii="Arial" w:cs="Arial" w:eastAsia="Arial" w:hAnsi="Arial"/>
          <w:color w:val="555555"/>
          <w:sz w:val="22"/>
          <w:szCs w:val="22"/>
        </w:rPr>
        <w:t xml:space="preserve">Les fonctionnalités suivantes ne font pas partie du périmètre initial mais sont identifiées pour une itération ultérieure :</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6FEB" w:val="clear"/>
            <w:tcMar>
              <w:top w:type="dxa" w:w="100"/>
              <w:left w:type="dxa" w:w="160"/>
              <w:bottom w:type="dxa" w:w="100"/>
              <w:right w:type="dxa" w:w="160"/>
            </w:tcMar>
          </w:tcPr>
          <w:p>
            <w:r>
              <w:rPr>
                <w:rFonts w:ascii="Arial" w:cs="Arial" w:eastAsia="Arial" w:hAnsi="Arial"/>
                <w:b/>
                <w:bCs/>
                <w:color w:val="FFFFFF"/>
                <w:sz w:val="22"/>
                <w:szCs w:val="22"/>
              </w:rPr>
              <w:t xml:space="preserve">Module</w:t>
            </w:r>
          </w:p>
        </w:tc>
        <w:tc>
          <w:tcPr>
            <w:tcW w:type="dxa" w:w="6560"/>
            <w:tcBorders>
              <w:top w:val="single" w:color="DDDDDD" w:sz="1"/>
              <w:left w:val="single" w:color="DDDDDD" w:sz="1"/>
              <w:bottom w:val="single" w:color="DDDDDD" w:sz="1"/>
              <w:right w:val="single" w:color="DDDDDD" w:sz="1"/>
            </w:tcBorders>
            <w:shd w:fill="1F6FE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2"/>
                <w:szCs w:val="22"/>
              </w:rPr>
              <w:t xml:space="preserve">Paiement en ligne</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2"/>
                <w:szCs w:val="22"/>
              </w:rPr>
              <w:t xml:space="preserve">Versement d'acompte ou paiement complet en ligne, avec reversement automatique à l'entreprise (moins la marge admin).</w:t>
            </w:r>
          </w:p>
        </w:tc>
      </w:tr>
      <w:tr>
        <w:tc>
          <w:tcPr>
            <w:tcW w:type="dxa" w:w="28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1A1A2E"/>
                <w:sz w:val="22"/>
                <w:szCs w:val="22"/>
              </w:rPr>
              <w:t xml:space="preserve">Évaluation</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2"/>
                <w:szCs w:val="22"/>
              </w:rPr>
              <w:t xml:space="preserve">Après clôture du chantier, le client note l'entreprise. Le classement alimente les recommandations de l'admin.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2E"/>
                <w:sz w:val="22"/>
                <w:szCs w:val="22"/>
              </w:rPr>
              <w:t xml:space="preserve">Contrat numérique</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555555"/>
                <w:sz w:val="22"/>
                <w:szCs w:val="22"/>
              </w:rPr>
              <w:t xml:space="preserve">Génération automatique d'un bon de commande ou contrat PDF signable en ligne à l'acceptation de l'offre.</w:t>
            </w:r>
          </w:p>
        </w:tc>
      </w:tr>
      <w:tr>
        <w:tc>
          <w:tcPr>
            <w:tcW w:type="dxa" w:w="28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1A1A2E"/>
                <w:sz w:val="22"/>
                <w:szCs w:val="22"/>
              </w:rPr>
              <w:t xml:space="preserve">Application mobile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2"/>
                <w:szCs w:val="22"/>
              </w:rPr>
              <w:t xml:space="preserve">Version mobile dédiée pour le suivi client et la réception d'appels d'offres entreprise.</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F6FEB" w:sz="16"/>
              <w:bottom w:val="none" w:color="FFFFFF" w:sz="0"/>
              <w:right w:val="none" w:color="FFFFFF" w:sz="0"/>
            </w:tcBorders>
            <w:shd w:fill="EAF2FF" w:val="clear"/>
            <w:tcMar>
              <w:top w:type="dxa" w:w="100"/>
              <w:left w:type="dxa" w:w="200"/>
              <w:bottom w:type="dxa" w:w="100"/>
              <w:right w:type="dxa" w:w="200"/>
            </w:tcMar>
          </w:tcPr>
          <w:p>
            <w:r>
              <w:rPr>
                <w:rFonts w:ascii="Arial" w:cs="Arial" w:eastAsia="Arial" w:hAnsi="Arial"/>
                <w:i/>
                <w:iCs/>
                <w:color w:val="1A1A2E"/>
                <w:sz w:val="22"/>
                <w:szCs w:val="22"/>
              </w:rPr>
              <w:t xml:space="preserve">Ce document est un cahier des charges fonctionnel de premier niveau. Il a vocation à être affiné lors des ateliers de cadrage avec les parties prenantes. La stack technique, les maquettes UI/UX et le plan de développement feront l'objet de documents complémentaires.</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spacing w:before="80"/>
    </w:pPr>
    <w:r>
      <w:rPr>
        <w:rFonts w:ascii="Arial" w:cs="Arial" w:eastAsia="Arial" w:hAnsi="Arial"/>
        <w:color w:val="AAAAAA"/>
        <w:sz w:val="18"/>
        <w:szCs w:val="18"/>
      </w:rPr>
      <w:t xml:space="preserve">Document confidentiel</w:t>
    </w:r>
    <w:r>
      <w:rPr>
        <w:sz w:val="18"/>
        <w:szCs w:val="18"/>
      </w:rPr>
      <w:t xml:space="preserv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4"/>
      </w:pBdr>
      <w:tabs>
        <w:tab w:val="right" w:pos="9026"/>
      </w:tabs>
      <w:spacing w:after="120"/>
    </w:pPr>
    <w:r>
      <w:rPr>
        <w:rFonts w:ascii="Arial" w:cs="Arial" w:eastAsia="Arial" w:hAnsi="Arial"/>
        <w:color w:val="555555"/>
        <w:sz w:val="18"/>
        <w:szCs w:val="18"/>
      </w:rPr>
      <w:t xml:space="preserve">Cahier des Charges — Plateforme de Forage</w:t>
    </w:r>
    <w:r>
      <w:rPr>
        <w:sz w:val="18"/>
        <w:szCs w:val="18"/>
      </w:rPr>
      <w:t xml:space="preserve">	</w:t>
    </w:r>
    <w:r>
      <w:rPr>
        <w:rFonts w:ascii="Arial" w:cs="Arial" w:eastAsia="Arial" w:hAnsi="Arial"/>
        <w:color w:val="1F6FEB"/>
        <w:sz w:val="18"/>
        <w:szCs w:val="18"/>
      </w:rPr>
      <w:t xml:space="preserve">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2026-04-01T09:46:08.274Z</dcterms:created>
  <dcterms:modified xsi:type="dcterms:W3CDTF">2026-04-01T09:46:08.295Z</dcterms:modified>
</cp:coreProperties>
</file>

<file path=docProps/custom.xml><?xml version="1.0" encoding="utf-8"?>
<Properties xmlns="http://schemas.openxmlformats.org/officeDocument/2006/custom-properties" xmlns:vt="http://schemas.openxmlformats.org/officeDocument/2006/docPropsVTypes"/>
</file>