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Arial" w:cs="Arial" w:eastAsia="Arial" w:hAnsi="Arial"/>
          <w:color w:val="1A1A1A"/>
          <w:sz w:val="22"/>
          <w:szCs w:val="22"/>
        </w:rPr>
        <w:t xml:space="preserve"/>
      </w:r>
    </w:p>
    <w:p>
      <w:pPr>
        <w:spacing w:after="80" w:before="0"/>
        <w:jc w:val="center"/>
      </w:pPr>
      <w:r>
        <w:rPr>
          <w:rFonts w:ascii="Arial" w:cs="Arial" w:eastAsia="Arial" w:hAnsi="Arial"/>
          <w:color w:val="6A6A6A"/>
          <w:sz w:val="20"/>
          <w:szCs w:val="20"/>
        </w:rPr>
        <w:t xml:space="preserve">ECON 454 — Business Analytics to Software Implementation</w:t>
      </w:r>
    </w:p>
    <w:p>
      <w:pPr>
        <w:spacing w:after="80" w:before="0"/>
        <w:jc w:val="center"/>
      </w:pPr>
      <w:r>
        <w:rPr>
          <w:rFonts w:ascii="Arial" w:cs="Arial" w:eastAsia="Arial" w:hAnsi="Arial"/>
          <w:b/>
          <w:bCs/>
          <w:color w:val="1E3A5F"/>
          <w:sz w:val="72"/>
          <w:szCs w:val="72"/>
        </w:rPr>
        <w:t xml:space="preserve">MAXXES</w:t>
      </w:r>
    </w:p>
    <w:p>
      <w:pPr>
        <w:spacing w:after="80" w:before="0"/>
        <w:jc w:val="center"/>
      </w:pPr>
      <w:r>
        <w:rPr>
          <w:rFonts w:ascii="Arial" w:cs="Arial" w:eastAsia="Arial" w:hAnsi="Arial"/>
          <w:color w:val="B8860B"/>
          <w:sz w:val="32"/>
          <w:szCs w:val="32"/>
        </w:rPr>
        <w:t xml:space="preserve">Fan Loyalty &amp; Intelligence Platform</w:t>
      </w:r>
    </w:p>
    <w:p>
      <w:pPr>
        <w:spacing w:after="80" w:before="0"/>
        <w:jc w:val="center"/>
      </w:pPr>
      <w:r>
        <w:rPr>
          <w:rFonts w:ascii="Arial" w:cs="Arial" w:eastAsia="Arial" w:hAnsi="Arial"/>
          <w:color w:val="4A4A4A"/>
          <w:sz w:val="24"/>
          <w:szCs w:val="24"/>
        </w:rPr>
        <w:t xml:space="preserve">Week 5 Deliverable — Comprehensive Build Document</w:t>
      </w:r>
    </w:p>
    <w:p>
      <w:pPr>
        <w:spacing w:after="0" w:before="0"/>
        <w:jc w:val="center"/>
      </w:pPr>
      <w:r>
        <w:rPr>
          <w:rFonts w:ascii="Arial" w:cs="Arial" w:eastAsia="Arial" w:hAnsi="Arial"/>
          <w:i/>
          <w:iCs/>
          <w:color w:val="6A6A6A"/>
          <w:sz w:val="20"/>
          <w:szCs w:val="20"/>
        </w:rPr>
        <w:t xml:space="preserve">From Market Research to Build Plan: Mapping Business Analytics into the Live Events Fan Ranking Widget</w:t>
      </w:r>
    </w:p>
    <w:p>
      <w:pPr>
        <w:spacing w:after="16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DF5" w:val="clear"/>
            <w:tcMar>
              <w:top w:type="dxa" w:w="200"/>
              <w:left w:type="dxa" w:w="280"/>
              <w:bottom w:type="dxa" w:w="200"/>
              <w:right w:type="dxa" w:w="280"/>
            </w:tcMar>
          </w:tcPr>
          <w:p>
            <w:pPr>
              <w:spacing w:after="80" w:before="0"/>
              <w:jc w:val="center"/>
            </w:pPr>
            <w:r>
              <w:rPr>
                <w:rFonts w:ascii="Arial" w:cs="Arial" w:eastAsia="Arial" w:hAnsi="Arial"/>
                <w:b/>
                <w:bCs/>
                <w:color w:val="1E3A5F"/>
                <w:sz w:val="20"/>
                <w:szCs w:val="20"/>
              </w:rPr>
              <w:t xml:space="preserve">Session Goal</w:t>
            </w:r>
          </w:p>
          <w:p>
            <w:pPr>
              <w:spacing w:after="0" w:before="0"/>
              <w:jc w:val="center"/>
            </w:pPr>
            <w:r>
              <w:rPr>
                <w:rFonts w:ascii="Arial" w:cs="Arial" w:eastAsia="Arial" w:hAnsi="Arial"/>
                <w:color w:val="1A1A1A"/>
                <w:sz w:val="20"/>
                <w:szCs w:val="20"/>
              </w:rPr>
              <w:t xml:space="preserve">Students leave with a precise map of how the Maxxes business analytics layer becomes actual software — data objects, dashboard components, XP scoring logic, tier system, recommendation engine, fan segments, market positioning, and Week 5–6 implementation tasks — all aligned to the Master Guiding Document.</w:t>
            </w:r>
          </w:p>
        </w:tc>
      </w:tr>
    </w:tbl>
    <w:p>
      <w:pPr>
        <w:spacing w:after="320" w:before="0"/>
      </w:pPr>
      <w:r>
        <w:rPr>
          <w:rFonts w:ascii="Arial" w:cs="Arial" w:eastAsia="Arial" w:hAnsi="Arial"/>
          <w:color w:val="1A1A1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6560"/>
        <w:gridCol w:w="2160"/>
      </w:tblGrid>
      <w:tr>
        <w:tc>
          <w:tcPr>
            <w:tcW w:type="dxa" w:w="640"/>
            <w:tcBorders>
              <w:top w:val="none" w:color="FFFFFF" w:sz="0"/>
              <w:left w:val="none" w:color="FFFFFF" w:sz="0"/>
              <w:bottom w:val="none" w:color="FFFFFF" w:sz="0"/>
              <w:right w:val="none" w:color="FFFFFF" w:sz="0"/>
            </w:tcBorders>
            <w:shd w:fill="1E3A5F"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01</w:t>
            </w:r>
          </w:p>
        </w:tc>
        <w:tc>
          <w:tcPr>
            <w:tcW w:type="dxa" w:w="6560"/>
            <w:tcBorders>
              <w:top w:val="none" w:color="FFFFFF" w:sz="0"/>
              <w:left w:val="none" w:color="FFFFFF" w:sz="0"/>
              <w:bottom w:val="none" w:color="FFFFFF" w:sz="0"/>
              <w:right w:val="none" w:color="FFFFFF" w:sz="0"/>
            </w:tcBorders>
            <w:shd w:fill="E8EDF5" w:val="clear"/>
            <w:tcMar>
              <w:top w:type="dxa" w:w="120"/>
              <w:left w:type="dxa" w:w="200"/>
              <w:bottom w:type="dxa" w:w="120"/>
              <w:right w:type="dxa" w:w="120"/>
            </w:tcMar>
          </w:tcPr>
          <w:p>
            <w:r>
              <w:rPr>
                <w:rFonts w:ascii="Arial" w:cs="Arial" w:eastAsia="Arial" w:hAnsi="Arial"/>
                <w:b/>
                <w:bCs/>
                <w:color w:val="1E3A5F"/>
                <w:sz w:val="24"/>
                <w:szCs w:val="24"/>
              </w:rPr>
              <w:t xml:space="preserve">FRAMING</w:t>
            </w:r>
          </w:p>
        </w:tc>
        <w:tc>
          <w:tcPr>
            <w:tcW w:type="dxa" w:w="2160"/>
            <w:tcBorders>
              <w:top w:val="none" w:color="FFFFFF" w:sz="0"/>
              <w:left w:val="none" w:color="FFFFFF" w:sz="0"/>
              <w:bottom w:val="none" w:color="FFFFFF" w:sz="0"/>
              <w:right w:val="none" w:color="FFFFFF" w:sz="0"/>
            </w:tcBorders>
            <w:shd w:fill="B8C8DC" w:val="clear"/>
            <w:tcMar>
              <w:top w:type="dxa" w:w="120"/>
              <w:left w:type="dxa" w:w="120"/>
              <w:bottom w:type="dxa" w:w="120"/>
              <w:right w:type="dxa" w:w="120"/>
            </w:tcMar>
            <w:vAlign w:val="center"/>
          </w:tcPr>
          <w:p>
            <w:pPr>
              <w:jc w:val="right"/>
            </w:pPr>
            <w:r>
              <w:rPr>
                <w:rFonts w:ascii="Arial" w:cs="Arial" w:eastAsia="Arial" w:hAnsi="Arial"/>
                <w:color w:val="1E3A5F"/>
                <w:sz w:val="18"/>
                <w:szCs w:val="18"/>
              </w:rPr>
              <w:t xml:space="preserve">0 – 10 Minutes</w:t>
            </w:r>
          </w:p>
        </w:tc>
      </w:tr>
    </w:tbl>
    <w:p>
      <w:pPr>
        <w:spacing w:after="80" w:before="0"/>
      </w:pPr>
      <w:r>
        <w:rPr>
          <w:rFonts w:ascii="Arial" w:cs="Arial" w:eastAsia="Arial" w:hAnsi="Arial"/>
          <w:color w:val="1A1A1A"/>
          <w:sz w:val="22"/>
          <w:szCs w:val="22"/>
        </w:rPr>
        <w:t xml:space="preserve"/>
      </w:r>
    </w:p>
    <w:p>
      <w:pPr>
        <w:spacing w:after="100" w:before="60" w:line="330"/>
      </w:pPr>
      <w:r>
        <w:rPr>
          <w:rFonts w:ascii="Arial" w:cs="Arial" w:eastAsia="Arial" w:hAnsi="Arial"/>
          <w:color w:val="1A1A1A"/>
          <w:sz w:val="22"/>
          <w:szCs w:val="22"/>
        </w:rPr>
        <w:t xml:space="preserve">Every visible part of the Maxxes software must trace back to a business analytics question. Maxxes is not a vague fan app. It is a coherent platform with a clear user, a clear business problem, a multi-window data collection layer, an XP-based ranking algorithm, a tier classification system, a recommendation engine, and a reward/action layer that drives revenue for venues and recognition for fans.</w:t>
      </w:r>
    </w:p>
    <w:p>
      <w:pPr>
        <w:spacing w:after="80" w:before="0"/>
      </w:pPr>
      <w:r>
        <w:rPr>
          <w:rFonts w:ascii="Arial" w:cs="Arial" w:eastAsia="Arial" w:hAnsi="Arial"/>
          <w:color w:val="1A1A1A"/>
          <w:sz w:val="22"/>
          <w:szCs w:val="22"/>
        </w:rPr>
        <w:t xml:space="preserve"/>
      </w:r>
    </w:p>
    <w:p>
      <w:pPr>
        <w:pStyle w:val="Heading2"/>
        <w:spacing w:after="140" w:before="400"/>
      </w:pPr>
      <w:r>
        <w:rPr>
          <w:rFonts w:ascii="Arial" w:cs="Arial" w:eastAsia="Arial" w:hAnsi="Arial"/>
          <w:b/>
          <w:bCs/>
          <w:color w:val="1E3A5F"/>
          <w:sz w:val="28"/>
          <w:szCs w:val="28"/>
        </w:rPr>
        <w:t xml:space="preserve">The Four Questions Maxxes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80"/>
        <w:gridCol w:w="2640"/>
        <w:gridCol w:w="2040"/>
      </w:tblGrid>
      <w:tr>
        <w:tc>
          <w:tcPr>
            <w:tcW w:type="dxa" w:w="24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Business Question</w:t>
            </w:r>
          </w:p>
        </w:tc>
        <w:tc>
          <w:tcPr>
            <w:tcW w:type="dxa" w:w="228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Data Needed</w:t>
            </w:r>
          </w:p>
        </w:tc>
        <w:tc>
          <w:tcPr>
            <w:tcW w:type="dxa" w:w="264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Analytics Logic</w:t>
            </w:r>
          </w:p>
        </w:tc>
        <w:tc>
          <w:tcPr>
            <w:tcW w:type="dxa" w:w="204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Software Output</w:t>
            </w:r>
          </w:p>
        </w:tc>
      </w:tr>
      <w:tr>
        <w:tc>
          <w:tcPr>
            <w:tcW w:type="dxa" w:w="2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Which fans are most valuable to this venue or artist?</w:t>
            </w:r>
          </w:p>
        </w:tc>
        <w:tc>
          <w:tcPr>
            <w:tcW w:type="dxa" w:w="228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Attendance history, spend, social amplification, pre/post engagement</w:t>
            </w:r>
          </w:p>
        </w:tc>
        <w:tc>
          <w:tcPr>
            <w:tcW w:type="dxa" w:w="264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Weighted XP Superfan Score with RFM overlay</w:t>
            </w:r>
          </w:p>
        </w:tc>
        <w:tc>
          <w:tcPr>
            <w:tcW w:type="dxa" w:w="204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Fan Ranking Dashboard</w:t>
            </w:r>
          </w:p>
        </w:tc>
      </w:tr>
      <w:tr>
        <w:tc>
          <w:tcPr>
            <w:tcW w:type="dxa" w:w="2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What should high-tier fans access before the general public?</w:t>
            </w:r>
          </w:p>
        </w:tc>
        <w:tc>
          <w:tcPr>
            <w:tcW w:type="dxa" w:w="228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Tier rank (Bronze–Diamond), event proximity, loyalty streak</w:t>
            </w:r>
          </w:p>
        </w:tc>
        <w:tc>
          <w:tcPr>
            <w:tcW w:type="dxa" w:w="264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Tier threshold rules + XP-gated presale eligibility logic</w:t>
            </w:r>
          </w:p>
        </w:tc>
        <w:tc>
          <w:tcPr>
            <w:tcW w:type="dxa" w:w="204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Early Access &amp; Presale Queue</w:t>
            </w:r>
          </w:p>
        </w:tc>
      </w:tr>
      <w:tr>
        <w:tc>
          <w:tcPr>
            <w:tcW w:type="dxa" w:w="2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Where are the weak points in fan retention?</w:t>
            </w:r>
          </w:p>
        </w:tc>
        <w:tc>
          <w:tcPr>
            <w:tcW w:type="dxa" w:w="228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Lapsed fans, drop-off events, churn patterns by event type</w:t>
            </w:r>
          </w:p>
        </w:tc>
        <w:tc>
          <w:tcPr>
            <w:tcW w:type="dxa" w:w="264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Lapse detection + 30/60-day recency scoring</w:t>
            </w:r>
          </w:p>
        </w:tc>
        <w:tc>
          <w:tcPr>
            <w:tcW w:type="dxa" w:w="204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Retention Alert Panel</w:t>
            </w:r>
          </w:p>
        </w:tc>
      </w:tr>
      <w:tr>
        <w:tc>
          <w:tcPr>
            <w:tcW w:type="dxa" w:w="2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What should venue/artist leadership know about their audience?</w:t>
            </w:r>
          </w:p>
        </w:tc>
        <w:tc>
          <w:tcPr>
            <w:tcW w:type="dxa" w:w="228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Top fan profiles, projected revenue, social reach estimate, segment trends</w:t>
            </w:r>
          </w:p>
        </w:tc>
        <w:tc>
          <w:tcPr>
            <w:tcW w:type="dxa" w:w="264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Aggregated XP value summary with segment breakdown</w:t>
            </w:r>
          </w:p>
        </w:tc>
        <w:tc>
          <w:tcPr>
            <w:tcW w:type="dxa" w:w="204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Business Intelligence Brief</w:t>
            </w:r>
          </w:p>
        </w:tc>
      </w:tr>
    </w:tbl>
    <w:p>
      <w:pPr>
        <w:spacing w:after="160" w:before="0"/>
      </w:pPr>
      <w:r>
        <w:rPr>
          <w:rFonts w:ascii="Arial" w:cs="Arial" w:eastAsia="Arial" w:hAnsi="Arial"/>
          <w:color w:val="1A1A1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6560"/>
        <w:gridCol w:w="2160"/>
      </w:tblGrid>
      <w:tr>
        <w:tc>
          <w:tcPr>
            <w:tcW w:type="dxa" w:w="640"/>
            <w:tcBorders>
              <w:top w:val="none" w:color="FFFFFF" w:sz="0"/>
              <w:left w:val="none" w:color="FFFFFF" w:sz="0"/>
              <w:bottom w:val="none" w:color="FFFFFF" w:sz="0"/>
              <w:right w:val="none" w:color="FFFFFF" w:sz="0"/>
            </w:tcBorders>
            <w:shd w:fill="1E3A5F"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02</w:t>
            </w:r>
          </w:p>
        </w:tc>
        <w:tc>
          <w:tcPr>
            <w:tcW w:type="dxa" w:w="6560"/>
            <w:tcBorders>
              <w:top w:val="none" w:color="FFFFFF" w:sz="0"/>
              <w:left w:val="none" w:color="FFFFFF" w:sz="0"/>
              <w:bottom w:val="none" w:color="FFFFFF" w:sz="0"/>
              <w:right w:val="none" w:color="FFFFFF" w:sz="0"/>
            </w:tcBorders>
            <w:shd w:fill="E8EDF5" w:val="clear"/>
            <w:tcMar>
              <w:top w:type="dxa" w:w="120"/>
              <w:left w:type="dxa" w:w="200"/>
              <w:bottom w:type="dxa" w:w="120"/>
              <w:right w:type="dxa" w:w="120"/>
            </w:tcMar>
          </w:tcPr>
          <w:p>
            <w:r>
              <w:rPr>
                <w:rFonts w:ascii="Arial" w:cs="Arial" w:eastAsia="Arial" w:hAnsi="Arial"/>
                <w:b/>
                <w:bCs/>
                <w:color w:val="1E3A5F"/>
                <w:sz w:val="24"/>
                <w:szCs w:val="24"/>
              </w:rPr>
              <w:t xml:space="preserve">DEFINING THE BUSINESS USER &amp; DECISION PROBLEM</w:t>
            </w:r>
          </w:p>
        </w:tc>
        <w:tc>
          <w:tcPr>
            <w:tcW w:type="dxa" w:w="2160"/>
            <w:tcBorders>
              <w:top w:val="none" w:color="FFFFFF" w:sz="0"/>
              <w:left w:val="none" w:color="FFFFFF" w:sz="0"/>
              <w:bottom w:val="none" w:color="FFFFFF" w:sz="0"/>
              <w:right w:val="none" w:color="FFFFFF" w:sz="0"/>
            </w:tcBorders>
            <w:shd w:fill="B8C8DC" w:val="clear"/>
            <w:tcMar>
              <w:top w:type="dxa" w:w="120"/>
              <w:left w:type="dxa" w:w="120"/>
              <w:bottom w:type="dxa" w:w="120"/>
              <w:right w:type="dxa" w:w="120"/>
            </w:tcMar>
            <w:vAlign w:val="center"/>
          </w:tcPr>
          <w:p>
            <w:pPr>
              <w:jc w:val="right"/>
            </w:pPr>
            <w:r>
              <w:rPr>
                <w:rFonts w:ascii="Arial" w:cs="Arial" w:eastAsia="Arial" w:hAnsi="Arial"/>
                <w:color w:val="1E3A5F"/>
                <w:sz w:val="18"/>
                <w:szCs w:val="18"/>
              </w:rPr>
              <w:t xml:space="preserve">10 – 25 Minutes</w:t>
            </w:r>
          </w:p>
        </w:tc>
      </w:tr>
    </w:tbl>
    <w:p>
      <w:pPr>
        <w:spacing w:after="80" w:before="0"/>
      </w:pPr>
      <w:r>
        <w:rPr>
          <w:rFonts w:ascii="Arial" w:cs="Arial" w:eastAsia="Arial" w:hAnsi="Arial"/>
          <w:color w:val="1A1A1A"/>
          <w:sz w:val="22"/>
          <w:szCs w:val="22"/>
        </w:rPr>
        <w:t xml:space="preserve"/>
      </w:r>
    </w:p>
    <w:p>
      <w:pPr>
        <w:spacing w:after="100" w:before="60" w:line="330"/>
      </w:pPr>
      <w:r>
        <w:rPr>
          <w:rFonts w:ascii="Arial" w:cs="Arial" w:eastAsia="Arial" w:hAnsi="Arial"/>
          <w:color w:val="1A1A1A"/>
          <w:sz w:val="22"/>
          <w:szCs w:val="22"/>
        </w:rPr>
        <w:t xml:space="preserve">Maxxes serves two users simultaneously. The fan is the data source and the beneficiary. The venue/artist manager is the analytics consumer and the revenue beneficiary. Both must win for the platform to work.</w:t>
      </w:r>
    </w:p>
    <w:p>
      <w:pPr>
        <w:spacing w:after="8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Primary Users</w:t>
            </w:r>
          </w:p>
        </w:tc>
        <w:tc>
          <w:tcPr>
            <w:tcW w:type="dxa" w:w="696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FANS: Sports fans, music fans, live event attendees seeking XP-based rewards and tier access.
BUSINESSES: Venue managers, event producers, artist management, tour marketers, brand sponsors.</w:t>
            </w:r>
          </w:p>
        </w:tc>
      </w:tr>
      <w:tr>
        <w:tc>
          <w:tcPr>
            <w:tcW w:type="dxa" w:w="2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Operational Moment</w:t>
            </w:r>
          </w:p>
        </w:tc>
        <w:tc>
          <w:tcPr>
            <w:tcW w:type="dxa" w:w="69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Before the event: fan intent and passion signals captured. During the event: verified presence, in-venue spend, and engagement captured. After the event: social amplification, loyalty behavior, and re-engagement captured.</w:t>
            </w:r>
          </w:p>
        </w:tc>
      </w:tr>
      <w:tr>
        <w:tc>
          <w:tcPr>
            <w:tcW w:type="dxa" w:w="2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Business Problem</w:t>
            </w:r>
          </w:p>
        </w:tc>
        <w:tc>
          <w:tcPr>
            <w:tcW w:type="dxa" w:w="69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Fan data is siloed across Ticketmaster, Spotify, Instagram, and venue POS systems. No platform aggregates it into a single ranked fan profile with an auditable XP score. Venues cannot identify their most valuable customers, cannot target premium inventory efficiently, and cannot prove ROI to sponsors. Fans are anonymous despite years of loyal spending.</w:t>
            </w:r>
          </w:p>
        </w:tc>
      </w:tr>
      <w:tr>
        <w:tc>
          <w:tcPr>
            <w:tcW w:type="dxa" w:w="2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Bad Outcome if Unsolved</w:t>
            </w:r>
          </w:p>
        </w:tc>
        <w:tc>
          <w:tcPr>
            <w:tcW w:type="dxa" w:w="69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Best seats go to bots and scalpers. Diamond and Platinum fans pay full price for the same access as Bronze attendees. Venues run generic marketing with low conversion. Sponsors pay flat rates with no behavioral proof. Loyal fans churn silently.</w:t>
            </w:r>
          </w:p>
        </w:tc>
      </w:tr>
      <w:tr>
        <w:tc>
          <w:tcPr>
            <w:tcW w:type="dxa" w:w="2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Decision Maxxes Enables</w:t>
            </w:r>
          </w:p>
        </w:tc>
        <w:tc>
          <w:tcPr>
            <w:tcW w:type="dxa" w:w="69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FAN: What is the best experience I can access given my XP tier? BUSINESS: Who are my highest-value fans and how do I invest in them to drive more revenue?</w:t>
            </w:r>
          </w:p>
        </w:tc>
      </w:tr>
    </w:tbl>
    <w:p>
      <w:pPr>
        <w:spacing w:after="160" w:before="0"/>
      </w:pPr>
      <w:r>
        <w:rPr>
          <w:rFonts w:ascii="Arial" w:cs="Arial" w:eastAsia="Arial" w:hAnsi="Arial"/>
          <w:color w:val="1A1A1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6560"/>
        <w:gridCol w:w="2160"/>
      </w:tblGrid>
      <w:tr>
        <w:tc>
          <w:tcPr>
            <w:tcW w:type="dxa" w:w="640"/>
            <w:tcBorders>
              <w:top w:val="none" w:color="FFFFFF" w:sz="0"/>
              <w:left w:val="none" w:color="FFFFFF" w:sz="0"/>
              <w:bottom w:val="none" w:color="FFFFFF" w:sz="0"/>
              <w:right w:val="none" w:color="FFFFFF" w:sz="0"/>
            </w:tcBorders>
            <w:shd w:fill="1E3A5F"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03</w:t>
            </w:r>
          </w:p>
        </w:tc>
        <w:tc>
          <w:tcPr>
            <w:tcW w:type="dxa" w:w="6560"/>
            <w:tcBorders>
              <w:top w:val="none" w:color="FFFFFF" w:sz="0"/>
              <w:left w:val="none" w:color="FFFFFF" w:sz="0"/>
              <w:bottom w:val="none" w:color="FFFFFF" w:sz="0"/>
              <w:right w:val="none" w:color="FFFFFF" w:sz="0"/>
            </w:tcBorders>
            <w:shd w:fill="E8EDF5" w:val="clear"/>
            <w:tcMar>
              <w:top w:type="dxa" w:w="120"/>
              <w:left w:type="dxa" w:w="200"/>
              <w:bottom w:type="dxa" w:w="120"/>
              <w:right w:type="dxa" w:w="120"/>
            </w:tcMar>
          </w:tcPr>
          <w:p>
            <w:r>
              <w:rPr>
                <w:rFonts w:ascii="Arial" w:cs="Arial" w:eastAsia="Arial" w:hAnsi="Arial"/>
                <w:b/>
                <w:bCs/>
                <w:color w:val="1E3A5F"/>
                <w:sz w:val="24"/>
                <w:szCs w:val="24"/>
              </w:rPr>
              <w:t xml:space="preserve">MARKET RESEARCH SPRINT</w:t>
            </w:r>
          </w:p>
        </w:tc>
        <w:tc>
          <w:tcPr>
            <w:tcW w:type="dxa" w:w="2160"/>
            <w:tcBorders>
              <w:top w:val="none" w:color="FFFFFF" w:sz="0"/>
              <w:left w:val="none" w:color="FFFFFF" w:sz="0"/>
              <w:bottom w:val="none" w:color="FFFFFF" w:sz="0"/>
              <w:right w:val="none" w:color="FFFFFF" w:sz="0"/>
            </w:tcBorders>
            <w:shd w:fill="B8C8DC" w:val="clear"/>
            <w:tcMar>
              <w:top w:type="dxa" w:w="120"/>
              <w:left w:type="dxa" w:w="120"/>
              <w:bottom w:type="dxa" w:w="120"/>
              <w:right w:type="dxa" w:w="120"/>
            </w:tcMar>
            <w:vAlign w:val="center"/>
          </w:tcPr>
          <w:p>
            <w:pPr>
              <w:jc w:val="right"/>
            </w:pPr>
            <w:r>
              <w:rPr>
                <w:rFonts w:ascii="Arial" w:cs="Arial" w:eastAsia="Arial" w:hAnsi="Arial"/>
                <w:color w:val="1E3A5F"/>
                <w:sz w:val="18"/>
                <w:szCs w:val="18"/>
              </w:rPr>
              <w:t xml:space="preserve">25 – 65 Minutes</w:t>
            </w:r>
          </w:p>
        </w:tc>
      </w:tr>
    </w:tbl>
    <w:p>
      <w:pPr>
        <w:spacing w:after="80" w:before="0"/>
      </w:pPr>
      <w:r>
        <w:rPr>
          <w:rFonts w:ascii="Arial" w:cs="Arial" w:eastAsia="Arial" w:hAnsi="Arial"/>
          <w:color w:val="1A1A1A"/>
          <w:sz w:val="22"/>
          <w:szCs w:val="22"/>
        </w:rPr>
        <w:t xml:space="preserve"/>
      </w:r>
    </w:p>
    <w:p>
      <w:pPr>
        <w:pStyle w:val="Heading2"/>
        <w:spacing w:after="140" w:before="400"/>
      </w:pPr>
      <w:r>
        <w:rPr>
          <w:rFonts w:ascii="Arial" w:cs="Arial" w:eastAsia="Arial" w:hAnsi="Arial"/>
          <w:b/>
          <w:bCs/>
          <w:color w:val="1E3A5F"/>
          <w:sz w:val="28"/>
          <w:szCs w:val="28"/>
        </w:rPr>
        <w:t xml:space="preserve">Comparable Products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560"/>
        <w:gridCol w:w="3000"/>
      </w:tblGrid>
      <w:tr>
        <w:tc>
          <w:tcPr>
            <w:tcW w:type="dxa" w:w="18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Category</w:t>
            </w:r>
          </w:p>
        </w:tc>
        <w:tc>
          <w:tcPr>
            <w:tcW w:type="dxa" w:w="20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Example Tools</w:t>
            </w:r>
          </w:p>
        </w:tc>
        <w:tc>
          <w:tcPr>
            <w:tcW w:type="dxa" w:w="256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What They Do</w:t>
            </w:r>
          </w:p>
        </w:tc>
        <w:tc>
          <w:tcPr>
            <w:tcW w:type="dxa" w:w="30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Maxxes Differentiator</w:t>
            </w:r>
          </w:p>
        </w:tc>
      </w:tr>
      <w:tr>
        <w:tc>
          <w:tcPr>
            <w:tcW w:type="dxa" w:w="18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Ticketing Platforms</w:t>
            </w:r>
          </w:p>
        </w:tc>
        <w:tc>
          <w:tcPr>
            <w:tcW w:type="dxa" w:w="2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Ticketmaster, AXS, SeatGeek</w:t>
            </w:r>
          </w:p>
        </w:tc>
        <w:tc>
          <w:tcPr>
            <w:tcW w:type="dxa" w:w="25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Sell tickets, manage entry, track purchase data</w:t>
            </w:r>
          </w:p>
        </w:tc>
        <w:tc>
          <w:tcPr>
            <w:tcW w:type="dxa" w:w="3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Maxxes adds post-purchase XP-based behavioral ranking Ticketmaster cannot see</w:t>
            </w:r>
          </w:p>
        </w:tc>
      </w:tr>
      <w:tr>
        <w:tc>
          <w:tcPr>
            <w:tcW w:type="dxa" w:w="1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Event Discovery</w:t>
            </w:r>
          </w:p>
        </w:tc>
        <w:tc>
          <w:tcPr>
            <w:tcW w:type="dxa" w:w="2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Eventbrite, Songkick, Bandsintown</w:t>
            </w:r>
          </w:p>
        </w:tc>
        <w:tc>
          <w:tcPr>
            <w:tcW w:type="dxa" w:w="25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Surface events by city, genre, artist; notify fans of nearby shows</w:t>
            </w:r>
          </w:p>
        </w:tc>
        <w:tc>
          <w:tcPr>
            <w:tcW w:type="dxa" w:w="3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Maxxes turns discovery into a loyalty pipeline — fans earn XP from attended events</w:t>
            </w:r>
          </w:p>
        </w:tc>
      </w:tr>
      <w:tr>
        <w:tc>
          <w:tcPr>
            <w:tcW w:type="dxa" w:w="18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Fan Engagement Apps</w:t>
            </w:r>
          </w:p>
        </w:tc>
        <w:tc>
          <w:tcPr>
            <w:tcW w:type="dxa" w:w="2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Topps Digital, Fanalyze, Rally</w:t>
            </w:r>
          </w:p>
        </w:tc>
        <w:tc>
          <w:tcPr>
            <w:tcW w:type="dxa" w:w="25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Collectibles, fantasy, fan communities</w:t>
            </w:r>
          </w:p>
        </w:tc>
        <w:tc>
          <w:tcPr>
            <w:tcW w:type="dxa" w:w="3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Maxxes ties engagement directly to real-world event access and perks</w:t>
            </w:r>
          </w:p>
        </w:tc>
      </w:tr>
      <w:tr>
        <w:tc>
          <w:tcPr>
            <w:tcW w:type="dxa" w:w="1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Loyalty &amp; Rewards</w:t>
            </w:r>
          </w:p>
        </w:tc>
        <w:tc>
          <w:tcPr>
            <w:tcW w:type="dxa" w:w="2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Starbucks Rewards, Delta SkyMiles</w:t>
            </w:r>
          </w:p>
        </w:tc>
        <w:tc>
          <w:tcPr>
            <w:tcW w:type="dxa" w:w="25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Points for purchases, tier-based perks</w:t>
            </w:r>
          </w:p>
        </w:tc>
        <w:tc>
          <w:tcPr>
            <w:tcW w:type="dxa" w:w="3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Maxxes applies the same airline-miles logic to live events with cross-platform signal data</w:t>
            </w:r>
          </w:p>
        </w:tc>
      </w:tr>
      <w:tr>
        <w:tc>
          <w:tcPr>
            <w:tcW w:type="dxa" w:w="18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Event Mgmt Platforms</w:t>
            </w:r>
          </w:p>
        </w:tc>
        <w:tc>
          <w:tcPr>
            <w:tcW w:type="dxa" w:w="2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Cvent, Eventbrite, Whova</w:t>
            </w:r>
          </w:p>
        </w:tc>
        <w:tc>
          <w:tcPr>
            <w:tcW w:type="dxa" w:w="25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Registration, check-in, planning workflows</w:t>
            </w:r>
          </w:p>
        </w:tc>
        <w:tc>
          <w:tcPr>
            <w:tcW w:type="dxa" w:w="3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Maxxes focuses on fan value scoring, not event administration</w:t>
            </w:r>
          </w:p>
        </w:tc>
      </w:tr>
      <w:tr>
        <w:tc>
          <w:tcPr>
            <w:tcW w:type="dxa" w:w="1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Venue / Ops Software</w:t>
            </w:r>
          </w:p>
        </w:tc>
        <w:tc>
          <w:tcPr>
            <w:tcW w:type="dxa" w:w="2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Momentus, EventPro</w:t>
            </w:r>
          </w:p>
        </w:tc>
        <w:tc>
          <w:tcPr>
            <w:tcW w:type="dxa" w:w="25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Resource planning, space management, event data</w:t>
            </w:r>
          </w:p>
        </w:tc>
        <w:tc>
          <w:tcPr>
            <w:tcW w:type="dxa" w:w="3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Maxxes contributes audience intelligence Momentus cannot generate</w:t>
            </w:r>
          </w:p>
        </w:tc>
      </w:tr>
      <w:tr>
        <w:tc>
          <w:tcPr>
            <w:tcW w:type="dxa" w:w="18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Streaming Platforms</w:t>
            </w:r>
          </w:p>
        </w:tc>
        <w:tc>
          <w:tcPr>
            <w:tcW w:type="dxa" w:w="2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Spotify, Apple Music, YouTube</w:t>
            </w:r>
          </w:p>
        </w:tc>
        <w:tc>
          <w:tcPr>
            <w:tcW w:type="dxa" w:w="25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Stream data, listener stats, artist reach</w:t>
            </w:r>
          </w:p>
        </w:tc>
        <w:tc>
          <w:tcPr>
            <w:tcW w:type="dxa" w:w="3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Maxxes connects streaming fandom (XP) to verified real-world attendance</w:t>
            </w:r>
          </w:p>
        </w:tc>
      </w:tr>
    </w:tbl>
    <w:p>
      <w:pPr>
        <w:spacing w:after="80" w:before="0"/>
      </w:pPr>
      <w:r>
        <w:rPr>
          <w:rFonts w:ascii="Arial" w:cs="Arial" w:eastAsia="Arial" w:hAnsi="Arial"/>
          <w:color w:val="1A1A1A"/>
          <w:sz w:val="22"/>
          <w:szCs w:val="22"/>
        </w:rPr>
        <w:t xml:space="preserve"/>
      </w:r>
    </w:p>
    <w:p>
      <w:pPr>
        <w:pStyle w:val="Heading2"/>
        <w:spacing w:after="140" w:before="400"/>
      </w:pPr>
      <w:r>
        <w:rPr>
          <w:rFonts w:ascii="Arial" w:cs="Arial" w:eastAsia="Arial" w:hAnsi="Arial"/>
          <w:b/>
          <w:bCs/>
          <w:color w:val="1E3A5F"/>
          <w:sz w:val="28"/>
          <w:szCs w:val="28"/>
        </w:rPr>
        <w:t xml:space="preserve">Market Research Share-Out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Research Question</w:t>
            </w:r>
          </w:p>
        </w:tc>
        <w:tc>
          <w:tcPr>
            <w:tcW w:type="dxa" w:w="576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Maxxes Answer</w:t>
            </w:r>
          </w:p>
        </w:tc>
      </w:tr>
      <w:tr>
        <w:tc>
          <w:tcPr>
            <w:tcW w:type="dxa" w:w="36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What does the product help users decide?</w:t>
            </w:r>
          </w:p>
        </w:tc>
        <w:tc>
          <w:tcPr>
            <w:tcW w:type="dxa" w:w="57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Fans: which experiences match their XP tier. Venues: which fans drive the most value.</w:t>
            </w:r>
          </w:p>
        </w:tc>
      </w:tr>
      <w:tr>
        <w:tc>
          <w:tcPr>
            <w:tcW w:type="dxa" w:w="3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What data does it depend on?</w:t>
            </w:r>
          </w:p>
        </w:tc>
        <w:tc>
          <w:tcPr>
            <w:tcW w:type="dxa" w:w="57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Social media activity, ticketing history, in-venue spend, streaming depth, post-event content creation.</w:t>
            </w:r>
          </w:p>
        </w:tc>
      </w:tr>
      <w:tr>
        <w:tc>
          <w:tcPr>
            <w:tcW w:type="dxa" w:w="36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What is one feature we can realistically prototype?</w:t>
            </w:r>
          </w:p>
        </w:tc>
        <w:tc>
          <w:tcPr>
            <w:tcW w:type="dxa" w:w="57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A ranked fan leaderboard for a single artist/venue with Bronze–Diamond tier labels and earned perk display.</w:t>
            </w:r>
          </w:p>
        </w:tc>
      </w:tr>
      <w:tr>
        <w:tc>
          <w:tcPr>
            <w:tcW w:type="dxa" w:w="3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What feels too big for our capstone?</w:t>
            </w:r>
          </w:p>
        </w:tc>
        <w:tc>
          <w:tcPr>
            <w:tcW w:type="dxa" w:w="57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Full API integrations with Ticketmaster and Spotify. Use mock data for those signals.</w:t>
            </w:r>
          </w:p>
        </w:tc>
      </w:tr>
      <w:tr>
        <w:tc>
          <w:tcPr>
            <w:tcW w:type="dxa" w:w="36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What idea can we borrow at prototype scale?</w:t>
            </w:r>
          </w:p>
        </w:tc>
        <w:tc>
          <w:tcPr>
            <w:tcW w:type="dxa" w:w="57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Delta SkyMiles tier logic: earn XP, cross thresholds, unlock perks. Apply to fan attendance and streaming.</w:t>
            </w:r>
          </w:p>
        </w:tc>
      </w:tr>
    </w:tbl>
    <w:p>
      <w:pPr>
        <w:spacing w:after="80" w:before="0"/>
      </w:pPr>
      <w:r>
        <w:rPr>
          <w:rFonts w:ascii="Arial" w:cs="Arial" w:eastAsia="Arial" w:hAnsi="Arial"/>
          <w:color w:val="1A1A1A"/>
          <w:sz w:val="22"/>
          <w:szCs w:val="22"/>
        </w:rPr>
        <w:t xml:space="preserve"/>
      </w:r>
    </w:p>
    <w:p>
      <w:pPr>
        <w:pStyle w:val="Heading2"/>
        <w:spacing w:after="140" w:before="400"/>
      </w:pPr>
      <w:r>
        <w:rPr>
          <w:rFonts w:ascii="Arial" w:cs="Arial" w:eastAsia="Arial" w:hAnsi="Arial"/>
          <w:b/>
          <w:bCs/>
          <w:color w:val="1E3A5F"/>
          <w:sz w:val="28"/>
          <w:szCs w:val="28"/>
        </w:rPr>
        <w:t xml:space="preserve">Collective Feature List</w:t>
      </w:r>
    </w:p>
    <w:p>
      <w:pPr>
        <w:pStyle w:val="ListParagraph"/>
        <w:numPr>
          <w:ilvl w:val="0"/>
          <w:numId w:val="2"/>
        </w:numPr>
        <w:spacing w:after="50" w:before="50" w:line="300"/>
      </w:pPr>
      <w:r>
        <w:rPr>
          <w:rFonts w:ascii="Arial" w:cs="Arial" w:eastAsia="Arial" w:hAnsi="Arial"/>
          <w:color w:val="1A1A1A"/>
          <w:sz w:val="22"/>
          <w:szCs w:val="22"/>
        </w:rPr>
        <w:t xml:space="preserve">Verified attendance tracking (not just ticket purchase) — primary XP multiplier</w:t>
      </w:r>
    </w:p>
    <w:p>
      <w:pPr>
        <w:pStyle w:val="ListParagraph"/>
        <w:numPr>
          <w:ilvl w:val="0"/>
          <w:numId w:val="2"/>
        </w:numPr>
        <w:spacing w:after="50" w:before="50" w:line="300"/>
      </w:pPr>
      <w:r>
        <w:rPr>
          <w:rFonts w:ascii="Arial" w:cs="Arial" w:eastAsia="Arial" w:hAnsi="Arial"/>
          <w:color w:val="1A1A1A"/>
          <w:sz w:val="22"/>
          <w:szCs w:val="22"/>
        </w:rPr>
        <w:t xml:space="preserve">Multi-platform data aggregation: social, streaming, ticketing, POS, QR scans</w:t>
      </w:r>
    </w:p>
    <w:p>
      <w:pPr>
        <w:pStyle w:val="ListParagraph"/>
        <w:numPr>
          <w:ilvl w:val="0"/>
          <w:numId w:val="2"/>
        </w:numPr>
        <w:spacing w:after="50" w:before="50" w:line="300"/>
      </w:pPr>
      <w:r>
        <w:rPr>
          <w:rFonts w:ascii="Arial" w:cs="Arial" w:eastAsia="Arial" w:hAnsi="Arial"/>
          <w:color w:val="1A1A1A"/>
          <w:sz w:val="22"/>
          <w:szCs w:val="22"/>
        </w:rPr>
        <w:t xml:space="preserve">XP-based fan scoring algorithm with transparent tier logic (Bronze through Diamond)</w:t>
      </w:r>
    </w:p>
    <w:p>
      <w:pPr>
        <w:pStyle w:val="ListParagraph"/>
        <w:numPr>
          <w:ilvl w:val="0"/>
          <w:numId w:val="2"/>
        </w:numPr>
        <w:spacing w:after="50" w:before="50" w:line="300"/>
      </w:pPr>
      <w:r>
        <w:rPr>
          <w:rFonts w:ascii="Arial" w:cs="Arial" w:eastAsia="Arial" w:hAnsi="Arial"/>
          <w:color w:val="1A1A1A"/>
          <w:sz w:val="22"/>
          <w:szCs w:val="22"/>
        </w:rPr>
        <w:t xml:space="preserve">Exclusive access rewards tied to tier: presale, VIP, backstage, discounts</w:t>
      </w:r>
    </w:p>
    <w:p>
      <w:pPr>
        <w:pStyle w:val="ListParagraph"/>
        <w:numPr>
          <w:ilvl w:val="0"/>
          <w:numId w:val="2"/>
        </w:numPr>
        <w:spacing w:after="50" w:before="50" w:line="300"/>
      </w:pPr>
      <w:r>
        <w:rPr>
          <w:rFonts w:ascii="Arial" w:cs="Arial" w:eastAsia="Arial" w:hAnsi="Arial"/>
          <w:color w:val="1A1A1A"/>
          <w:sz w:val="22"/>
          <w:szCs w:val="22"/>
        </w:rPr>
        <w:t xml:space="preserve">Business-facing Venue Intel dashboard with segment summaries and revenue projection</w:t>
      </w:r>
    </w:p>
    <w:p>
      <w:pPr>
        <w:pStyle w:val="ListParagraph"/>
        <w:numPr>
          <w:ilvl w:val="0"/>
          <w:numId w:val="2"/>
        </w:numPr>
        <w:spacing w:after="50" w:before="50" w:line="300"/>
      </w:pPr>
      <w:r>
        <w:rPr>
          <w:rFonts w:ascii="Arial" w:cs="Arial" w:eastAsia="Arial" w:hAnsi="Arial"/>
          <w:color w:val="1A1A1A"/>
          <w:sz w:val="22"/>
          <w:szCs w:val="22"/>
        </w:rPr>
        <w:t xml:space="preserve">Sponsor ROI proof via verified in-venue behavioral data and campaign lift metrics</w:t>
      </w:r>
    </w:p>
    <w:p>
      <w:pPr>
        <w:pStyle w:val="ListParagraph"/>
        <w:numPr>
          <w:ilvl w:val="0"/>
          <w:numId w:val="2"/>
        </w:numPr>
        <w:spacing w:after="50" w:before="50" w:line="300"/>
      </w:pPr>
      <w:r>
        <w:rPr>
          <w:rFonts w:ascii="Arial" w:cs="Arial" w:eastAsia="Arial" w:hAnsi="Arial"/>
          <w:color w:val="1A1A1A"/>
          <w:sz w:val="22"/>
          <w:szCs w:val="22"/>
        </w:rPr>
        <w:t xml:space="preserve">Lapsed fan detection and re-engagement targeting with rules-based alerts</w:t>
      </w:r>
    </w:p>
    <w:p>
      <w:pPr>
        <w:pStyle w:val="ListParagraph"/>
        <w:numPr>
          <w:ilvl w:val="0"/>
          <w:numId w:val="2"/>
        </w:numPr>
        <w:spacing w:after="50" w:before="50" w:line="300"/>
      </w:pPr>
      <w:r>
        <w:rPr>
          <w:rFonts w:ascii="Arial" w:cs="Arial" w:eastAsia="Arial" w:hAnsi="Arial"/>
          <w:color w:val="1A1A1A"/>
          <w:sz w:val="22"/>
          <w:szCs w:val="22"/>
        </w:rPr>
        <w:t xml:space="preserve">Event discovery feed showing upcoming events in fan's city (Eventbrite/Songkick integration path)</w:t>
      </w:r>
    </w:p>
    <w:p>
      <w:pPr>
        <w:pStyle w:val="ListParagraph"/>
        <w:numPr>
          <w:ilvl w:val="0"/>
          <w:numId w:val="2"/>
        </w:numPr>
        <w:spacing w:after="50" w:before="50" w:line="300"/>
      </w:pPr>
      <w:r>
        <w:rPr>
          <w:rFonts w:ascii="Arial" w:cs="Arial" w:eastAsia="Arial" w:hAnsi="Arial"/>
          <w:color w:val="1A1A1A"/>
          <w:sz w:val="22"/>
          <w:szCs w:val="22"/>
        </w:rPr>
        <w:t xml:space="preserve">Vendor and artist partner access to top-ranked fan list for targeted activation</w:t>
      </w:r>
    </w:p>
    <w:p>
      <w:pPr>
        <w:spacing w:after="160" w:before="0"/>
      </w:pPr>
      <w:r>
        <w:rPr>
          <w:rFonts w:ascii="Arial" w:cs="Arial" w:eastAsia="Arial" w:hAnsi="Arial"/>
          <w:color w:val="1A1A1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6560"/>
        <w:gridCol w:w="2160"/>
      </w:tblGrid>
      <w:tr>
        <w:tc>
          <w:tcPr>
            <w:tcW w:type="dxa" w:w="640"/>
            <w:tcBorders>
              <w:top w:val="none" w:color="FFFFFF" w:sz="0"/>
              <w:left w:val="none" w:color="FFFFFF" w:sz="0"/>
              <w:bottom w:val="none" w:color="FFFFFF" w:sz="0"/>
              <w:right w:val="none" w:color="FFFFFF" w:sz="0"/>
            </w:tcBorders>
            <w:shd w:fill="1E3A5F"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04</w:t>
            </w:r>
          </w:p>
        </w:tc>
        <w:tc>
          <w:tcPr>
            <w:tcW w:type="dxa" w:w="6560"/>
            <w:tcBorders>
              <w:top w:val="none" w:color="FFFFFF" w:sz="0"/>
              <w:left w:val="none" w:color="FFFFFF" w:sz="0"/>
              <w:bottom w:val="none" w:color="FFFFFF" w:sz="0"/>
              <w:right w:val="none" w:color="FFFFFF" w:sz="0"/>
            </w:tcBorders>
            <w:shd w:fill="E8EDF5" w:val="clear"/>
            <w:tcMar>
              <w:top w:type="dxa" w:w="120"/>
              <w:left w:type="dxa" w:w="200"/>
              <w:bottom w:type="dxa" w:w="120"/>
              <w:right w:type="dxa" w:w="120"/>
            </w:tcMar>
          </w:tcPr>
          <w:p>
            <w:r>
              <w:rPr>
                <w:rFonts w:ascii="Arial" w:cs="Arial" w:eastAsia="Arial" w:hAnsi="Arial"/>
                <w:b/>
                <w:bCs/>
                <w:color w:val="1E3A5F"/>
                <w:sz w:val="24"/>
                <w:szCs w:val="24"/>
              </w:rPr>
              <w:t xml:space="preserve">MAP THE BUSINESS ANALYTICS COMPONENTS</w:t>
            </w:r>
          </w:p>
        </w:tc>
        <w:tc>
          <w:tcPr>
            <w:tcW w:type="dxa" w:w="2160"/>
            <w:tcBorders>
              <w:top w:val="none" w:color="FFFFFF" w:sz="0"/>
              <w:left w:val="none" w:color="FFFFFF" w:sz="0"/>
              <w:bottom w:val="none" w:color="FFFFFF" w:sz="0"/>
              <w:right w:val="none" w:color="FFFFFF" w:sz="0"/>
            </w:tcBorders>
            <w:shd w:fill="B8C8DC" w:val="clear"/>
            <w:tcMar>
              <w:top w:type="dxa" w:w="120"/>
              <w:left w:type="dxa" w:w="120"/>
              <w:bottom w:type="dxa" w:w="120"/>
              <w:right w:type="dxa" w:w="120"/>
            </w:tcMar>
            <w:vAlign w:val="center"/>
          </w:tcPr>
          <w:p>
            <w:pPr>
              <w:jc w:val="right"/>
            </w:pPr>
            <w:r>
              <w:rPr>
                <w:rFonts w:ascii="Arial" w:cs="Arial" w:eastAsia="Arial" w:hAnsi="Arial"/>
                <w:color w:val="1E3A5F"/>
                <w:sz w:val="18"/>
                <w:szCs w:val="18"/>
              </w:rPr>
              <w:t xml:space="preserve">65 – 80 Minutes</w:t>
            </w:r>
          </w:p>
        </w:tc>
      </w:tr>
    </w:tbl>
    <w:p>
      <w:pPr>
        <w:spacing w:after="80" w:before="0"/>
      </w:pPr>
      <w:r>
        <w:rPr>
          <w:rFonts w:ascii="Arial" w:cs="Arial" w:eastAsia="Arial" w:hAnsi="Arial"/>
          <w:color w:val="1A1A1A"/>
          <w:sz w:val="22"/>
          <w:szCs w:val="22"/>
        </w:rPr>
        <w:t xml:space="preserve"/>
      </w:r>
    </w:p>
    <w:p>
      <w:pPr>
        <w:pStyle w:val="Heading2"/>
        <w:spacing w:after="140" w:before="400"/>
      </w:pPr>
      <w:r>
        <w:rPr>
          <w:rFonts w:ascii="Arial" w:cs="Arial" w:eastAsia="Arial" w:hAnsi="Arial"/>
          <w:b/>
          <w:bCs/>
          <w:color w:val="1E3A5F"/>
          <w:sz w:val="28"/>
          <w:szCs w:val="28"/>
        </w:rPr>
        <w:t xml:space="preserve">The Maxxes Analytics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Layer</w:t>
            </w:r>
          </w:p>
        </w:tc>
        <w:tc>
          <w:tcPr>
            <w:tcW w:type="dxa" w:w="28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Plain Meaning</w:t>
            </w:r>
          </w:p>
        </w:tc>
        <w:tc>
          <w:tcPr>
            <w:tcW w:type="dxa" w:w="436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Maxxes Implementation</w:t>
            </w:r>
          </w:p>
        </w:tc>
      </w:tr>
      <w:tr>
        <w:tc>
          <w:tcPr>
            <w:tcW w:type="dxa" w:w="22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Input Layer</w:t>
            </w:r>
          </w:p>
        </w:tc>
        <w:tc>
          <w:tcPr>
            <w:tcW w:type="dxa" w:w="28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What raw fan data enters the system?</w:t>
            </w:r>
          </w:p>
        </w:tc>
        <w:tc>
          <w:tcPr>
            <w:tcW w:type="dxa" w:w="43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Social posts, ticket purchases, app check-ins, POS transactions, streaming stats, QR scans, post-event content</w:t>
            </w:r>
          </w:p>
        </w:tc>
      </w:tr>
      <w:tr>
        <w:tc>
          <w:tcPr>
            <w:tcW w:type="dxa" w:w="2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Normalization Layer</w:t>
            </w:r>
          </w:p>
        </w:tc>
        <w:tc>
          <w:tcPr>
            <w:tcW w:type="dxa" w:w="2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How do we make different signals comparable?</w:t>
            </w:r>
          </w:p>
        </w:tc>
        <w:tc>
          <w:tcPr>
            <w:tcW w:type="dxa" w:w="43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Shared fields: fan_id, event_id, venue_id, signal_type, xp_earned, multiplier, timestamp, source_platform</w:t>
            </w:r>
          </w:p>
        </w:tc>
      </w:tr>
      <w:tr>
        <w:tc>
          <w:tcPr>
            <w:tcW w:type="dxa" w:w="22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Descriptive Layer</w:t>
            </w:r>
          </w:p>
        </w:tc>
        <w:tc>
          <w:tcPr>
            <w:tcW w:type="dxa" w:w="28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What is this fan doing right now?</w:t>
            </w:r>
          </w:p>
        </w:tc>
        <w:tc>
          <w:tcPr>
            <w:tcW w:type="dxa" w:w="43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Attendance count, spend per visit, tier status, social reach, streak length, 7/30/90-day activity summary</w:t>
            </w:r>
          </w:p>
        </w:tc>
      </w:tr>
      <w:tr>
        <w:tc>
          <w:tcPr>
            <w:tcW w:type="dxa" w:w="2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Scoring Layer</w:t>
            </w:r>
          </w:p>
        </w:tc>
        <w:tc>
          <w:tcPr>
            <w:tcW w:type="dxa" w:w="2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How valuable is this fan?</w:t>
            </w:r>
          </w:p>
        </w:tc>
        <w:tc>
          <w:tcPr>
            <w:tcW w:type="dxa" w:w="43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Weighted XP model: verified attendance (200 XP), watch time (5 XP/hr), listening (3 XP/hr), spend ($1=1 XP), challenges (100–1,500 XP), streak multiplier (1.0x–2.0x)</w:t>
            </w:r>
          </w:p>
        </w:tc>
      </w:tr>
      <w:tr>
        <w:tc>
          <w:tcPr>
            <w:tcW w:type="dxa" w:w="22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Prioritization Layer</w:t>
            </w:r>
          </w:p>
        </w:tc>
        <w:tc>
          <w:tcPr>
            <w:tcW w:type="dxa" w:w="28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Which fans earn access first?</w:t>
            </w:r>
          </w:p>
        </w:tc>
        <w:tc>
          <w:tcPr>
            <w:tcW w:type="dxa" w:w="43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Ranked leaderboard sorted by total XP, filtered by event, venue, or artist; tier gates applied to presale windows</w:t>
            </w:r>
          </w:p>
        </w:tc>
      </w:tr>
      <w:tr>
        <w:tc>
          <w:tcPr>
            <w:tcW w:type="dxa" w:w="2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Recommendation Layer</w:t>
            </w:r>
          </w:p>
        </w:tc>
        <w:tc>
          <w:tcPr>
            <w:tcW w:type="dxa" w:w="2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What should the fan or venue do?</w:t>
            </w:r>
          </w:p>
        </w:tc>
        <w:tc>
          <w:tcPr>
            <w:tcW w:type="dxa" w:w="43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Fan: You are 340 XP away from Gold tier. Venue: Offer floor upgrade to your top 50 Diamond fans.</w:t>
            </w:r>
          </w:p>
        </w:tc>
      </w:tr>
      <w:tr>
        <w:tc>
          <w:tcPr>
            <w:tcW w:type="dxa" w:w="22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Communication Layer</w:t>
            </w:r>
          </w:p>
        </w:tc>
        <w:tc>
          <w:tcPr>
            <w:tcW w:type="dxa" w:w="28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What should leadership know?</w:t>
            </w:r>
          </w:p>
        </w:tc>
        <w:tc>
          <w:tcPr>
            <w:tcW w:type="dxa" w:w="43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Business Intelligence Brief: top fan profiles, XP distribution, projected revenue, lapse risks, campaign lift</w:t>
            </w:r>
          </w:p>
        </w:tc>
      </w:tr>
    </w:tbl>
    <w:p>
      <w:pPr>
        <w:spacing w:after="80" w:before="0"/>
      </w:pPr>
      <w:r>
        <w:rPr>
          <w:rFonts w:ascii="Arial" w:cs="Arial" w:eastAsia="Arial" w:hAnsi="Arial"/>
          <w:color w:val="1A1A1A"/>
          <w:sz w:val="22"/>
          <w:szCs w:val="22"/>
        </w:rPr>
        <w:t xml:space="preserve"/>
      </w:r>
    </w:p>
    <w:p>
      <w:pPr>
        <w:pStyle w:val="Heading2"/>
        <w:spacing w:after="140" w:before="400"/>
      </w:pPr>
      <w:r>
        <w:rPr>
          <w:rFonts w:ascii="Arial" w:cs="Arial" w:eastAsia="Arial" w:hAnsi="Arial"/>
          <w:b/>
          <w:bCs/>
          <w:color w:val="1E3A5F"/>
          <w:sz w:val="28"/>
          <w:szCs w:val="28"/>
        </w:rPr>
        <w:t xml:space="preserve">The Three Data Windows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600"/>
        <w:gridCol w:w="2400"/>
        <w:gridCol w:w="3800"/>
      </w:tblGrid>
      <w:tr>
        <w:tc>
          <w:tcPr>
            <w:tcW w:type="dxa" w:w="156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Window</w:t>
            </w:r>
          </w:p>
        </w:tc>
        <w:tc>
          <w:tcPr>
            <w:tcW w:type="dxa" w:w="16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Timing</w:t>
            </w:r>
          </w:p>
        </w:tc>
        <w:tc>
          <w:tcPr>
            <w:tcW w:type="dxa" w:w="24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Data Sources</w:t>
            </w:r>
          </w:p>
        </w:tc>
        <w:tc>
          <w:tcPr>
            <w:tcW w:type="dxa" w:w="38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Signals Captured</w:t>
            </w:r>
          </w:p>
        </w:tc>
      </w:tr>
      <w:tr>
        <w:tc>
          <w:tcPr>
            <w:tcW w:type="dxa" w:w="15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Pre-Event</w:t>
            </w:r>
          </w:p>
        </w:tc>
        <w:tc>
          <w:tcPr>
            <w:tcW w:type="dxa" w:w="16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Days/hours before doors open</w:t>
            </w:r>
          </w:p>
        </w:tc>
        <w:tc>
          <w:tcPr>
            <w:tcW w:type="dxa" w:w="2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Social media, Ticketmaster API, Spotify listener API, Maxxes platform, Eventbrite/Songkick event feed</w:t>
            </w:r>
          </w:p>
        </w:tc>
        <w:tc>
          <w:tcPr>
            <w:tcW w:type="dxa" w:w="38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Purchase timing, social post frequency, streaming depth, presale engagement, travel distance</w:t>
            </w:r>
          </w:p>
        </w:tc>
      </w:tr>
      <w:tr>
        <w:tc>
          <w:tcPr>
            <w:tcW w:type="dxa" w:w="15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Live Event</w:t>
            </w:r>
          </w:p>
        </w:tc>
        <w:tc>
          <w:tcPr>
            <w:tcW w:type="dxa" w:w="1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During the event</w:t>
            </w:r>
          </w:p>
        </w:tc>
        <w:tc>
          <w:tcPr>
            <w:tcW w:type="dxa" w:w="2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Maxxes app check-in, venue POS, in-app QR activations, location services</w:t>
            </w:r>
          </w:p>
        </w:tc>
        <w:tc>
          <w:tcPr>
            <w:tcW w:type="dxa" w:w="3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Verified attendance (+200 XP), arrival time, in-venue spend, activation participation, zone location</w:t>
            </w:r>
          </w:p>
        </w:tc>
      </w:tr>
      <w:tr>
        <w:tc>
          <w:tcPr>
            <w:tcW w:type="dxa" w:w="15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Post-Event</w:t>
            </w:r>
          </w:p>
        </w:tc>
        <w:tc>
          <w:tcPr>
            <w:tcW w:type="dxa" w:w="16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Hours/days after the event</w:t>
            </w:r>
          </w:p>
        </w:tc>
        <w:tc>
          <w:tcPr>
            <w:tcW w:type="dxa" w:w="2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Social platforms, Maxxes app, ticketing platforms</w:t>
            </w:r>
          </w:p>
        </w:tc>
        <w:tc>
          <w:tcPr>
            <w:tcW w:type="dxa" w:w="38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Content creation reach, next-show purchase, friend recruitment, review submission, lapse vs. return signal</w:t>
            </w:r>
          </w:p>
        </w:tc>
      </w:tr>
    </w:tbl>
    <w:p>
      <w:pPr>
        <w:spacing w:after="160" w:before="0"/>
      </w:pPr>
      <w:r>
        <w:rPr>
          <w:rFonts w:ascii="Arial" w:cs="Arial" w:eastAsia="Arial" w:hAnsi="Arial"/>
          <w:color w:val="1A1A1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6560"/>
        <w:gridCol w:w="2160"/>
      </w:tblGrid>
      <w:tr>
        <w:tc>
          <w:tcPr>
            <w:tcW w:type="dxa" w:w="640"/>
            <w:tcBorders>
              <w:top w:val="none" w:color="FFFFFF" w:sz="0"/>
              <w:left w:val="none" w:color="FFFFFF" w:sz="0"/>
              <w:bottom w:val="none" w:color="FFFFFF" w:sz="0"/>
              <w:right w:val="none" w:color="FFFFFF" w:sz="0"/>
            </w:tcBorders>
            <w:shd w:fill="1E3A5F"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05</w:t>
            </w:r>
          </w:p>
        </w:tc>
        <w:tc>
          <w:tcPr>
            <w:tcW w:type="dxa" w:w="6560"/>
            <w:tcBorders>
              <w:top w:val="none" w:color="FFFFFF" w:sz="0"/>
              <w:left w:val="none" w:color="FFFFFF" w:sz="0"/>
              <w:bottom w:val="none" w:color="FFFFFF" w:sz="0"/>
              <w:right w:val="none" w:color="FFFFFF" w:sz="0"/>
            </w:tcBorders>
            <w:shd w:fill="E8EDF5" w:val="clear"/>
            <w:tcMar>
              <w:top w:type="dxa" w:w="120"/>
              <w:left w:type="dxa" w:w="200"/>
              <w:bottom w:type="dxa" w:w="120"/>
              <w:right w:type="dxa" w:w="120"/>
            </w:tcMar>
          </w:tcPr>
          <w:p>
            <w:r>
              <w:rPr>
                <w:rFonts w:ascii="Arial" w:cs="Arial" w:eastAsia="Arial" w:hAnsi="Arial"/>
                <w:b/>
                <w:bCs/>
                <w:color w:val="1E3A5F"/>
                <w:sz w:val="24"/>
                <w:szCs w:val="24"/>
              </w:rPr>
              <w:t xml:space="preserve">XP SCORING MODEL &amp; TIER SYSTEM</w:t>
            </w:r>
          </w:p>
        </w:tc>
        <w:tc>
          <w:tcPr>
            <w:tcW w:type="dxa" w:w="2160"/>
            <w:tcBorders>
              <w:top w:val="none" w:color="FFFFFF" w:sz="0"/>
              <w:left w:val="none" w:color="FFFFFF" w:sz="0"/>
              <w:bottom w:val="none" w:color="FFFFFF" w:sz="0"/>
              <w:right w:val="none" w:color="FFFFFF" w:sz="0"/>
            </w:tcBorders>
            <w:shd w:fill="B8C8DC" w:val="clear"/>
            <w:tcMar>
              <w:top w:type="dxa" w:w="120"/>
              <w:left w:type="dxa" w:w="120"/>
              <w:bottom w:type="dxa" w:w="120"/>
              <w:right w:type="dxa" w:w="120"/>
            </w:tcMar>
            <w:vAlign w:val="center"/>
          </w:tcPr>
          <w:p>
            <w:pPr>
              <w:jc w:val="right"/>
            </w:pPr>
            <w:r>
              <w:rPr>
                <w:rFonts w:ascii="Arial" w:cs="Arial" w:eastAsia="Arial" w:hAnsi="Arial"/>
                <w:color w:val="1E3A5F"/>
                <w:sz w:val="18"/>
                <w:szCs w:val="18"/>
              </w:rPr>
              <w:t xml:space="preserve">Reference</w:t>
            </w:r>
          </w:p>
        </w:tc>
      </w:tr>
    </w:tbl>
    <w:p>
      <w:pPr>
        <w:spacing w:after="8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3A5F" w:sz="18"/>
              <w:bottom w:val="none" w:color="FFFFFF" w:sz="0"/>
              <w:right w:val="none" w:color="FFFFFF" w:sz="0"/>
            </w:tcBorders>
            <w:shd w:fill="E8EDF5" w:val="clear"/>
            <w:tcMar>
              <w:top w:type="dxa" w:w="140"/>
              <w:left w:type="dxa" w:w="220"/>
              <w:bottom w:type="dxa" w:w="140"/>
              <w:right w:type="dxa" w:w="220"/>
            </w:tcMar>
          </w:tcPr>
          <w:p>
            <w:pPr>
              <w:spacing w:after="80" w:before="0"/>
            </w:pPr>
            <w:r>
              <w:rPr>
                <w:rFonts w:ascii="Arial" w:cs="Arial" w:eastAsia="Arial" w:hAnsi="Arial"/>
                <w:b/>
                <w:bCs/>
                <w:color w:val="1E3A5F"/>
                <w:sz w:val="20"/>
                <w:szCs w:val="20"/>
              </w:rPr>
              <w:t xml:space="preserve">Governing Rule</w:t>
            </w:r>
          </w:p>
          <w:p>
            <w:pPr>
              <w:spacing w:after="0" w:before="0"/>
            </w:pPr>
            <w:r>
              <w:rPr>
                <w:rFonts w:ascii="Arial" w:cs="Arial" w:eastAsia="Arial" w:hAnsi="Arial"/>
                <w:color w:val="1A1A1A"/>
                <w:sz w:val="20"/>
                <w:szCs w:val="20"/>
              </w:rPr>
              <w:t xml:space="preserve">The XP scoring model defined here supersedes the 0–100 points scale used in earlier drafts. All team members must use the XP system and Bronze–Diamond tier structure going forward. This section is the single source of truth.</w:t>
            </w:r>
          </w:p>
        </w:tc>
      </w:tr>
    </w:tbl>
    <w:p>
      <w:pPr>
        <w:spacing w:after="80" w:before="0"/>
      </w:pPr>
      <w:r>
        <w:rPr>
          <w:rFonts w:ascii="Arial" w:cs="Arial" w:eastAsia="Arial" w:hAnsi="Arial"/>
          <w:color w:val="1A1A1A"/>
          <w:sz w:val="22"/>
          <w:szCs w:val="22"/>
        </w:rPr>
        <w:t xml:space="preserve"/>
      </w:r>
    </w:p>
    <w:p>
      <w:pPr>
        <w:pStyle w:val="Heading2"/>
        <w:spacing w:after="140" w:before="400"/>
      </w:pPr>
      <w:r>
        <w:rPr>
          <w:rFonts w:ascii="Arial" w:cs="Arial" w:eastAsia="Arial" w:hAnsi="Arial"/>
          <w:b/>
          <w:bCs/>
          <w:color w:val="1E3A5F"/>
          <w:sz w:val="28"/>
          <w:szCs w:val="28"/>
        </w:rPr>
        <w:t xml:space="preserve">XP Earning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60"/>
        <w:gridCol w:w="4000"/>
      </w:tblGrid>
      <w:tr>
        <w:tc>
          <w:tcPr>
            <w:tcW w:type="dxa" w:w="28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Signal</w:t>
            </w:r>
          </w:p>
        </w:tc>
        <w:tc>
          <w:tcPr>
            <w:tcW w:type="dxa" w:w="256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XP Rule</w:t>
            </w:r>
          </w:p>
        </w:tc>
        <w:tc>
          <w:tcPr>
            <w:tcW w:type="dxa" w:w="40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Reasoning</w:t>
            </w:r>
          </w:p>
        </w:tc>
      </w:tr>
      <w:tr>
        <w:tc>
          <w:tcPr>
            <w:tcW w:type="dxa" w:w="28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Verified event attendance</w:t>
            </w:r>
          </w:p>
        </w:tc>
        <w:tc>
          <w:tcPr>
            <w:tcW w:type="dxa" w:w="25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+ 200 XP per event</w:t>
            </w:r>
          </w:p>
        </w:tc>
        <w:tc>
          <w:tcPr>
            <w:tcW w:type="dxa" w:w="4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Direct proof of real-world participation — highest-weight signal</w:t>
            </w:r>
          </w:p>
        </w:tc>
      </w:tr>
      <w:tr>
        <w:tc>
          <w:tcPr>
            <w:tcW w:type="dxa" w:w="2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Watch time (game/broadcast)</w:t>
            </w:r>
          </w:p>
        </w:tc>
        <w:tc>
          <w:tcPr>
            <w:tcW w:type="dxa" w:w="25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+ 5 XP per hour</w:t>
            </w:r>
          </w:p>
        </w:tc>
        <w:tc>
          <w:tcPr>
            <w:tcW w:type="dxa" w:w="4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Strong intent signal; tied to true affinity</w:t>
            </w:r>
          </w:p>
        </w:tc>
      </w:tr>
      <w:tr>
        <w:tc>
          <w:tcPr>
            <w:tcW w:type="dxa" w:w="28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Listening time (Spotify/music)</w:t>
            </w:r>
          </w:p>
        </w:tc>
        <w:tc>
          <w:tcPr>
            <w:tcW w:type="dxa" w:w="25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+ 3 XP per hour</w:t>
            </w:r>
          </w:p>
        </w:tc>
        <w:tc>
          <w:tcPr>
            <w:tcW w:type="dxa" w:w="4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Useful signal; more passive than watching</w:t>
            </w:r>
          </w:p>
        </w:tc>
      </w:tr>
      <w:tr>
        <w:tc>
          <w:tcPr>
            <w:tcW w:type="dxa" w:w="2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In-venue / merch spend</w:t>
            </w:r>
          </w:p>
        </w:tc>
        <w:tc>
          <w:tcPr>
            <w:tcW w:type="dxa" w:w="25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+ 1 XP per $1 spent</w:t>
            </w:r>
          </w:p>
        </w:tc>
        <w:tc>
          <w:tcPr>
            <w:tcW w:type="dxa" w:w="4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Important but should not dominate the model alone</w:t>
            </w:r>
          </w:p>
        </w:tc>
      </w:tr>
      <w:tr>
        <w:tc>
          <w:tcPr>
            <w:tcW w:type="dxa" w:w="28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Challenge completion</w:t>
            </w:r>
          </w:p>
        </w:tc>
        <w:tc>
          <w:tcPr>
            <w:tcW w:type="dxa" w:w="25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+ 100 to + 1,500 XP</w:t>
            </w:r>
          </w:p>
        </w:tc>
        <w:tc>
          <w:tcPr>
            <w:tcW w:type="dxa" w:w="4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Drives repeat engagement and visible progression</w:t>
            </w:r>
          </w:p>
        </w:tc>
      </w:tr>
      <w:tr>
        <w:tc>
          <w:tcPr>
            <w:tcW w:type="dxa" w:w="2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Streak modifier</w:t>
            </w:r>
          </w:p>
        </w:tc>
        <w:tc>
          <w:tcPr>
            <w:tcW w:type="dxa" w:w="25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1.0x – 2.0x on selected base XP</w:t>
            </w:r>
          </w:p>
        </w:tc>
        <w:tc>
          <w:tcPr>
            <w:tcW w:type="dxa" w:w="4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Rewards consistency over isolated activity spikes</w:t>
            </w:r>
          </w:p>
        </w:tc>
      </w:tr>
      <w:tr>
        <w:tc>
          <w:tcPr>
            <w:tcW w:type="dxa" w:w="28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Post-event social amplification</w:t>
            </w:r>
          </w:p>
        </w:tc>
        <w:tc>
          <w:tcPr>
            <w:tcW w:type="dxa" w:w="25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+ 10 – 50 XP per post (reach-adjusted)</w:t>
            </w:r>
          </w:p>
        </w:tc>
        <w:tc>
          <w:tcPr>
            <w:tcW w:type="dxa" w:w="4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Measures fan-generated promotion and community building</w:t>
            </w:r>
          </w:p>
        </w:tc>
      </w:tr>
      <w:tr>
        <w:tc>
          <w:tcPr>
            <w:tcW w:type="dxa" w:w="2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Friend recruitment</w:t>
            </w:r>
          </w:p>
        </w:tc>
        <w:tc>
          <w:tcPr>
            <w:tcW w:type="dxa" w:w="25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+ 75 XP per converted referral</w:t>
            </w:r>
          </w:p>
        </w:tc>
        <w:tc>
          <w:tcPr>
            <w:tcW w:type="dxa" w:w="4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Organic growth signal with high-quality downstream value</w:t>
            </w:r>
          </w:p>
        </w:tc>
      </w:tr>
    </w:tbl>
    <w:p>
      <w:pPr>
        <w:spacing w:after="80" w:before="0"/>
      </w:pPr>
      <w:r>
        <w:rPr>
          <w:rFonts w:ascii="Arial" w:cs="Arial" w:eastAsia="Arial" w:hAnsi="Arial"/>
          <w:color w:val="1A1A1A"/>
          <w:sz w:val="22"/>
          <w:szCs w:val="22"/>
        </w:rPr>
        <w:t xml:space="preserve"/>
      </w:r>
    </w:p>
    <w:p>
      <w:pPr>
        <w:pStyle w:val="Heading2"/>
        <w:spacing w:after="140" w:before="400"/>
      </w:pPr>
      <w:r>
        <w:rPr>
          <w:rFonts w:ascii="Arial" w:cs="Arial" w:eastAsia="Arial" w:hAnsi="Arial"/>
          <w:b/>
          <w:bCs/>
          <w:color w:val="1E3A5F"/>
          <w:sz w:val="28"/>
          <w:szCs w:val="28"/>
        </w:rPr>
        <w:t xml:space="preserve">RFM Overlay</w:t>
      </w:r>
    </w:p>
    <w:p>
      <w:pPr>
        <w:spacing w:after="100" w:before="60" w:line="330"/>
      </w:pPr>
      <w:r>
        <w:rPr>
          <w:rFonts w:ascii="Arial" w:cs="Arial" w:eastAsia="Arial" w:hAnsi="Arial"/>
          <w:color w:val="1A1A1A"/>
          <w:sz w:val="22"/>
          <w:szCs w:val="22"/>
        </w:rPr>
        <w:t xml:space="preserve">The XP model incorporates Recency, Frequency, and Monetary value logic. A fan who spent heavily two years ago should not automatically outrank a fan with strong recent attendance. Recency logic — scoring activity windows at 7, 30, and 90 days — keeps the ranking current and actionable.</w:t>
      </w:r>
    </w:p>
    <w:p>
      <w:pPr>
        <w:spacing w:after="80" w:before="0"/>
      </w:pPr>
      <w:r>
        <w:rPr>
          <w:rFonts w:ascii="Arial" w:cs="Arial" w:eastAsia="Arial" w:hAnsi="Arial"/>
          <w:color w:val="1A1A1A"/>
          <w:sz w:val="22"/>
          <w:szCs w:val="22"/>
        </w:rPr>
        <w:t xml:space="preserve"/>
      </w:r>
    </w:p>
    <w:p>
      <w:pPr>
        <w:pStyle w:val="ListParagraph"/>
        <w:numPr>
          <w:ilvl w:val="0"/>
          <w:numId w:val="2"/>
        </w:numPr>
        <w:spacing w:after="50" w:before="50" w:line="300"/>
      </w:pPr>
      <w:r>
        <w:rPr>
          <w:rFonts w:ascii="Arial" w:cs="Arial" w:eastAsia="Arial" w:hAnsi="Arial"/>
          <w:b/>
          <w:bCs/>
          <w:color w:val="1A1A1A"/>
          <w:sz w:val="22"/>
          <w:szCs w:val="22"/>
        </w:rPr>
        <w:t xml:space="preserve">Recency: </w:t>
      </w:r>
      <w:r>
        <w:rPr>
          <w:rFonts w:ascii="Arial" w:cs="Arial" w:eastAsia="Arial" w:hAnsi="Arial"/>
          <w:color w:val="1A1A1A"/>
          <w:sz w:val="22"/>
          <w:szCs w:val="22"/>
        </w:rPr>
        <w:t xml:space="preserve">XP from the past 30 days weighted 2x over XP older than 90 days.</w:t>
      </w:r>
    </w:p>
    <w:p>
      <w:pPr>
        <w:pStyle w:val="ListParagraph"/>
        <w:numPr>
          <w:ilvl w:val="0"/>
          <w:numId w:val="2"/>
        </w:numPr>
        <w:spacing w:after="50" w:before="50" w:line="300"/>
      </w:pPr>
      <w:r>
        <w:rPr>
          <w:rFonts w:ascii="Arial" w:cs="Arial" w:eastAsia="Arial" w:hAnsi="Arial"/>
          <w:b/>
          <w:bCs/>
          <w:color w:val="1A1A1A"/>
          <w:sz w:val="22"/>
          <w:szCs w:val="22"/>
        </w:rPr>
        <w:t xml:space="preserve">Frequency: </w:t>
      </w:r>
      <w:r>
        <w:rPr>
          <w:rFonts w:ascii="Arial" w:cs="Arial" w:eastAsia="Arial" w:hAnsi="Arial"/>
          <w:color w:val="1A1A1A"/>
          <w:sz w:val="22"/>
          <w:szCs w:val="22"/>
        </w:rPr>
        <w:t xml:space="preserve">Streak multiplier (up to 2.0x) rewards fans who engage consistently rather than sporadically.</w:t>
      </w:r>
    </w:p>
    <w:p>
      <w:pPr>
        <w:pStyle w:val="ListParagraph"/>
        <w:numPr>
          <w:ilvl w:val="0"/>
          <w:numId w:val="2"/>
        </w:numPr>
        <w:spacing w:after="50" w:before="50" w:line="300"/>
      </w:pPr>
      <w:r>
        <w:rPr>
          <w:rFonts w:ascii="Arial" w:cs="Arial" w:eastAsia="Arial" w:hAnsi="Arial"/>
          <w:b/>
          <w:bCs/>
          <w:color w:val="1A1A1A"/>
          <w:sz w:val="22"/>
          <w:szCs w:val="22"/>
        </w:rPr>
        <w:t xml:space="preserve">Monetary: </w:t>
      </w:r>
      <w:r>
        <w:rPr>
          <w:rFonts w:ascii="Arial" w:cs="Arial" w:eastAsia="Arial" w:hAnsi="Arial"/>
          <w:color w:val="1A1A1A"/>
          <w:sz w:val="22"/>
          <w:szCs w:val="22"/>
        </w:rPr>
        <w:t xml:space="preserve">Spend XP (1 XP/$1) contributes to the model but is capped at 20% of total score weight to prevent wealth-only rankings.</w:t>
      </w:r>
    </w:p>
    <w:p>
      <w:pPr>
        <w:spacing w:after="80" w:before="0"/>
      </w:pPr>
      <w:r>
        <w:rPr>
          <w:rFonts w:ascii="Arial" w:cs="Arial" w:eastAsia="Arial" w:hAnsi="Arial"/>
          <w:color w:val="1A1A1A"/>
          <w:sz w:val="22"/>
          <w:szCs w:val="22"/>
        </w:rPr>
        <w:t xml:space="preserve"/>
      </w:r>
    </w:p>
    <w:p>
      <w:pPr>
        <w:pStyle w:val="Heading2"/>
        <w:spacing w:after="140" w:before="400"/>
      </w:pPr>
      <w:r>
        <w:rPr>
          <w:rFonts w:ascii="Arial" w:cs="Arial" w:eastAsia="Arial" w:hAnsi="Arial"/>
          <w:b/>
          <w:bCs/>
          <w:color w:val="1E3A5F"/>
          <w:sz w:val="28"/>
          <w:szCs w:val="28"/>
        </w:rPr>
        <w:t xml:space="preserve">Tier System — Bronze through Diamond</w:t>
      </w:r>
    </w:p>
    <w:p>
      <w:pPr>
        <w:spacing w:after="100" w:before="60" w:line="330"/>
      </w:pPr>
      <w:r>
        <w:rPr>
          <w:rFonts w:ascii="Arial" w:cs="Arial" w:eastAsia="Arial" w:hAnsi="Arial"/>
          <w:color w:val="1A1A1A"/>
          <w:sz w:val="22"/>
          <w:szCs w:val="22"/>
        </w:rPr>
        <w:t xml:space="preserve">The following tier structure is the official system for Maxxes. All UI components, presale logic, perk eligibility, and operator dashboard filters must reference these exact tier names and XP thresholds.</w:t>
      </w:r>
    </w:p>
    <w:p>
      <w:pPr>
        <w:spacing w:after="8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200"/>
        <w:gridCol w:w="5600"/>
      </w:tblGrid>
      <w:tr>
        <w:tc>
          <w:tcPr>
            <w:tcW w:type="dxa" w:w="156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Tier</w:t>
            </w:r>
          </w:p>
        </w:tc>
        <w:tc>
          <w:tcPr>
            <w:tcW w:type="dxa" w:w="22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XP Threshold</w:t>
            </w:r>
          </w:p>
        </w:tc>
        <w:tc>
          <w:tcPr>
            <w:tcW w:type="dxa" w:w="56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Interpretive Meaning</w:t>
            </w:r>
          </w:p>
        </w:tc>
      </w:tr>
      <w:tr>
        <w:tc>
          <w:tcPr>
            <w:tcW w:type="dxa" w:w="15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b/>
                <w:bCs/>
                <w:color w:val="CD7F32"/>
                <w:sz w:val="19"/>
                <w:szCs w:val="19"/>
              </w:rPr>
              <w:t xml:space="preserve">Bronze</w:t>
            </w:r>
          </w:p>
        </w:tc>
        <w:tc>
          <w:tcPr>
            <w:tcW w:type="dxa" w:w="2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1A1A1A"/>
                <w:sz w:val="19"/>
                <w:szCs w:val="19"/>
              </w:rPr>
              <w:t xml:space="preserve">0 – 2,499</w:t>
            </w:r>
          </w:p>
        </w:tc>
        <w:tc>
          <w:tcPr>
            <w:tcW w:type="dxa" w:w="5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1A1A1A"/>
                <w:sz w:val="19"/>
                <w:szCs w:val="19"/>
              </w:rPr>
              <w:t xml:space="preserve">Entry-level or casual engagement</w:t>
            </w:r>
          </w:p>
        </w:tc>
      </w:tr>
      <w:tr>
        <w:tc>
          <w:tcPr>
            <w:tcW w:type="dxa" w:w="15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tcPr>
          <w:p>
            <w:r>
              <w:rPr>
                <w:rFonts w:ascii="Arial" w:cs="Arial" w:eastAsia="Arial" w:hAnsi="Arial"/>
                <w:b/>
                <w:bCs/>
                <w:color w:val="A8A9AD"/>
                <w:sz w:val="19"/>
                <w:szCs w:val="19"/>
              </w:rPr>
              <w:t xml:space="preserve">Silver</w:t>
            </w:r>
          </w:p>
        </w:tc>
        <w:tc>
          <w:tcPr>
            <w:tcW w:type="dxa" w:w="22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tcPr>
          <w:p>
            <w:r>
              <w:rPr>
                <w:rFonts w:ascii="Arial" w:cs="Arial" w:eastAsia="Arial" w:hAnsi="Arial"/>
                <w:color w:val="1A1A1A"/>
                <w:sz w:val="19"/>
                <w:szCs w:val="19"/>
              </w:rPr>
              <w:t xml:space="preserve">2,500 – 4,999</w:t>
            </w:r>
          </w:p>
        </w:tc>
        <w:tc>
          <w:tcPr>
            <w:tcW w:type="dxa" w:w="56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tcPr>
          <w:p>
            <w:r>
              <w:rPr>
                <w:rFonts w:ascii="Arial" w:cs="Arial" w:eastAsia="Arial" w:hAnsi="Arial"/>
                <w:color w:val="1A1A1A"/>
                <w:sz w:val="19"/>
                <w:szCs w:val="19"/>
              </w:rPr>
              <w:t xml:space="preserve">Consistent but still developing loyalty</w:t>
            </w:r>
          </w:p>
        </w:tc>
      </w:tr>
      <w:tr>
        <w:tc>
          <w:tcPr>
            <w:tcW w:type="dxa" w:w="15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b/>
                <w:bCs/>
                <w:color w:val="CFB53B"/>
                <w:sz w:val="19"/>
                <w:szCs w:val="19"/>
              </w:rPr>
              <w:t xml:space="preserve">Gold</w:t>
            </w:r>
          </w:p>
        </w:tc>
        <w:tc>
          <w:tcPr>
            <w:tcW w:type="dxa" w:w="2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1A1A1A"/>
                <w:sz w:val="19"/>
                <w:szCs w:val="19"/>
              </w:rPr>
              <w:t xml:space="preserve">5,000 – 9,999</w:t>
            </w:r>
          </w:p>
        </w:tc>
        <w:tc>
          <w:tcPr>
            <w:tcW w:type="dxa" w:w="5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1A1A1A"/>
                <w:sz w:val="19"/>
                <w:szCs w:val="19"/>
              </w:rPr>
              <w:t xml:space="preserve">Meaningful repeat engagement; practical rewards relevance</w:t>
            </w:r>
          </w:p>
        </w:tc>
      </w:tr>
      <w:tr>
        <w:tc>
          <w:tcPr>
            <w:tcW w:type="dxa" w:w="15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tcPr>
          <w:p>
            <w:r>
              <w:rPr>
                <w:rFonts w:ascii="Arial" w:cs="Arial" w:eastAsia="Arial" w:hAnsi="Arial"/>
                <w:b/>
                <w:bCs/>
                <w:color w:val="6A5F7A"/>
                <w:sz w:val="19"/>
                <w:szCs w:val="19"/>
              </w:rPr>
              <w:t xml:space="preserve">Platinum</w:t>
            </w:r>
          </w:p>
        </w:tc>
        <w:tc>
          <w:tcPr>
            <w:tcW w:type="dxa" w:w="22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tcPr>
          <w:p>
            <w:r>
              <w:rPr>
                <w:rFonts w:ascii="Arial" w:cs="Arial" w:eastAsia="Arial" w:hAnsi="Arial"/>
                <w:color w:val="1A1A1A"/>
                <w:sz w:val="19"/>
                <w:szCs w:val="19"/>
              </w:rPr>
              <w:t xml:space="preserve">10,000 – 24,999</w:t>
            </w:r>
          </w:p>
        </w:tc>
        <w:tc>
          <w:tcPr>
            <w:tcW w:type="dxa" w:w="56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tcPr>
          <w:p>
            <w:r>
              <w:rPr>
                <w:rFonts w:ascii="Arial" w:cs="Arial" w:eastAsia="Arial" w:hAnsi="Arial"/>
                <w:color w:val="1A1A1A"/>
                <w:sz w:val="19"/>
                <w:szCs w:val="19"/>
              </w:rPr>
              <w:t xml:space="preserve">High-value fan across multiple signal types</w:t>
            </w:r>
          </w:p>
        </w:tc>
      </w:tr>
      <w:tr>
        <w:tc>
          <w:tcPr>
            <w:tcW w:type="dxa" w:w="15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b/>
                <w:bCs/>
                <w:color w:val="185C8C"/>
                <w:sz w:val="19"/>
                <w:szCs w:val="19"/>
              </w:rPr>
              <w:t xml:space="preserve">Diamond</w:t>
            </w:r>
          </w:p>
        </w:tc>
        <w:tc>
          <w:tcPr>
            <w:tcW w:type="dxa" w:w="2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1A1A1A"/>
                <w:sz w:val="19"/>
                <w:szCs w:val="19"/>
              </w:rPr>
              <w:t xml:space="preserve">25,000+</w:t>
            </w:r>
          </w:p>
        </w:tc>
        <w:tc>
          <w:tcPr>
            <w:tcW w:type="dxa" w:w="5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1A1A1A"/>
                <w:sz w:val="19"/>
                <w:szCs w:val="19"/>
              </w:rPr>
              <w:t xml:space="preserve">Top-tier fan; scarce access eligibility</w:t>
            </w:r>
          </w:p>
        </w:tc>
      </w:tr>
    </w:tbl>
    <w:p>
      <w:pPr>
        <w:spacing w:after="8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8"/>
              <w:bottom w:val="none" w:color="FFFFFF" w:sz="0"/>
              <w:right w:val="none" w:color="FFFFFF" w:sz="0"/>
            </w:tcBorders>
            <w:shd w:fill="FDF8E8" w:val="clear"/>
            <w:tcMar>
              <w:top w:type="dxa" w:w="140"/>
              <w:left w:type="dxa" w:w="220"/>
              <w:bottom w:type="dxa" w:w="140"/>
              <w:right w:type="dxa" w:w="220"/>
            </w:tcMar>
          </w:tcPr>
          <w:p>
            <w:pPr>
              <w:spacing w:after="80" w:before="0"/>
            </w:pPr>
            <w:r>
              <w:rPr>
                <w:rFonts w:ascii="Arial" w:cs="Arial" w:eastAsia="Arial" w:hAnsi="Arial"/>
                <w:b/>
                <w:bCs/>
                <w:color w:val="B8860B"/>
                <w:sz w:val="20"/>
                <w:szCs w:val="20"/>
              </w:rPr>
              <w:t xml:space="preserve">Priority of Dashboard Surfaces</w:t>
            </w:r>
          </w:p>
          <w:p>
            <w:pPr>
              <w:spacing w:after="0" w:before="0"/>
            </w:pPr>
            <w:r>
              <w:rPr>
                <w:rFonts w:ascii="Arial" w:cs="Arial" w:eastAsia="Arial" w:hAnsi="Arial"/>
                <w:color w:val="1A1A1A"/>
                <w:sz w:val="20"/>
                <w:szCs w:val="20"/>
              </w:rPr>
              <w:t xml:space="preserve">Per the Master Guiding Document, the build priority order is: (1) Venue Intel Dashboard — HIGHEST, (2) Fan Home / My Journey screen — HIGH, (3) Rewards Marketplace — HIGH, (4) Challenges — MEDIUM, (5) Partner / Activation View — MEDIUM. If scope must be cut, preserve the Venue Intel Dashboard and Fan Home screen above all others.</w:t>
            </w:r>
          </w:p>
        </w:tc>
      </w:tr>
    </w:tbl>
    <w:p>
      <w:pPr>
        <w:spacing w:after="160" w:before="0"/>
      </w:pPr>
      <w:r>
        <w:rPr>
          <w:rFonts w:ascii="Arial" w:cs="Arial" w:eastAsia="Arial" w:hAnsi="Arial"/>
          <w:color w:val="1A1A1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6560"/>
        <w:gridCol w:w="2160"/>
      </w:tblGrid>
      <w:tr>
        <w:tc>
          <w:tcPr>
            <w:tcW w:type="dxa" w:w="640"/>
            <w:tcBorders>
              <w:top w:val="none" w:color="FFFFFF" w:sz="0"/>
              <w:left w:val="none" w:color="FFFFFF" w:sz="0"/>
              <w:bottom w:val="none" w:color="FFFFFF" w:sz="0"/>
              <w:right w:val="none" w:color="FFFFFF" w:sz="0"/>
            </w:tcBorders>
            <w:shd w:fill="1E3A5F"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06</w:t>
            </w:r>
          </w:p>
        </w:tc>
        <w:tc>
          <w:tcPr>
            <w:tcW w:type="dxa" w:w="6560"/>
            <w:tcBorders>
              <w:top w:val="none" w:color="FFFFFF" w:sz="0"/>
              <w:left w:val="none" w:color="FFFFFF" w:sz="0"/>
              <w:bottom w:val="none" w:color="FFFFFF" w:sz="0"/>
              <w:right w:val="none" w:color="FFFFFF" w:sz="0"/>
            </w:tcBorders>
            <w:shd w:fill="E8EDF5" w:val="clear"/>
            <w:tcMar>
              <w:top w:type="dxa" w:w="120"/>
              <w:left w:type="dxa" w:w="200"/>
              <w:bottom w:type="dxa" w:w="120"/>
              <w:right w:type="dxa" w:w="120"/>
            </w:tcMar>
          </w:tcPr>
          <w:p>
            <w:r>
              <w:rPr>
                <w:rFonts w:ascii="Arial" w:cs="Arial" w:eastAsia="Arial" w:hAnsi="Arial"/>
                <w:b/>
                <w:bCs/>
                <w:color w:val="1E3A5F"/>
                <w:sz w:val="24"/>
                <w:szCs w:val="24"/>
              </w:rPr>
              <w:t xml:space="preserve">CANONICAL DATA OBJECTS</w:t>
            </w:r>
          </w:p>
        </w:tc>
        <w:tc>
          <w:tcPr>
            <w:tcW w:type="dxa" w:w="2160"/>
            <w:tcBorders>
              <w:top w:val="none" w:color="FFFFFF" w:sz="0"/>
              <w:left w:val="none" w:color="FFFFFF" w:sz="0"/>
              <w:bottom w:val="none" w:color="FFFFFF" w:sz="0"/>
              <w:right w:val="none" w:color="FFFFFF" w:sz="0"/>
            </w:tcBorders>
            <w:shd w:fill="B8C8DC" w:val="clear"/>
            <w:tcMar>
              <w:top w:type="dxa" w:w="120"/>
              <w:left w:type="dxa" w:w="120"/>
              <w:bottom w:type="dxa" w:w="120"/>
              <w:right w:type="dxa" w:w="120"/>
            </w:tcMar>
            <w:vAlign w:val="center"/>
          </w:tcPr>
          <w:p>
            <w:pPr>
              <w:jc w:val="right"/>
            </w:pPr>
            <w:r>
              <w:rPr>
                <w:rFonts w:ascii="Arial" w:cs="Arial" w:eastAsia="Arial" w:hAnsi="Arial"/>
                <w:color w:val="1E3A5F"/>
                <w:sz w:val="18"/>
                <w:szCs w:val="18"/>
              </w:rPr>
              <w:t xml:space="preserve">Reference</w:t>
            </w:r>
          </w:p>
        </w:tc>
      </w:tr>
    </w:tbl>
    <w:p>
      <w:pPr>
        <w:spacing w:after="8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5E55" w:sz="18"/>
              <w:bottom w:val="none" w:color="FFFFFF" w:sz="0"/>
              <w:right w:val="none" w:color="FFFFFF" w:sz="0"/>
            </w:tcBorders>
            <w:shd w:fill="E6F4F2" w:val="clear"/>
            <w:tcMar>
              <w:top w:type="dxa" w:w="140"/>
              <w:left w:type="dxa" w:w="220"/>
              <w:bottom w:type="dxa" w:w="140"/>
              <w:right w:type="dxa" w:w="220"/>
            </w:tcMar>
          </w:tcPr>
          <w:p>
            <w:pPr>
              <w:spacing w:after="80" w:before="0"/>
            </w:pPr>
            <w:r>
              <w:rPr>
                <w:rFonts w:ascii="Arial" w:cs="Arial" w:eastAsia="Arial" w:hAnsi="Arial"/>
                <w:b/>
                <w:bCs/>
                <w:color w:val="0F5E55"/>
                <w:sz w:val="20"/>
                <w:szCs w:val="20"/>
              </w:rPr>
              <w:t xml:space="preserve">Single Source of Truth</w:t>
            </w:r>
          </w:p>
          <w:p>
            <w:pPr>
              <w:spacing w:after="0" w:before="0"/>
            </w:pPr>
            <w:r>
              <w:rPr>
                <w:rFonts w:ascii="Arial" w:cs="Arial" w:eastAsia="Arial" w:hAnsi="Arial"/>
                <w:color w:val="1A1A1A"/>
                <w:sz w:val="20"/>
                <w:szCs w:val="20"/>
              </w:rPr>
              <w:t xml:space="preserve">These 9 canonical entities are the definitive data model for Maxxes. They supersede the 12-object list in earlier drafts. Ethan King (Back End) owns the schema; all other roles must reference these objects when naming fields in their components.</w:t>
            </w:r>
          </w:p>
        </w:tc>
      </w:tr>
    </w:tbl>
    <w:p>
      <w:pPr>
        <w:spacing w:after="8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Entity</w:t>
            </w:r>
          </w:p>
        </w:tc>
        <w:tc>
          <w:tcPr>
            <w:tcW w:type="dxa" w:w="38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Example Fields</w:t>
            </w:r>
          </w:p>
        </w:tc>
        <w:tc>
          <w:tcPr>
            <w:tcW w:type="dxa" w:w="356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Purpose</w:t>
            </w:r>
          </w:p>
        </w:tc>
      </w:tr>
      <w:tr>
        <w:tc>
          <w:tcPr>
            <w:tcW w:type="dxa" w:w="2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Fan</w:t>
            </w:r>
          </w:p>
        </w:tc>
        <w:tc>
          <w:tcPr>
            <w:tcW w:type="dxa" w:w="38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fan_id, city, preferred_team_artist, current_tier, xp_total, streak_days</w:t>
            </w:r>
          </w:p>
        </w:tc>
        <w:tc>
          <w:tcPr>
            <w:tcW w:type="dxa" w:w="35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Master user record and ranking anchor</w:t>
            </w:r>
          </w:p>
        </w:tc>
      </w:tr>
      <w:tr>
        <w:tc>
          <w:tcPr>
            <w:tcW w:type="dxa" w:w="2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FanEvent</w:t>
            </w:r>
          </w:p>
        </w:tc>
        <w:tc>
          <w:tcPr>
            <w:tcW w:type="dxa" w:w="3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event_type, source_platform, duration_minutes, amount_usd, venue_id, campaign_id, timestamp</w:t>
            </w:r>
          </w:p>
        </w:tc>
        <w:tc>
          <w:tcPr>
            <w:tcW w:type="dxa" w:w="35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Immutable behavioral signal log — every XP-earning action recorded here</w:t>
            </w:r>
          </w:p>
        </w:tc>
      </w:tr>
      <w:tr>
        <w:tc>
          <w:tcPr>
            <w:tcW w:type="dxa" w:w="2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XPTransaction</w:t>
            </w:r>
          </w:p>
        </w:tc>
        <w:tc>
          <w:tcPr>
            <w:tcW w:type="dxa" w:w="38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source_event_id, xp_earned, multiplier, xp_reason, calculated_at</w:t>
            </w:r>
          </w:p>
        </w:tc>
        <w:tc>
          <w:tcPr>
            <w:tcW w:type="dxa" w:w="35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Audit trail for scoring — makes the model explainable and testable</w:t>
            </w:r>
          </w:p>
        </w:tc>
      </w:tr>
      <w:tr>
        <w:tc>
          <w:tcPr>
            <w:tcW w:type="dxa" w:w="2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Challenge</w:t>
            </w:r>
          </w:p>
        </w:tc>
        <w:tc>
          <w:tcPr>
            <w:tcW w:type="dxa" w:w="3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challenge_type, required_action, xp_reward, sponsor_id, active_window</w:t>
            </w:r>
          </w:p>
        </w:tc>
        <w:tc>
          <w:tcPr>
            <w:tcW w:type="dxa" w:w="35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Defines gamified actions fans can complete for XP</w:t>
            </w:r>
          </w:p>
        </w:tc>
      </w:tr>
      <w:tr>
        <w:tc>
          <w:tcPr>
            <w:tcW w:type="dxa" w:w="2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ChallengeProgress</w:t>
            </w:r>
          </w:p>
        </w:tc>
        <w:tc>
          <w:tcPr>
            <w:tcW w:type="dxa" w:w="38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fan_id, challenge_id, current_progress, target_progress, completed_at</w:t>
            </w:r>
          </w:p>
        </w:tc>
        <w:tc>
          <w:tcPr>
            <w:tcW w:type="dxa" w:w="35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Tracks per-fan challenge state and completion status</w:t>
            </w:r>
          </w:p>
        </w:tc>
      </w:tr>
      <w:tr>
        <w:tc>
          <w:tcPr>
            <w:tcW w:type="dxa" w:w="2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Reward</w:t>
            </w:r>
          </w:p>
        </w:tc>
        <w:tc>
          <w:tcPr>
            <w:tcW w:type="dxa" w:w="3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tier_required, xp_cost, quantity_available, reward_category, partner_id</w:t>
            </w:r>
          </w:p>
        </w:tc>
        <w:tc>
          <w:tcPr>
            <w:tcW w:type="dxa" w:w="35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Defines redeemable experiences and their eligibility requirements</w:t>
            </w:r>
          </w:p>
        </w:tc>
      </w:tr>
      <w:tr>
        <w:tc>
          <w:tcPr>
            <w:tcW w:type="dxa" w:w="2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RewardRedemption</w:t>
            </w:r>
          </w:p>
        </w:tc>
        <w:tc>
          <w:tcPr>
            <w:tcW w:type="dxa" w:w="38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reward_id, fan_id, xp_spent, status, redeemed_at</w:t>
            </w:r>
          </w:p>
        </w:tc>
        <w:tc>
          <w:tcPr>
            <w:tcW w:type="dxa" w:w="35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Tracks reward usage and remaining catalog inventory</w:t>
            </w:r>
          </w:p>
        </w:tc>
      </w:tr>
      <w:tr>
        <w:tc>
          <w:tcPr>
            <w:tcW w:type="dxa" w:w="2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Campaign</w:t>
            </w:r>
          </w:p>
        </w:tc>
        <w:tc>
          <w:tcPr>
            <w:tcW w:type="dxa" w:w="3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campaign_type, audience_segment, offer_type, channel, start_date, end_date</w:t>
            </w:r>
          </w:p>
        </w:tc>
        <w:tc>
          <w:tcPr>
            <w:tcW w:type="dxa" w:w="35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Supports attribution logic and campaign lift measurement</w:t>
            </w:r>
          </w:p>
        </w:tc>
      </w:tr>
      <w:tr>
        <w:tc>
          <w:tcPr>
            <w:tcW w:type="dxa" w:w="2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VenueSummary</w:t>
            </w:r>
          </w:p>
        </w:tc>
        <w:tc>
          <w:tcPr>
            <w:tcW w:type="dxa" w:w="38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venue_id, avg_xp, tier_distribution, presale_conversion_rate, churn_flag_count, generated_at</w:t>
            </w:r>
          </w:p>
        </w:tc>
        <w:tc>
          <w:tcPr>
            <w:tcW w:type="dxa" w:w="35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Operator-facing aggregate snapshot powering the Business Intel Dashboard</w:t>
            </w:r>
          </w:p>
        </w:tc>
      </w:tr>
    </w:tbl>
    <w:p>
      <w:pPr>
        <w:spacing w:after="80" w:before="0"/>
      </w:pPr>
      <w:r>
        <w:rPr>
          <w:rFonts w:ascii="Arial" w:cs="Arial" w:eastAsia="Arial" w:hAnsi="Arial"/>
          <w:color w:val="1A1A1A"/>
          <w:sz w:val="22"/>
          <w:szCs w:val="22"/>
        </w:rPr>
        <w:t xml:space="preserve"/>
      </w:r>
    </w:p>
    <w:p>
      <w:pPr>
        <w:pStyle w:val="Heading2"/>
        <w:spacing w:after="140" w:before="400"/>
      </w:pPr>
      <w:r>
        <w:rPr>
          <w:rFonts w:ascii="Arial" w:cs="Arial" w:eastAsia="Arial" w:hAnsi="Arial"/>
          <w:b/>
          <w:bCs/>
          <w:color w:val="1E3A5F"/>
          <w:sz w:val="28"/>
          <w:szCs w:val="28"/>
        </w:rPr>
        <w:t xml:space="preserve">Required Dashboard Components —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880"/>
        <w:gridCol w:w="2000"/>
        <w:gridCol w:w="4000"/>
      </w:tblGrid>
      <w:tr>
        <w:tc>
          <w:tcPr>
            <w:tcW w:type="dxa" w:w="48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w:t>
            </w:r>
          </w:p>
        </w:tc>
        <w:tc>
          <w:tcPr>
            <w:tcW w:type="dxa" w:w="288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Component</w:t>
            </w:r>
          </w:p>
        </w:tc>
        <w:tc>
          <w:tcPr>
            <w:tcW w:type="dxa" w:w="20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Serves</w:t>
            </w:r>
          </w:p>
        </w:tc>
        <w:tc>
          <w:tcPr>
            <w:tcW w:type="dxa" w:w="40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Build Priority</w:t>
            </w:r>
          </w:p>
        </w:tc>
      </w:tr>
      <w:tr>
        <w:tc>
          <w:tcPr>
            <w:tcW w:type="dxa" w:w="48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1</w:t>
            </w:r>
          </w:p>
        </w:tc>
        <w:tc>
          <w:tcPr>
            <w:tcW w:type="dxa" w:w="288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Venue Intel Dashboard</w:t>
            </w:r>
          </w:p>
        </w:tc>
        <w:tc>
          <w:tcPr>
            <w:tcW w:type="dxa" w:w="2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Operator</w:t>
            </w:r>
          </w:p>
        </w:tc>
        <w:tc>
          <w:tcPr>
            <w:tcW w:type="dxa" w:w="4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HIGHEST — build first</w:t>
            </w:r>
          </w:p>
        </w:tc>
      </w:tr>
      <w:tr>
        <w:tc>
          <w:tcPr>
            <w:tcW w:type="dxa" w:w="48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2</w:t>
            </w:r>
          </w:p>
        </w:tc>
        <w:tc>
          <w:tcPr>
            <w:tcW w:type="dxa" w:w="288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Fan Home / My Journey</w:t>
            </w:r>
          </w:p>
        </w:tc>
        <w:tc>
          <w:tcPr>
            <w:tcW w:type="dxa" w:w="2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Fan</w:t>
            </w:r>
          </w:p>
        </w:tc>
        <w:tc>
          <w:tcPr>
            <w:tcW w:type="dxa" w:w="4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HIGH — build second</w:t>
            </w:r>
          </w:p>
        </w:tc>
      </w:tr>
      <w:tr>
        <w:tc>
          <w:tcPr>
            <w:tcW w:type="dxa" w:w="48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3</w:t>
            </w:r>
          </w:p>
        </w:tc>
        <w:tc>
          <w:tcPr>
            <w:tcW w:type="dxa" w:w="288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Rewards Marketplace</w:t>
            </w:r>
          </w:p>
        </w:tc>
        <w:tc>
          <w:tcPr>
            <w:tcW w:type="dxa" w:w="2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Fan</w:t>
            </w:r>
          </w:p>
        </w:tc>
        <w:tc>
          <w:tcPr>
            <w:tcW w:type="dxa" w:w="4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HIGH — build third</w:t>
            </w:r>
          </w:p>
        </w:tc>
      </w:tr>
      <w:tr>
        <w:tc>
          <w:tcPr>
            <w:tcW w:type="dxa" w:w="48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4</w:t>
            </w:r>
          </w:p>
        </w:tc>
        <w:tc>
          <w:tcPr>
            <w:tcW w:type="dxa" w:w="288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Superfan Score Card</w:t>
            </w:r>
          </w:p>
        </w:tc>
        <w:tc>
          <w:tcPr>
            <w:tcW w:type="dxa" w:w="2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Fan</w:t>
            </w:r>
          </w:p>
        </w:tc>
        <w:tc>
          <w:tcPr>
            <w:tcW w:type="dxa" w:w="4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HIGH — embedded in Fan Home</w:t>
            </w:r>
          </w:p>
        </w:tc>
      </w:tr>
      <w:tr>
        <w:tc>
          <w:tcPr>
            <w:tcW w:type="dxa" w:w="48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5</w:t>
            </w:r>
          </w:p>
        </w:tc>
        <w:tc>
          <w:tcPr>
            <w:tcW w:type="dxa" w:w="288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Fan Leaderboard</w:t>
            </w:r>
          </w:p>
        </w:tc>
        <w:tc>
          <w:tcPr>
            <w:tcW w:type="dxa" w:w="2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Fan + Venue</w:t>
            </w:r>
          </w:p>
        </w:tc>
        <w:tc>
          <w:tcPr>
            <w:tcW w:type="dxa" w:w="4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HIGH — embedded in both views</w:t>
            </w:r>
          </w:p>
        </w:tc>
      </w:tr>
      <w:tr>
        <w:tc>
          <w:tcPr>
            <w:tcW w:type="dxa" w:w="48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6</w:t>
            </w:r>
          </w:p>
        </w:tc>
        <w:tc>
          <w:tcPr>
            <w:tcW w:type="dxa" w:w="288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Next Milestone Tracker</w:t>
            </w:r>
          </w:p>
        </w:tc>
        <w:tc>
          <w:tcPr>
            <w:tcW w:type="dxa" w:w="2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Fan</w:t>
            </w:r>
          </w:p>
        </w:tc>
        <w:tc>
          <w:tcPr>
            <w:tcW w:type="dxa" w:w="4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Medium — part of Fan Home</w:t>
            </w:r>
          </w:p>
        </w:tc>
      </w:tr>
      <w:tr>
        <w:tc>
          <w:tcPr>
            <w:tcW w:type="dxa" w:w="48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7</w:t>
            </w:r>
          </w:p>
        </w:tc>
        <w:tc>
          <w:tcPr>
            <w:tcW w:type="dxa" w:w="288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Challenges Panel</w:t>
            </w:r>
          </w:p>
        </w:tc>
        <w:tc>
          <w:tcPr>
            <w:tcW w:type="dxa" w:w="2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Fan</w:t>
            </w:r>
          </w:p>
        </w:tc>
        <w:tc>
          <w:tcPr>
            <w:tcW w:type="dxa" w:w="4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Medium — standalone screen</w:t>
            </w:r>
          </w:p>
        </w:tc>
      </w:tr>
      <w:tr>
        <w:tc>
          <w:tcPr>
            <w:tcW w:type="dxa" w:w="48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8</w:t>
            </w:r>
          </w:p>
        </w:tc>
        <w:tc>
          <w:tcPr>
            <w:tcW w:type="dxa" w:w="288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Lapse Risk Alert</w:t>
            </w:r>
          </w:p>
        </w:tc>
        <w:tc>
          <w:tcPr>
            <w:tcW w:type="dxa" w:w="2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Operator</w:t>
            </w:r>
          </w:p>
        </w:tc>
        <w:tc>
          <w:tcPr>
            <w:tcW w:type="dxa" w:w="4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Medium — embedded in Venue Intel</w:t>
            </w:r>
          </w:p>
        </w:tc>
      </w:tr>
      <w:tr>
        <w:tc>
          <w:tcPr>
            <w:tcW w:type="dxa" w:w="48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9</w:t>
            </w:r>
          </w:p>
        </w:tc>
        <w:tc>
          <w:tcPr>
            <w:tcW w:type="dxa" w:w="288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Revenue Projection Panel</w:t>
            </w:r>
          </w:p>
        </w:tc>
        <w:tc>
          <w:tcPr>
            <w:tcW w:type="dxa" w:w="2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Operator</w:t>
            </w:r>
          </w:p>
        </w:tc>
        <w:tc>
          <w:tcPr>
            <w:tcW w:type="dxa" w:w="4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Medium — embedded in Venue Intel</w:t>
            </w:r>
          </w:p>
        </w:tc>
      </w:tr>
      <w:tr>
        <w:tc>
          <w:tcPr>
            <w:tcW w:type="dxa" w:w="48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10</w:t>
            </w:r>
          </w:p>
        </w:tc>
        <w:tc>
          <w:tcPr>
            <w:tcW w:type="dxa" w:w="288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Partner / Activation View</w:t>
            </w:r>
          </w:p>
        </w:tc>
        <w:tc>
          <w:tcPr>
            <w:tcW w:type="dxa" w:w="2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Operator</w:t>
            </w:r>
          </w:p>
        </w:tc>
        <w:tc>
          <w:tcPr>
            <w:tcW w:type="dxa" w:w="4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Medium — build if time permits</w:t>
            </w:r>
          </w:p>
        </w:tc>
      </w:tr>
      <w:tr>
        <w:tc>
          <w:tcPr>
            <w:tcW w:type="dxa" w:w="48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11</w:t>
            </w:r>
          </w:p>
        </w:tc>
        <w:tc>
          <w:tcPr>
            <w:tcW w:type="dxa" w:w="288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Data / Assumptions Panel</w:t>
            </w:r>
          </w:p>
        </w:tc>
        <w:tc>
          <w:tcPr>
            <w:tcW w:type="dxa" w:w="2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All</w:t>
            </w:r>
          </w:p>
        </w:tc>
        <w:tc>
          <w:tcPr>
            <w:tcW w:type="dxa" w:w="4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Low — add at end for transparency</w:t>
            </w:r>
          </w:p>
        </w:tc>
      </w:tr>
    </w:tbl>
    <w:p>
      <w:pPr>
        <w:spacing w:after="160" w:before="0"/>
      </w:pPr>
      <w:r>
        <w:rPr>
          <w:rFonts w:ascii="Arial" w:cs="Arial" w:eastAsia="Arial" w:hAnsi="Arial"/>
          <w:color w:val="1A1A1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6560"/>
        <w:gridCol w:w="2160"/>
      </w:tblGrid>
      <w:tr>
        <w:tc>
          <w:tcPr>
            <w:tcW w:type="dxa" w:w="640"/>
            <w:tcBorders>
              <w:top w:val="none" w:color="FFFFFF" w:sz="0"/>
              <w:left w:val="none" w:color="FFFFFF" w:sz="0"/>
              <w:bottom w:val="none" w:color="FFFFFF" w:sz="0"/>
              <w:right w:val="none" w:color="FFFFFF" w:sz="0"/>
            </w:tcBorders>
            <w:shd w:fill="1E3A5F"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07</w:t>
            </w:r>
          </w:p>
        </w:tc>
        <w:tc>
          <w:tcPr>
            <w:tcW w:type="dxa" w:w="6560"/>
            <w:tcBorders>
              <w:top w:val="none" w:color="FFFFFF" w:sz="0"/>
              <w:left w:val="none" w:color="FFFFFF" w:sz="0"/>
              <w:bottom w:val="none" w:color="FFFFFF" w:sz="0"/>
              <w:right w:val="none" w:color="FFFFFF" w:sz="0"/>
            </w:tcBorders>
            <w:shd w:fill="E8EDF5" w:val="clear"/>
            <w:tcMar>
              <w:top w:type="dxa" w:w="120"/>
              <w:left w:type="dxa" w:w="200"/>
              <w:bottom w:type="dxa" w:w="120"/>
              <w:right w:type="dxa" w:w="120"/>
            </w:tcMar>
          </w:tcPr>
          <w:p>
            <w:r>
              <w:rPr>
                <w:rFonts w:ascii="Arial" w:cs="Arial" w:eastAsia="Arial" w:hAnsi="Arial"/>
                <w:b/>
                <w:bCs/>
                <w:color w:val="1E3A5F"/>
                <w:sz w:val="24"/>
                <w:szCs w:val="24"/>
              </w:rPr>
              <w:t xml:space="preserve">TRANSLATE ANALYTICS INTO SOFTWARE REQUIREMENTS</w:t>
            </w:r>
          </w:p>
        </w:tc>
        <w:tc>
          <w:tcPr>
            <w:tcW w:type="dxa" w:w="2160"/>
            <w:tcBorders>
              <w:top w:val="none" w:color="FFFFFF" w:sz="0"/>
              <w:left w:val="none" w:color="FFFFFF" w:sz="0"/>
              <w:bottom w:val="none" w:color="FFFFFF" w:sz="0"/>
              <w:right w:val="none" w:color="FFFFFF" w:sz="0"/>
            </w:tcBorders>
            <w:shd w:fill="B8C8DC" w:val="clear"/>
            <w:tcMar>
              <w:top w:type="dxa" w:w="120"/>
              <w:left w:type="dxa" w:w="120"/>
              <w:bottom w:type="dxa" w:w="120"/>
              <w:right w:type="dxa" w:w="120"/>
            </w:tcMar>
            <w:vAlign w:val="center"/>
          </w:tcPr>
          <w:p>
            <w:pPr>
              <w:jc w:val="right"/>
            </w:pPr>
            <w:r>
              <w:rPr>
                <w:rFonts w:ascii="Arial" w:cs="Arial" w:eastAsia="Arial" w:hAnsi="Arial"/>
                <w:color w:val="1E3A5F"/>
                <w:sz w:val="18"/>
                <w:szCs w:val="18"/>
              </w:rPr>
              <w:t xml:space="preserve">80 – 100 Minutes</w:t>
            </w:r>
          </w:p>
        </w:tc>
      </w:tr>
    </w:tbl>
    <w:p>
      <w:pPr>
        <w:spacing w:after="80" w:before="0"/>
      </w:pPr>
      <w:r>
        <w:rPr>
          <w:rFonts w:ascii="Arial" w:cs="Arial" w:eastAsia="Arial" w:hAnsi="Arial"/>
          <w:color w:val="1A1A1A"/>
          <w:sz w:val="22"/>
          <w:szCs w:val="22"/>
        </w:rPr>
        <w:t xml:space="preserve"/>
      </w:r>
    </w:p>
    <w:p>
      <w:pPr>
        <w:pStyle w:val="Heading2"/>
        <w:spacing w:after="140" w:before="400"/>
      </w:pPr>
      <w:r>
        <w:rPr>
          <w:rFonts w:ascii="Arial" w:cs="Arial" w:eastAsia="Arial" w:hAnsi="Arial"/>
          <w:b/>
          <w:bCs/>
          <w:color w:val="1E3A5F"/>
          <w:sz w:val="28"/>
          <w:szCs w:val="28"/>
        </w:rPr>
        <w:t xml:space="preserve">Example 1 — Superfan XP Score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Business Question</w:t>
            </w:r>
          </w:p>
        </w:tc>
        <w:tc>
          <w:tcPr>
            <w:tcW w:type="dxa" w:w="616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How loyal and valuable is this fan compared to all other fans of this artist/venue?</w:t>
            </w:r>
          </w:p>
        </w:tc>
      </w:tr>
      <w:tr>
        <w:tc>
          <w:tcPr>
            <w:tcW w:type="dxa" w:w="32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Data Fields Needed</w:t>
            </w:r>
          </w:p>
        </w:tc>
        <w:tc>
          <w:tcPr>
            <w:tcW w:type="dxa" w:w="61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fan_id, xp_total, current_tier, streak_days, xp_last_30_days, xp_last_90_days — all from Fan and XPTransaction entities</w:t>
            </w:r>
          </w:p>
        </w:tc>
      </w:tr>
      <w:tr>
        <w:tc>
          <w:tcPr>
            <w:tcW w:type="dxa" w:w="3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Calculation / Rule</w:t>
            </w:r>
          </w:p>
        </w:tc>
        <w:tc>
          <w:tcPr>
            <w:tcW w:type="dxa" w:w="61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Sum all XPTransaction.xp_earned for this fan. Apply streak multiplier. Apply recency weighting (30-day XP × 2.0). Classify tier using Bronze–Diamond thresholds. Display next milestone XP gap.</w:t>
            </w:r>
          </w:p>
        </w:tc>
      </w:tr>
      <w:tr>
        <w:tc>
          <w:tcPr>
            <w:tcW w:type="dxa" w:w="32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UI Component</w:t>
            </w:r>
          </w:p>
        </w:tc>
        <w:tc>
          <w:tcPr>
            <w:tcW w:type="dxa" w:w="61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Superfan Score Card — circular XP gauge, tier badge (color-coded Bronze–Diamond), points breakdown by signal type, next milestone indicator, streak counter</w:t>
            </w:r>
          </w:p>
        </w:tc>
      </w:tr>
      <w:tr>
        <w:tc>
          <w:tcPr>
            <w:tcW w:type="dxa" w:w="3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Owner Roles</w:t>
            </w:r>
          </w:p>
        </w:tc>
        <w:tc>
          <w:tcPr>
            <w:tcW w:type="dxa" w:w="61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Ethan: scoring weights and XPTransaction schema. Luke: renders card and gauge. Kayah: validates data contract. Justin: tests tier threshold logic. Kyle: badge visual hierarchy.</w:t>
            </w:r>
          </w:p>
        </w:tc>
      </w:tr>
      <w:tr>
        <w:tc>
          <w:tcPr>
            <w:tcW w:type="dxa" w:w="32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Week 5 Task</w:t>
            </w:r>
          </w:p>
        </w:tc>
        <w:tc>
          <w:tcPr>
            <w:tcW w:type="dxa" w:w="61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Finalize XP weights, confirm tier XP thresholds, build mock Fan and XPTransaction JSON dataset (25+ fans, 90 days of history).</w:t>
            </w:r>
          </w:p>
        </w:tc>
      </w:tr>
      <w:tr>
        <w:tc>
          <w:tcPr>
            <w:tcW w:type="dxa" w:w="3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Week 6 Task</w:t>
            </w:r>
          </w:p>
        </w:tc>
        <w:tc>
          <w:tcPr>
            <w:tcW w:type="dxa" w:w="61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Implement live XP calculation from mock data; render score card with correct tier logic and milestone display.</w:t>
            </w:r>
          </w:p>
        </w:tc>
      </w:tr>
    </w:tbl>
    <w:p>
      <w:pPr>
        <w:spacing w:after="80" w:before="0"/>
      </w:pPr>
      <w:r>
        <w:rPr>
          <w:rFonts w:ascii="Arial" w:cs="Arial" w:eastAsia="Arial" w:hAnsi="Arial"/>
          <w:color w:val="1A1A1A"/>
          <w:sz w:val="22"/>
          <w:szCs w:val="22"/>
        </w:rPr>
        <w:t xml:space="preserve"/>
      </w:r>
    </w:p>
    <w:p>
      <w:pPr>
        <w:pStyle w:val="Heading2"/>
        <w:spacing w:after="140" w:before="400"/>
      </w:pPr>
      <w:r>
        <w:rPr>
          <w:rFonts w:ascii="Arial" w:cs="Arial" w:eastAsia="Arial" w:hAnsi="Arial"/>
          <w:b/>
          <w:bCs/>
          <w:color w:val="1E3A5F"/>
          <w:sz w:val="28"/>
          <w:szCs w:val="28"/>
        </w:rPr>
        <w:t xml:space="preserve">Example 2 — Fan Leaderboard (Ranked Access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Business Question</w:t>
            </w:r>
          </w:p>
        </w:tc>
        <w:tc>
          <w:tcPr>
            <w:tcW w:type="dxa" w:w="616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Which fans have earned priority access to presales, VIP upgrades, and exclusive experiences?</w:t>
            </w:r>
          </w:p>
        </w:tc>
      </w:tr>
      <w:tr>
        <w:tc>
          <w:tcPr>
            <w:tcW w:type="dxa" w:w="32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Data Fields Needed</w:t>
            </w:r>
          </w:p>
        </w:tc>
        <w:tc>
          <w:tcPr>
            <w:tcW w:type="dxa" w:w="61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fan_id, fan_name, xp_total, current_tier, events_attended, artist_id, venue_id, perk_eligibility_list, last_event_date, streak_days — from Fan and RewardRedemption entities</w:t>
            </w:r>
          </w:p>
        </w:tc>
      </w:tr>
      <w:tr>
        <w:tc>
          <w:tcPr>
            <w:tcW w:type="dxa" w:w="3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Calculation / Rule</w:t>
            </w:r>
          </w:p>
        </w:tc>
        <w:tc>
          <w:tcPr>
            <w:tcW w:type="dxa" w:w="61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Sort all fans by xp_total descending. Apply tier bands: Diamond (25,000+), Platinum (10,000–24,999), Gold (5,000–9,999), Silver (2,500–4,999), Bronze (0–2,499). Top-tier fans receive first access to presale windows and premium upgrade offers.</w:t>
            </w:r>
          </w:p>
        </w:tc>
      </w:tr>
      <w:tr>
        <w:tc>
          <w:tcPr>
            <w:tcW w:type="dxa" w:w="32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UI Component</w:t>
            </w:r>
          </w:p>
        </w:tc>
        <w:tc>
          <w:tcPr>
            <w:tcW w:type="dxa" w:w="61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Ranked leaderboard table with tier badges, XP score, attendance count, streak status, and perk unlock indicators</w:t>
            </w:r>
          </w:p>
        </w:tc>
      </w:tr>
      <w:tr>
        <w:tc>
          <w:tcPr>
            <w:tcW w:type="dxa" w:w="3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Owner Roles</w:t>
            </w:r>
          </w:p>
        </w:tc>
        <w:tc>
          <w:tcPr>
            <w:tcW w:type="dxa" w:w="61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Ethan: tier band thresholds and sort logic. Luke: builds sortable table with tier filter. Justin: validates sort and tier accuracy. Kyle: badge and tier color system.</w:t>
            </w:r>
          </w:p>
        </w:tc>
      </w:tr>
      <w:tr>
        <w:tc>
          <w:tcPr>
            <w:tcW w:type="dxa" w:w="32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Week 5 Task</w:t>
            </w:r>
          </w:p>
        </w:tc>
        <w:tc>
          <w:tcPr>
            <w:tcW w:type="dxa" w:w="61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Define tier XP thresholds; design leaderboard layout; build mock fan roster (25+ profiles across all 5 tiers).</w:t>
            </w:r>
          </w:p>
        </w:tc>
      </w:tr>
      <w:tr>
        <w:tc>
          <w:tcPr>
            <w:tcW w:type="dxa" w:w="3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Week 6 Task</w:t>
            </w:r>
          </w:p>
        </w:tc>
        <w:tc>
          <w:tcPr>
            <w:tcW w:type="dxa" w:w="61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Render leaderboard from mock data; implement tier filter; show perk unlock states by tier.</w:t>
            </w:r>
          </w:p>
        </w:tc>
      </w:tr>
    </w:tbl>
    <w:p>
      <w:pPr>
        <w:spacing w:after="80" w:before="0"/>
      </w:pPr>
      <w:r>
        <w:rPr>
          <w:rFonts w:ascii="Arial" w:cs="Arial" w:eastAsia="Arial" w:hAnsi="Arial"/>
          <w:color w:val="1A1A1A"/>
          <w:sz w:val="22"/>
          <w:szCs w:val="22"/>
        </w:rPr>
        <w:t xml:space="preserve"/>
      </w:r>
    </w:p>
    <w:p>
      <w:pPr>
        <w:pStyle w:val="Heading2"/>
        <w:spacing w:after="140" w:before="400"/>
      </w:pPr>
      <w:r>
        <w:rPr>
          <w:rFonts w:ascii="Arial" w:cs="Arial" w:eastAsia="Arial" w:hAnsi="Arial"/>
          <w:b/>
          <w:bCs/>
          <w:color w:val="1E3A5F"/>
          <w:sz w:val="28"/>
          <w:szCs w:val="28"/>
        </w:rPr>
        <w:t xml:space="preserve">Example 3 — Venue Intelligence Brief (Operator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Business Question</w:t>
            </w:r>
          </w:p>
        </w:tc>
        <w:tc>
          <w:tcPr>
            <w:tcW w:type="dxa" w:w="616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Who are my top fans, what are they worth, and what should I offer them?</w:t>
            </w:r>
          </w:p>
        </w:tc>
      </w:tr>
      <w:tr>
        <w:tc>
          <w:tcPr>
            <w:tcW w:type="dxa" w:w="32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Data Fields Needed</w:t>
            </w:r>
          </w:p>
        </w:tc>
        <w:tc>
          <w:tcPr>
            <w:tcW w:type="dxa" w:w="61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VenueSummary fields: top_fans_snapshot (top 100 by XP), projected_revenue, social_reach_estimate, lapsed_fans_count, avg_spend_elite_vs_general, tier_distribution, next_event_id — from VenueSummary and Fan entities</w:t>
            </w:r>
          </w:p>
        </w:tc>
      </w:tr>
      <w:tr>
        <w:tc>
          <w:tcPr>
            <w:tcW w:type="dxa" w:w="3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Calculation / Rule</w:t>
            </w:r>
          </w:p>
        </w:tc>
        <w:tc>
          <w:tcPr>
            <w:tcW w:type="dxa" w:w="61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If a Gold+ fan has not generated a FanEvent in 60+ days, flag as lapse risk. Projected revenue = avg_spend_per_visit × superfan_count × events_remaining. Social reach = sum of follower counts for fans who posted post-event content.</w:t>
            </w:r>
          </w:p>
        </w:tc>
      </w:tr>
      <w:tr>
        <w:tc>
          <w:tcPr>
            <w:tcW w:type="dxa" w:w="32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UI Component</w:t>
            </w:r>
          </w:p>
        </w:tc>
        <w:tc>
          <w:tcPr>
            <w:tcW w:type="dxa" w:w="61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Business Brief panel: top fan tiles ranked by XP, tier distribution bar chart, revenue projection, lapse risk alerts with recommended action, segment breakdown cards</w:t>
            </w:r>
          </w:p>
        </w:tc>
      </w:tr>
      <w:tr>
        <w:tc>
          <w:tcPr>
            <w:tcW w:type="dxa" w:w="3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Owner Roles</w:t>
            </w:r>
          </w:p>
        </w:tc>
        <w:tc>
          <w:tcPr>
            <w:tcW w:type="dxa" w:w="61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Ethan: lapse and projection rules, VenueSummary mock data. Luke: renders brief panel and chart. Kyle: executive-readable layout. Justin: checks revenue math and lapse flag logic.</w:t>
            </w:r>
          </w:p>
        </w:tc>
      </w:tr>
      <w:tr>
        <w:tc>
          <w:tcPr>
            <w:tcW w:type="dxa" w:w="32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Week 5 Task</w:t>
            </w:r>
          </w:p>
        </w:tc>
        <w:tc>
          <w:tcPr>
            <w:tcW w:type="dxa" w:w="61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Draft brief rules and VenueSummary data contract; design brief layout; define projection formula.</w:t>
            </w:r>
          </w:p>
        </w:tc>
      </w:tr>
      <w:tr>
        <w:tc>
          <w:tcPr>
            <w:tcW w:type="dxa" w:w="3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Week 6 Task</w:t>
            </w:r>
          </w:p>
        </w:tc>
        <w:tc>
          <w:tcPr>
            <w:tcW w:type="dxa" w:w="61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Generate brief from mock fan roster; render lapse flags; display revenue estimate and tier distribution.</w:t>
            </w:r>
          </w:p>
        </w:tc>
      </w:tr>
    </w:tbl>
    <w:p>
      <w:pPr>
        <w:spacing w:after="160" w:before="0"/>
      </w:pPr>
      <w:r>
        <w:rPr>
          <w:rFonts w:ascii="Arial" w:cs="Arial" w:eastAsia="Arial" w:hAnsi="Arial"/>
          <w:color w:val="1A1A1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6560"/>
        <w:gridCol w:w="2160"/>
      </w:tblGrid>
      <w:tr>
        <w:tc>
          <w:tcPr>
            <w:tcW w:type="dxa" w:w="640"/>
            <w:tcBorders>
              <w:top w:val="none" w:color="FFFFFF" w:sz="0"/>
              <w:left w:val="none" w:color="FFFFFF" w:sz="0"/>
              <w:bottom w:val="none" w:color="FFFFFF" w:sz="0"/>
              <w:right w:val="none" w:color="FFFFFF" w:sz="0"/>
            </w:tcBorders>
            <w:shd w:fill="1E3A5F"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08</w:t>
            </w:r>
          </w:p>
        </w:tc>
        <w:tc>
          <w:tcPr>
            <w:tcW w:type="dxa" w:w="6560"/>
            <w:tcBorders>
              <w:top w:val="none" w:color="FFFFFF" w:sz="0"/>
              <w:left w:val="none" w:color="FFFFFF" w:sz="0"/>
              <w:bottom w:val="none" w:color="FFFFFF" w:sz="0"/>
              <w:right w:val="none" w:color="FFFFFF" w:sz="0"/>
            </w:tcBorders>
            <w:shd w:fill="E8EDF5" w:val="clear"/>
            <w:tcMar>
              <w:top w:type="dxa" w:w="120"/>
              <w:left w:type="dxa" w:w="200"/>
              <w:bottom w:type="dxa" w:w="120"/>
              <w:right w:type="dxa" w:w="120"/>
            </w:tcMar>
          </w:tcPr>
          <w:p>
            <w:r>
              <w:rPr>
                <w:rFonts w:ascii="Arial" w:cs="Arial" w:eastAsia="Arial" w:hAnsi="Arial"/>
                <w:b/>
                <w:bCs/>
                <w:color w:val="1E3A5F"/>
                <w:sz w:val="24"/>
                <w:szCs w:val="24"/>
              </w:rPr>
              <w:t xml:space="preserve">RECOMMENDATION ENGINE — WEEK 5 ADDITION</w:t>
            </w:r>
          </w:p>
        </w:tc>
        <w:tc>
          <w:tcPr>
            <w:tcW w:type="dxa" w:w="2160"/>
            <w:tcBorders>
              <w:top w:val="none" w:color="FFFFFF" w:sz="0"/>
              <w:left w:val="none" w:color="FFFFFF" w:sz="0"/>
              <w:bottom w:val="none" w:color="FFFFFF" w:sz="0"/>
              <w:right w:val="none" w:color="FFFFFF" w:sz="0"/>
            </w:tcBorders>
            <w:shd w:fill="B8C8DC" w:val="clear"/>
            <w:tcMar>
              <w:top w:type="dxa" w:w="120"/>
              <w:left w:type="dxa" w:w="120"/>
              <w:bottom w:type="dxa" w:w="120"/>
              <w:right w:type="dxa" w:w="120"/>
            </w:tcMar>
            <w:vAlign w:val="center"/>
          </w:tcPr>
          <w:p>
            <w:pPr>
              <w:jc w:val="right"/>
            </w:pPr>
            <w:r>
              <w:rPr>
                <w:rFonts w:ascii="Arial" w:cs="Arial" w:eastAsia="Arial" w:hAnsi="Arial"/>
                <w:color w:val="1E3A5F"/>
                <w:sz w:val="18"/>
                <w:szCs w:val="18"/>
              </w:rPr>
              <w:t xml:space="preserve">Reference</w:t>
            </w:r>
          </w:p>
        </w:tc>
      </w:tr>
    </w:tbl>
    <w:p>
      <w:pPr>
        <w:spacing w:after="8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2500" w:sz="18"/>
              <w:bottom w:val="none" w:color="FFFFFF" w:sz="0"/>
              <w:right w:val="none" w:color="FFFFFF" w:sz="0"/>
            </w:tcBorders>
            <w:shd w:fill="FBF0EC" w:val="clear"/>
            <w:tcMar>
              <w:top w:type="dxa" w:w="140"/>
              <w:left w:type="dxa" w:w="220"/>
              <w:bottom w:type="dxa" w:w="140"/>
              <w:right w:type="dxa" w:w="220"/>
            </w:tcMar>
          </w:tcPr>
          <w:p>
            <w:pPr>
              <w:spacing w:after="80" w:before="0"/>
            </w:pPr>
            <w:r>
              <w:rPr>
                <w:rFonts w:ascii="Arial" w:cs="Arial" w:eastAsia="Arial" w:hAnsi="Arial"/>
                <w:b/>
                <w:bCs/>
                <w:color w:val="8B2500"/>
                <w:sz w:val="20"/>
                <w:szCs w:val="20"/>
              </w:rPr>
              <w:t xml:space="preserve">Why This Section Exists</w:t>
            </w:r>
          </w:p>
          <w:p>
            <w:pPr>
              <w:spacing w:after="0" w:before="0"/>
            </w:pPr>
            <w:r>
              <w:rPr>
                <w:rFonts w:ascii="Arial" w:cs="Arial" w:eastAsia="Arial" w:hAnsi="Arial"/>
                <w:color w:val="1A1A1A"/>
                <w:sz w:val="20"/>
                <w:szCs w:val="20"/>
              </w:rPr>
              <w:t xml:space="preserve">The recommendation engine converts descriptive analytics into interventions. This is one of the most important differentiators for Maxxes as a business analytics platform, not just a fan app. Each recommendation card has a trigger condition, a target audience, a recommended action, a business rationale, and a prototype output. The engine is rules-based — transparent, testable, and appropriate for a five-week capstone.</w:t>
            </w:r>
          </w:p>
        </w:tc>
      </w:tr>
    </w:tbl>
    <w:p>
      <w:pPr>
        <w:spacing w:after="80" w:before="0"/>
      </w:pPr>
      <w:r>
        <w:rPr>
          <w:rFonts w:ascii="Arial" w:cs="Arial" w:eastAsia="Arial" w:hAnsi="Arial"/>
          <w:color w:val="1A1A1A"/>
          <w:sz w:val="22"/>
          <w:szCs w:val="22"/>
        </w:rPr>
        <w:t xml:space="preserve"/>
      </w:r>
    </w:p>
    <w:p>
      <w:pPr>
        <w:pStyle w:val="Heading2"/>
        <w:spacing w:after="140" w:before="400"/>
      </w:pPr>
      <w:r>
        <w:rPr>
          <w:rFonts w:ascii="Arial" w:cs="Arial" w:eastAsia="Arial" w:hAnsi="Arial"/>
          <w:b/>
          <w:bCs/>
          <w:color w:val="1E3A5F"/>
          <w:sz w:val="28"/>
          <w:szCs w:val="28"/>
        </w:rPr>
        <w:t xml:space="preserve">Recommendation Rules — Full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1880"/>
        <w:gridCol w:w="1680"/>
      </w:tblGrid>
      <w:tr>
        <w:tc>
          <w:tcPr>
            <w:tcW w:type="dxa" w:w="16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Use Case</w:t>
            </w:r>
          </w:p>
        </w:tc>
        <w:tc>
          <w:tcPr>
            <w:tcW w:type="dxa" w:w="20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Trigger Condition</w:t>
            </w:r>
          </w:p>
        </w:tc>
        <w:tc>
          <w:tcPr>
            <w:tcW w:type="dxa" w:w="22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Recommended Action</w:t>
            </w:r>
          </w:p>
        </w:tc>
        <w:tc>
          <w:tcPr>
            <w:tcW w:type="dxa" w:w="188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Business Rationale</w:t>
            </w:r>
          </w:p>
        </w:tc>
        <w:tc>
          <w:tcPr>
            <w:tcW w:type="dxa" w:w="168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Prototype Output</w:t>
            </w:r>
          </w:p>
        </w:tc>
      </w:tr>
      <w:tr>
        <w:tc>
          <w:tcPr>
            <w:tcW w:type="dxa" w:w="16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New fan activation</w:t>
            </w:r>
          </w:p>
        </w:tc>
        <w:tc>
          <w:tcPr>
            <w:tcW w:type="dxa" w:w="2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Moderate early XP but no ticket purchase or attendance within 30 days</w:t>
            </w:r>
          </w:p>
        </w:tc>
        <w:tc>
          <w:tcPr>
            <w:tcW w:type="dxa" w:w="22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Offer low-barrier challenge and first-ticket incentive</w:t>
            </w:r>
          </w:p>
        </w:tc>
        <w:tc>
          <w:tcPr>
            <w:tcW w:type="dxa" w:w="188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Early conversion improves long-term retention rate</w:t>
            </w:r>
          </w:p>
        </w:tc>
        <w:tc>
          <w:tcPr>
            <w:tcW w:type="dxa" w:w="168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Activate New Fans card</w:t>
            </w:r>
          </w:p>
        </w:tc>
      </w:tr>
      <w:tr>
        <w:tc>
          <w:tcPr>
            <w:tcW w:type="dxa" w:w="1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At-risk fan rescue</w:t>
            </w:r>
          </w:p>
        </w:tc>
        <w:tc>
          <w:tcPr>
            <w:tcW w:type="dxa" w:w="2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Gold, Platinum, or Diamond fan XP declines materially over 30–60 days</w:t>
            </w:r>
          </w:p>
        </w:tc>
        <w:tc>
          <w:tcPr>
            <w:tcW w:type="dxa" w:w="2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Trigger re-engagement campaign or exclusive perk offer</w:t>
            </w:r>
          </w:p>
        </w:tc>
        <w:tc>
          <w:tcPr>
            <w:tcW w:type="dxa" w:w="188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Retention is cheaper than reacquisition for high-value fans</w:t>
            </w:r>
          </w:p>
        </w:tc>
        <w:tc>
          <w:tcPr>
            <w:tcW w:type="dxa" w:w="168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At-Risk Gold+ Fans alert</w:t>
            </w:r>
          </w:p>
        </w:tc>
      </w:tr>
      <w:tr>
        <w:tc>
          <w:tcPr>
            <w:tcW w:type="dxa" w:w="16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Presale prioritization</w:t>
            </w:r>
          </w:p>
        </w:tc>
        <w:tc>
          <w:tcPr>
            <w:tcW w:type="dxa" w:w="2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Upcoming high-demand event with constrained premium inventory</w:t>
            </w:r>
          </w:p>
        </w:tc>
        <w:tc>
          <w:tcPr>
            <w:tcW w:type="dxa" w:w="22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Apply XP threshold or tier gate (Gold+ minimum) for early access window</w:t>
            </w:r>
          </w:p>
        </w:tc>
        <w:tc>
          <w:tcPr>
            <w:tcW w:type="dxa" w:w="188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Makes presale distribution defensible and targeted rather than first-come</w:t>
            </w:r>
          </w:p>
        </w:tc>
        <w:tc>
          <w:tcPr>
            <w:tcW w:type="dxa" w:w="168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Presale Access Rule panel</w:t>
            </w:r>
          </w:p>
        </w:tc>
      </w:tr>
      <w:tr>
        <w:tc>
          <w:tcPr>
            <w:tcW w:type="dxa" w:w="1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Reward optimization</w:t>
            </w:r>
          </w:p>
        </w:tc>
        <w:tc>
          <w:tcPr>
            <w:tcW w:type="dxa" w:w="2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High-visibility reward category with low redemption rate</w:t>
            </w:r>
          </w:p>
        </w:tc>
        <w:tc>
          <w:tcPr>
            <w:tcW w:type="dxa" w:w="2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Retune XP cost, improve reward description, or replace with higher-value perk</w:t>
            </w:r>
          </w:p>
        </w:tc>
        <w:tc>
          <w:tcPr>
            <w:tcW w:type="dxa" w:w="188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Rewards should reinforce behavior, not decorate the interface</w:t>
            </w:r>
          </w:p>
        </w:tc>
        <w:tc>
          <w:tcPr>
            <w:tcW w:type="dxa" w:w="168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Reward Performance table</w:t>
            </w:r>
          </w:p>
        </w:tc>
      </w:tr>
      <w:tr>
        <w:tc>
          <w:tcPr>
            <w:tcW w:type="dxa" w:w="16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Campaign reinforcement</w:t>
            </w:r>
          </w:p>
        </w:tc>
        <w:tc>
          <w:tcPr>
            <w:tcW w:type="dxa" w:w="2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Strong XP lift in one segment; weak or negative lift in another</w:t>
            </w:r>
          </w:p>
        </w:tc>
        <w:tc>
          <w:tcPr>
            <w:tcW w:type="dxa" w:w="22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Scale where it works; revise or discontinue where it does not</w:t>
            </w:r>
          </w:p>
        </w:tc>
        <w:tc>
          <w:tcPr>
            <w:tcW w:type="dxa" w:w="188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Improves marketing efficiency and reduces wasted spend</w:t>
            </w:r>
          </w:p>
        </w:tc>
        <w:tc>
          <w:tcPr>
            <w:tcW w:type="dxa" w:w="168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Campaign Lift by Segment view</w:t>
            </w:r>
          </w:p>
        </w:tc>
      </w:tr>
      <w:tr>
        <w:tc>
          <w:tcPr>
            <w:tcW w:type="dxa" w:w="1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VIP governance</w:t>
            </w:r>
          </w:p>
        </w:tc>
        <w:tc>
          <w:tcPr>
            <w:tcW w:type="dxa" w:w="2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Scarce premium experiences require fairer allocation</w:t>
            </w:r>
          </w:p>
        </w:tc>
        <w:tc>
          <w:tcPr>
            <w:tcW w:type="dxa" w:w="2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Sort eligible fans by XP plus recency of attendance (last 60 days)</w:t>
            </w:r>
          </w:p>
        </w:tc>
        <w:tc>
          <w:tcPr>
            <w:tcW w:type="dxa" w:w="188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Makes access earned rather than arbitrary or wealth-dependent</w:t>
            </w:r>
          </w:p>
        </w:tc>
        <w:tc>
          <w:tcPr>
            <w:tcW w:type="dxa" w:w="168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VIP Candidate List card</w:t>
            </w:r>
          </w:p>
        </w:tc>
      </w:tr>
      <w:tr>
        <w:tc>
          <w:tcPr>
            <w:tcW w:type="dxa" w:w="16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Partner targeting</w:t>
            </w:r>
          </w:p>
        </w:tc>
        <w:tc>
          <w:tcPr>
            <w:tcW w:type="dxa" w:w="2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Sponsor asks which fan segments respond best to their category</w:t>
            </w:r>
          </w:p>
        </w:tc>
        <w:tc>
          <w:tcPr>
            <w:tcW w:type="dxa" w:w="22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Recommend partner-fit segments based on spend behavior and engagement signal overlap</w:t>
            </w:r>
          </w:p>
        </w:tc>
        <w:tc>
          <w:tcPr>
            <w:tcW w:type="dxa" w:w="188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Improves sponsorship credibility and enables performance-based deals</w:t>
            </w:r>
          </w:p>
        </w:tc>
        <w:tc>
          <w:tcPr>
            <w:tcW w:type="dxa" w:w="168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Best Partner-Fit Segment card</w:t>
            </w:r>
          </w:p>
        </w:tc>
      </w:tr>
      <w:tr>
        <w:tc>
          <w:tcPr>
            <w:tcW w:type="dxa" w:w="1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Event-day upsell timing</w:t>
            </w:r>
          </w:p>
        </w:tc>
        <w:tc>
          <w:tcPr>
            <w:tcW w:type="dxa" w:w="2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Venue wants to improve in-event spend conversion</w:t>
            </w:r>
          </w:p>
        </w:tc>
        <w:tc>
          <w:tcPr>
            <w:tcW w:type="dxa" w:w="2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Use FanEvent timing patterns to place offers at highest-response windows</w:t>
            </w:r>
          </w:p>
        </w:tc>
        <w:tc>
          <w:tcPr>
            <w:tcW w:type="dxa" w:w="188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Timing often matters as much as the offer itself</w:t>
            </w:r>
          </w:p>
        </w:tc>
        <w:tc>
          <w:tcPr>
            <w:tcW w:type="dxa" w:w="168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Best Activation Window recommendation</w:t>
            </w:r>
          </w:p>
        </w:tc>
      </w:tr>
    </w:tbl>
    <w:p>
      <w:pPr>
        <w:spacing w:after="80" w:before="0"/>
      </w:pPr>
      <w:r>
        <w:rPr>
          <w:rFonts w:ascii="Arial" w:cs="Arial" w:eastAsia="Arial" w:hAnsi="Arial"/>
          <w:color w:val="1A1A1A"/>
          <w:sz w:val="22"/>
          <w:szCs w:val="22"/>
        </w:rPr>
        <w:t xml:space="preserve"/>
      </w:r>
    </w:p>
    <w:p>
      <w:pPr>
        <w:pStyle w:val="Heading2"/>
        <w:spacing w:after="140" w:before="400"/>
      </w:pPr>
      <w:r>
        <w:rPr>
          <w:rFonts w:ascii="Arial" w:cs="Arial" w:eastAsia="Arial" w:hAnsi="Arial"/>
          <w:b/>
          <w:bCs/>
          <w:color w:val="1E3A5F"/>
          <w:sz w:val="28"/>
          <w:szCs w:val="28"/>
        </w:rPr>
        <w:t xml:space="preserve">Dashboard Layout for Recommendation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80"/>
        <w:gridCol w:w="3080"/>
      </w:tblGrid>
      <w:tr>
        <w:tc>
          <w:tcPr>
            <w:tcW w:type="dxa" w:w="24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Dashboard Zone</w:t>
            </w:r>
          </w:p>
        </w:tc>
        <w:tc>
          <w:tcPr>
            <w:tcW w:type="dxa" w:w="388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Recommended Contents</w:t>
            </w:r>
          </w:p>
        </w:tc>
        <w:tc>
          <w:tcPr>
            <w:tcW w:type="dxa" w:w="308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Reason</w:t>
            </w:r>
          </w:p>
        </w:tc>
      </w:tr>
      <w:tr>
        <w:tc>
          <w:tcPr>
            <w:tcW w:type="dxa" w:w="2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Top row (KPIs)</w:t>
            </w:r>
          </w:p>
        </w:tc>
        <w:tc>
          <w:tcPr>
            <w:tcW w:type="dxa" w:w="388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Active fans, At-risk fans, Presale conversion rate, Reward redemption rate</w:t>
            </w:r>
          </w:p>
        </w:tc>
        <w:tc>
          <w:tcPr>
            <w:tcW w:type="dxa" w:w="308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Fast health check — operator sees system status in under 10 seconds</w:t>
            </w:r>
          </w:p>
        </w:tc>
      </w:tr>
      <w:tr>
        <w:tc>
          <w:tcPr>
            <w:tcW w:type="dxa" w:w="2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Middle row (Descriptives)</w:t>
            </w:r>
          </w:p>
        </w:tc>
        <w:tc>
          <w:tcPr>
            <w:tcW w:type="dxa" w:w="388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Tier distribution chart, Campaign lift by segment, XP and spend trend panel</w:t>
            </w:r>
          </w:p>
        </w:tc>
        <w:tc>
          <w:tcPr>
            <w:tcW w:type="dxa" w:w="308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Core descriptive analytics — answers what is happening and why</w:t>
            </w:r>
          </w:p>
        </w:tc>
      </w:tr>
      <w:tr>
        <w:tc>
          <w:tcPr>
            <w:tcW w:type="dxa" w:w="2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Bottom row (Actions)</w:t>
            </w:r>
          </w:p>
        </w:tc>
        <w:tc>
          <w:tcPr>
            <w:tcW w:type="dxa" w:w="388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Recommendation action queue, Partner activation performance, Data/Assumptions status box</w:t>
            </w:r>
          </w:p>
        </w:tc>
        <w:tc>
          <w:tcPr>
            <w:tcW w:type="dxa" w:w="308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Turns analytics into operational decisions — the recommendation engine output lives here</w:t>
            </w:r>
          </w:p>
        </w:tc>
      </w:tr>
    </w:tbl>
    <w:p>
      <w:pPr>
        <w:spacing w:after="8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3A5F" w:sz="18"/>
              <w:bottom w:val="none" w:color="FFFFFF" w:sz="0"/>
              <w:right w:val="none" w:color="FFFFFF" w:sz="0"/>
            </w:tcBorders>
            <w:shd w:fill="E8EDF5" w:val="clear"/>
            <w:tcMar>
              <w:top w:type="dxa" w:w="140"/>
              <w:left w:type="dxa" w:w="220"/>
              <w:bottom w:type="dxa" w:w="140"/>
              <w:right w:type="dxa" w:w="220"/>
            </w:tcMar>
          </w:tcPr>
          <w:p>
            <w:pPr>
              <w:spacing w:after="80" w:before="0"/>
            </w:pPr>
            <w:r>
              <w:rPr>
                <w:rFonts w:ascii="Arial" w:cs="Arial" w:eastAsia="Arial" w:hAnsi="Arial"/>
                <w:b/>
                <w:bCs/>
                <w:color w:val="1E3A5F"/>
                <w:sz w:val="20"/>
                <w:szCs w:val="20"/>
              </w:rPr>
              <w:t xml:space="preserve">Rule for Every Chart or Card</w:t>
            </w:r>
          </w:p>
          <w:p>
            <w:pPr>
              <w:spacing w:after="0" w:before="0"/>
            </w:pPr>
            <w:r>
              <w:rPr>
                <w:rFonts w:ascii="Arial" w:cs="Arial" w:eastAsia="Arial" w:hAnsi="Arial"/>
                <w:color w:val="1A1A1A"/>
                <w:sz w:val="20"/>
                <w:szCs w:val="20"/>
              </w:rPr>
              <w:t xml:space="preserve">Every dashboard element must answer at least one of three questions: What happened? Why does it matter? What should we do next? If a component answers none of these, it should be removed or redesigned.</w:t>
            </w:r>
          </w:p>
        </w:tc>
      </w:tr>
    </w:tbl>
    <w:p>
      <w:pPr>
        <w:spacing w:after="160" w:before="0"/>
      </w:pPr>
      <w:r>
        <w:rPr>
          <w:rFonts w:ascii="Arial" w:cs="Arial" w:eastAsia="Arial" w:hAnsi="Arial"/>
          <w:color w:val="1A1A1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6560"/>
        <w:gridCol w:w="2160"/>
      </w:tblGrid>
      <w:tr>
        <w:tc>
          <w:tcPr>
            <w:tcW w:type="dxa" w:w="640"/>
            <w:tcBorders>
              <w:top w:val="none" w:color="FFFFFF" w:sz="0"/>
              <w:left w:val="none" w:color="FFFFFF" w:sz="0"/>
              <w:bottom w:val="none" w:color="FFFFFF" w:sz="0"/>
              <w:right w:val="none" w:color="FFFFFF" w:sz="0"/>
            </w:tcBorders>
            <w:shd w:fill="1E3A5F"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09</w:t>
            </w:r>
          </w:p>
        </w:tc>
        <w:tc>
          <w:tcPr>
            <w:tcW w:type="dxa" w:w="6560"/>
            <w:tcBorders>
              <w:top w:val="none" w:color="FFFFFF" w:sz="0"/>
              <w:left w:val="none" w:color="FFFFFF" w:sz="0"/>
              <w:bottom w:val="none" w:color="FFFFFF" w:sz="0"/>
              <w:right w:val="none" w:color="FFFFFF" w:sz="0"/>
            </w:tcBorders>
            <w:shd w:fill="E8EDF5" w:val="clear"/>
            <w:tcMar>
              <w:top w:type="dxa" w:w="120"/>
              <w:left w:type="dxa" w:w="200"/>
              <w:bottom w:type="dxa" w:w="120"/>
              <w:right w:type="dxa" w:w="120"/>
            </w:tcMar>
          </w:tcPr>
          <w:p>
            <w:r>
              <w:rPr>
                <w:rFonts w:ascii="Arial" w:cs="Arial" w:eastAsia="Arial" w:hAnsi="Arial"/>
                <w:b/>
                <w:bCs/>
                <w:color w:val="1E3A5F"/>
                <w:sz w:val="24"/>
                <w:szCs w:val="24"/>
              </w:rPr>
              <w:t xml:space="preserve">FAN SEGMENTS — WEEK 5 ADDITION</w:t>
            </w:r>
          </w:p>
        </w:tc>
        <w:tc>
          <w:tcPr>
            <w:tcW w:type="dxa" w:w="2160"/>
            <w:tcBorders>
              <w:top w:val="none" w:color="FFFFFF" w:sz="0"/>
              <w:left w:val="none" w:color="FFFFFF" w:sz="0"/>
              <w:bottom w:val="none" w:color="FFFFFF" w:sz="0"/>
              <w:right w:val="none" w:color="FFFFFF" w:sz="0"/>
            </w:tcBorders>
            <w:shd w:fill="B8C8DC" w:val="clear"/>
            <w:tcMar>
              <w:top w:type="dxa" w:w="120"/>
              <w:left w:type="dxa" w:w="120"/>
              <w:bottom w:type="dxa" w:w="120"/>
              <w:right w:type="dxa" w:w="120"/>
            </w:tcMar>
            <w:vAlign w:val="center"/>
          </w:tcPr>
          <w:p>
            <w:pPr>
              <w:jc w:val="right"/>
            </w:pPr>
            <w:r>
              <w:rPr>
                <w:rFonts w:ascii="Arial" w:cs="Arial" w:eastAsia="Arial" w:hAnsi="Arial"/>
                <w:color w:val="1E3A5F"/>
                <w:sz w:val="18"/>
                <w:szCs w:val="18"/>
              </w:rPr>
              <w:t xml:space="preserve">Reference</w:t>
            </w:r>
          </w:p>
        </w:tc>
      </w:tr>
    </w:tbl>
    <w:p>
      <w:pPr>
        <w:spacing w:after="8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D1A6E" w:sz="18"/>
              <w:bottom w:val="none" w:color="FFFFFF" w:sz="0"/>
              <w:right w:val="none" w:color="FFFFFF" w:sz="0"/>
            </w:tcBorders>
            <w:shd w:fill="F0EBF8" w:val="clear"/>
            <w:tcMar>
              <w:top w:type="dxa" w:w="140"/>
              <w:left w:type="dxa" w:w="220"/>
              <w:bottom w:type="dxa" w:w="140"/>
              <w:right w:type="dxa" w:w="220"/>
            </w:tcMar>
          </w:tcPr>
          <w:p>
            <w:pPr>
              <w:spacing w:after="80" w:before="0"/>
            </w:pPr>
            <w:r>
              <w:rPr>
                <w:rFonts w:ascii="Arial" w:cs="Arial" w:eastAsia="Arial" w:hAnsi="Arial"/>
                <w:b/>
                <w:bCs/>
                <w:color w:val="3D1A6E"/>
                <w:sz w:val="20"/>
                <w:szCs w:val="20"/>
              </w:rPr>
              <w:t xml:space="preserve">Why Segments Matter</w:t>
            </w:r>
          </w:p>
          <w:p>
            <w:pPr>
              <w:spacing w:after="0" w:before="0"/>
            </w:pPr>
            <w:r>
              <w:rPr>
                <w:rFonts w:ascii="Arial" w:cs="Arial" w:eastAsia="Arial" w:hAnsi="Arial"/>
                <w:color w:val="1A1A1A"/>
                <w:sz w:val="20"/>
                <w:szCs w:val="20"/>
              </w:rPr>
              <w:t xml:space="preserve">Segments are the analytical bridge between individual fan scores and operator decisions. A venue manager cannot act on 50,000 individual fan profiles, but they can act on 8 clearly defined segments. Every operator dashboard recommendation should reference a segment, not just an individual fan.</w:t>
            </w:r>
          </w:p>
        </w:tc>
      </w:tr>
    </w:tbl>
    <w:p>
      <w:pPr>
        <w:spacing w:after="80" w:before="0"/>
      </w:pPr>
      <w:r>
        <w:rPr>
          <w:rFonts w:ascii="Arial" w:cs="Arial" w:eastAsia="Arial" w:hAnsi="Arial"/>
          <w:color w:val="1A1A1A"/>
          <w:sz w:val="22"/>
          <w:szCs w:val="22"/>
        </w:rPr>
        <w:t xml:space="preserve"/>
      </w:r>
    </w:p>
    <w:p>
      <w:pPr>
        <w:pStyle w:val="Heading2"/>
        <w:spacing w:after="140" w:before="400"/>
      </w:pPr>
      <w:r>
        <w:rPr>
          <w:rFonts w:ascii="Arial" w:cs="Arial" w:eastAsia="Arial" w:hAnsi="Arial"/>
          <w:b/>
          <w:bCs/>
          <w:color w:val="1E3A5F"/>
          <w:sz w:val="28"/>
          <w:szCs w:val="28"/>
        </w:rPr>
        <w:t xml:space="preserve">Canonical Seed Segments — Maxxes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360"/>
        <w:gridCol w:w="2600"/>
      </w:tblGrid>
      <w:tr>
        <w:tc>
          <w:tcPr>
            <w:tcW w:type="dxa" w:w="20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Segment</w:t>
            </w:r>
          </w:p>
        </w:tc>
        <w:tc>
          <w:tcPr>
            <w:tcW w:type="dxa" w:w="24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Definition</w:t>
            </w:r>
          </w:p>
        </w:tc>
        <w:tc>
          <w:tcPr>
            <w:tcW w:type="dxa" w:w="236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Typical XP Profile</w:t>
            </w:r>
          </w:p>
        </w:tc>
        <w:tc>
          <w:tcPr>
            <w:tcW w:type="dxa" w:w="26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Operator Action</w:t>
            </w:r>
          </w:p>
        </w:tc>
      </w:tr>
      <w:tr>
        <w:tc>
          <w:tcPr>
            <w:tcW w:type="dxa" w:w="2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New Fans</w:t>
            </w:r>
          </w:p>
        </w:tc>
        <w:tc>
          <w:tcPr>
            <w:tcW w:type="dxa" w:w="2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Joined within last 30 days; first 1–2 FanEvents logged</w:t>
            </w:r>
          </w:p>
        </w:tc>
        <w:tc>
          <w:tcPr>
            <w:tcW w:type="dxa" w:w="23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0 – 500 XP</w:t>
            </w:r>
          </w:p>
        </w:tc>
        <w:tc>
          <w:tcPr>
            <w:tcW w:type="dxa" w:w="26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Offer first-attendance incentive; low-barrier challenge to build habit</w:t>
            </w:r>
          </w:p>
        </w:tc>
      </w:tr>
      <w:tr>
        <w:tc>
          <w:tcPr>
            <w:tcW w:type="dxa" w:w="2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Casual Fans</w:t>
            </w:r>
          </w:p>
        </w:tc>
        <w:tc>
          <w:tcPr>
            <w:tcW w:type="dxa" w:w="2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Active but infrequent; attend 1–2 events per season; low streak</w:t>
            </w:r>
          </w:p>
        </w:tc>
        <w:tc>
          <w:tcPr>
            <w:tcW w:type="dxa" w:w="23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500 – 2,499 XP (Bronze)</w:t>
            </w:r>
          </w:p>
        </w:tc>
        <w:tc>
          <w:tcPr>
            <w:tcW w:type="dxa" w:w="2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Engagement campaigns to increase frequency; streak-starter challenges</w:t>
            </w:r>
          </w:p>
        </w:tc>
      </w:tr>
      <w:tr>
        <w:tc>
          <w:tcPr>
            <w:tcW w:type="dxa" w:w="2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Core Fans</w:t>
            </w:r>
          </w:p>
        </w:tc>
        <w:tc>
          <w:tcPr>
            <w:tcW w:type="dxa" w:w="2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Consistent attendance and streaming; 3+ events per season; active streak</w:t>
            </w:r>
          </w:p>
        </w:tc>
        <w:tc>
          <w:tcPr>
            <w:tcW w:type="dxa" w:w="23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2,500 – 9,999 XP (Silver–Gold)</w:t>
            </w:r>
          </w:p>
        </w:tc>
        <w:tc>
          <w:tcPr>
            <w:tcW w:type="dxa" w:w="26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Loyalty rewards, presale access at Gold; social amplification challenges</w:t>
            </w:r>
          </w:p>
        </w:tc>
      </w:tr>
      <w:tr>
        <w:tc>
          <w:tcPr>
            <w:tcW w:type="dxa" w:w="2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Superfans</w:t>
            </w:r>
          </w:p>
        </w:tc>
        <w:tc>
          <w:tcPr>
            <w:tcW w:type="dxa" w:w="2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High XP across all signal types; top 15% of fan base; strong streak</w:t>
            </w:r>
          </w:p>
        </w:tc>
        <w:tc>
          <w:tcPr>
            <w:tcW w:type="dxa" w:w="23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10,000 – 24,999 XP (Platinum)</w:t>
            </w:r>
          </w:p>
        </w:tc>
        <w:tc>
          <w:tcPr>
            <w:tcW w:type="dxa" w:w="2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VIP experiences, partner perks, sponsor activations; brand ambassador targeting</w:t>
            </w:r>
          </w:p>
        </w:tc>
      </w:tr>
      <w:tr>
        <w:tc>
          <w:tcPr>
            <w:tcW w:type="dxa" w:w="2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Diamond Fans</w:t>
            </w:r>
          </w:p>
        </w:tc>
        <w:tc>
          <w:tcPr>
            <w:tcW w:type="dxa" w:w="2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Top 5% by XP; multi-year loyalty; highest spend and attendance</w:t>
            </w:r>
          </w:p>
        </w:tc>
        <w:tc>
          <w:tcPr>
            <w:tcW w:type="dxa" w:w="23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25,000+ XP (Diamond)</w:t>
            </w:r>
          </w:p>
        </w:tc>
        <w:tc>
          <w:tcPr>
            <w:tcW w:type="dxa" w:w="26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Backstage access, artist/team meet-and-greets, exclusive pre-release content</w:t>
            </w:r>
          </w:p>
        </w:tc>
      </w:tr>
      <w:tr>
        <w:tc>
          <w:tcPr>
            <w:tcW w:type="dxa" w:w="2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At-Risk High-Value Fans</w:t>
            </w:r>
          </w:p>
        </w:tc>
        <w:tc>
          <w:tcPr>
            <w:tcW w:type="dxa" w:w="2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Gold, Platinum, or Diamond tier but no FanEvent in 30–60 days; XP declining</w:t>
            </w:r>
          </w:p>
        </w:tc>
        <w:tc>
          <w:tcPr>
            <w:tcW w:type="dxa" w:w="23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Previously high XP, recent activity near zero</w:t>
            </w:r>
          </w:p>
        </w:tc>
        <w:tc>
          <w:tcPr>
            <w:tcW w:type="dxa" w:w="2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Re-engagement offer, personalized perk, lapse flag alert in Venue Intel</w:t>
            </w:r>
          </w:p>
        </w:tc>
      </w:tr>
      <w:tr>
        <w:tc>
          <w:tcPr>
            <w:tcW w:type="dxa" w:w="2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Promo-Responsive Fans</w:t>
            </w:r>
          </w:p>
        </w:tc>
        <w:tc>
          <w:tcPr>
            <w:tcW w:type="dxa" w:w="2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Strong XP lift correlated with past QR or campaign activations</w:t>
            </w:r>
          </w:p>
        </w:tc>
        <w:tc>
          <w:tcPr>
            <w:tcW w:type="dxa" w:w="23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Variable XP; high campaign_id FanEvent density</w:t>
            </w:r>
          </w:p>
        </w:tc>
        <w:tc>
          <w:tcPr>
            <w:tcW w:type="dxa" w:w="26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Target with QR challenges, social share campaigns, sponsor activation offers</w:t>
            </w:r>
          </w:p>
        </w:tc>
      </w:tr>
      <w:tr>
        <w:tc>
          <w:tcPr>
            <w:tcW w:type="dxa" w:w="2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High-Spend / Low-Attendance</w:t>
            </w:r>
          </w:p>
        </w:tc>
        <w:tc>
          <w:tcPr>
            <w:tcW w:type="dxa" w:w="2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High spend XP from POS but low verified-attendance XP</w:t>
            </w:r>
          </w:p>
        </w:tc>
        <w:tc>
          <w:tcPr>
            <w:tcW w:type="dxa" w:w="23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High monetary signal; low attendance signal</w:t>
            </w:r>
          </w:p>
        </w:tc>
        <w:tc>
          <w:tcPr>
            <w:tcW w:type="dxa" w:w="2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Incentivize event attendance; offer experience upgrade tied to first check-in</w:t>
            </w:r>
          </w:p>
        </w:tc>
      </w:tr>
      <w:tr>
        <w:tc>
          <w:tcPr>
            <w:tcW w:type="dxa" w:w="2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High-Attendance / Low-Spend</w:t>
            </w:r>
          </w:p>
        </w:tc>
        <w:tc>
          <w:tcPr>
            <w:tcW w:type="dxa" w:w="2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Frequent verified attendance but low in-venue spend</w:t>
            </w:r>
          </w:p>
        </w:tc>
        <w:tc>
          <w:tcPr>
            <w:tcW w:type="dxa" w:w="23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High attendance XP; low spend XP</w:t>
            </w:r>
          </w:p>
        </w:tc>
        <w:tc>
          <w:tcPr>
            <w:tcW w:type="dxa" w:w="26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Targeted concession or merch offer; spend challenge with XP reward</w:t>
            </w:r>
          </w:p>
        </w:tc>
      </w:tr>
    </w:tbl>
    <w:p>
      <w:pPr>
        <w:spacing w:after="80" w:before="0"/>
      </w:pPr>
      <w:r>
        <w:rPr>
          <w:rFonts w:ascii="Arial" w:cs="Arial" w:eastAsia="Arial" w:hAnsi="Arial"/>
          <w:color w:val="1A1A1A"/>
          <w:sz w:val="22"/>
          <w:szCs w:val="22"/>
        </w:rPr>
        <w:t xml:space="preserve"/>
      </w:r>
    </w:p>
    <w:p>
      <w:pPr>
        <w:pStyle w:val="Heading2"/>
        <w:spacing w:after="140" w:before="400"/>
      </w:pPr>
      <w:r>
        <w:rPr>
          <w:rFonts w:ascii="Arial" w:cs="Arial" w:eastAsia="Arial" w:hAnsi="Arial"/>
          <w:b/>
          <w:bCs/>
          <w:color w:val="1E3A5F"/>
          <w:sz w:val="28"/>
          <w:szCs w:val="28"/>
        </w:rPr>
        <w:t xml:space="preserve">How Segments Power the Dashboard</w:t>
      </w:r>
    </w:p>
    <w:p>
      <w:pPr>
        <w:pStyle w:val="ListParagraph"/>
        <w:numPr>
          <w:ilvl w:val="0"/>
          <w:numId w:val="2"/>
        </w:numPr>
        <w:spacing w:after="50" w:before="50" w:line="300"/>
      </w:pPr>
      <w:r>
        <w:rPr>
          <w:rFonts w:ascii="Arial" w:cs="Arial" w:eastAsia="Arial" w:hAnsi="Arial"/>
          <w:b/>
          <w:bCs/>
          <w:color w:val="1A1A1A"/>
          <w:sz w:val="22"/>
          <w:szCs w:val="22"/>
        </w:rPr>
        <w:t xml:space="preserve">Tier distribution chart:</w:t>
      </w:r>
      <w:r>
        <w:rPr>
          <w:rFonts w:ascii="Arial" w:cs="Arial" w:eastAsia="Arial" w:hAnsi="Arial"/>
          <w:color w:val="1A1A1A"/>
          <w:sz w:val="22"/>
          <w:szCs w:val="22"/>
        </w:rPr>
        <w:t xml:space="preserve"> Shows how many fans sit in each segment — the core health metric for any venue.</w:t>
      </w:r>
    </w:p>
    <w:p>
      <w:pPr>
        <w:pStyle w:val="ListParagraph"/>
        <w:numPr>
          <w:ilvl w:val="0"/>
          <w:numId w:val="2"/>
        </w:numPr>
        <w:spacing w:after="50" w:before="50" w:line="300"/>
      </w:pPr>
      <w:r>
        <w:rPr>
          <w:rFonts w:ascii="Arial" w:cs="Arial" w:eastAsia="Arial" w:hAnsi="Arial"/>
          <w:b/>
          <w:bCs/>
          <w:color w:val="1A1A1A"/>
          <w:sz w:val="22"/>
          <w:szCs w:val="22"/>
        </w:rPr>
        <w:t xml:space="preserve">Segment growth/decline:</w:t>
      </w:r>
      <w:r>
        <w:rPr>
          <w:rFonts w:ascii="Arial" w:cs="Arial" w:eastAsia="Arial" w:hAnsi="Arial"/>
          <w:color w:val="1A1A1A"/>
          <w:sz w:val="22"/>
          <w:szCs w:val="22"/>
        </w:rPr>
        <w:t xml:space="preserve"> Is the Core Fan segment growing or shrinking month over month? This drives programming and marketing decisions.</w:t>
      </w:r>
    </w:p>
    <w:p>
      <w:pPr>
        <w:pStyle w:val="ListParagraph"/>
        <w:numPr>
          <w:ilvl w:val="0"/>
          <w:numId w:val="2"/>
        </w:numPr>
        <w:spacing w:after="50" w:before="50" w:line="300"/>
      </w:pPr>
      <w:r>
        <w:rPr>
          <w:rFonts w:ascii="Arial" w:cs="Arial" w:eastAsia="Arial" w:hAnsi="Arial"/>
          <w:b/>
          <w:bCs/>
          <w:color w:val="1A1A1A"/>
          <w:sz w:val="22"/>
          <w:szCs w:val="22"/>
        </w:rPr>
        <w:t xml:space="preserve">Campaign lift by segment:</w:t>
      </w:r>
      <w:r>
        <w:rPr>
          <w:rFonts w:ascii="Arial" w:cs="Arial" w:eastAsia="Arial" w:hAnsi="Arial"/>
          <w:color w:val="1A1A1A"/>
          <w:sz w:val="22"/>
          <w:szCs w:val="22"/>
        </w:rPr>
        <w:t xml:space="preserve"> Which segment responded most to the last QR campaign? Informs where to concentrate future spend.</w:t>
      </w:r>
    </w:p>
    <w:p>
      <w:pPr>
        <w:pStyle w:val="ListParagraph"/>
        <w:numPr>
          <w:ilvl w:val="0"/>
          <w:numId w:val="2"/>
        </w:numPr>
        <w:spacing w:after="50" w:before="50" w:line="300"/>
      </w:pPr>
      <w:r>
        <w:rPr>
          <w:rFonts w:ascii="Arial" w:cs="Arial" w:eastAsia="Arial" w:hAnsi="Arial"/>
          <w:b/>
          <w:bCs/>
          <w:color w:val="1A1A1A"/>
          <w:sz w:val="22"/>
          <w:szCs w:val="22"/>
        </w:rPr>
        <w:t xml:space="preserve">Churn signal count:</w:t>
      </w:r>
      <w:r>
        <w:rPr>
          <w:rFonts w:ascii="Arial" w:cs="Arial" w:eastAsia="Arial" w:hAnsi="Arial"/>
          <w:color w:val="1A1A1A"/>
          <w:sz w:val="22"/>
          <w:szCs w:val="22"/>
        </w:rPr>
        <w:t xml:space="preserve"> How many At-Risk High-Value fans are flagged this week? Triggers the re-engagement recommendation card.</w:t>
      </w:r>
    </w:p>
    <w:p>
      <w:pPr>
        <w:pStyle w:val="ListParagraph"/>
        <w:numPr>
          <w:ilvl w:val="0"/>
          <w:numId w:val="2"/>
        </w:numPr>
        <w:spacing w:after="50" w:before="50" w:line="300"/>
      </w:pPr>
      <w:r>
        <w:rPr>
          <w:rFonts w:ascii="Arial" w:cs="Arial" w:eastAsia="Arial" w:hAnsi="Arial"/>
          <w:b/>
          <w:bCs/>
          <w:color w:val="1A1A1A"/>
          <w:sz w:val="22"/>
          <w:szCs w:val="22"/>
        </w:rPr>
        <w:t xml:space="preserve">Average XP and spend by segment:</w:t>
      </w:r>
      <w:r>
        <w:rPr>
          <w:rFonts w:ascii="Arial" w:cs="Arial" w:eastAsia="Arial" w:hAnsi="Arial"/>
          <w:color w:val="1A1A1A"/>
          <w:sz w:val="22"/>
          <w:szCs w:val="22"/>
        </w:rPr>
        <w:t xml:space="preserve"> Identifies which segments drive the most revenue — essential for sponsor pitch conversations.</w:t>
      </w:r>
    </w:p>
    <w:p>
      <w:pPr>
        <w:spacing w:after="160" w:before="0"/>
      </w:pPr>
      <w:r>
        <w:rPr>
          <w:rFonts w:ascii="Arial" w:cs="Arial" w:eastAsia="Arial" w:hAnsi="Arial"/>
          <w:color w:val="1A1A1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6560"/>
        <w:gridCol w:w="2160"/>
      </w:tblGrid>
      <w:tr>
        <w:tc>
          <w:tcPr>
            <w:tcW w:type="dxa" w:w="640"/>
            <w:tcBorders>
              <w:top w:val="none" w:color="FFFFFF" w:sz="0"/>
              <w:left w:val="none" w:color="FFFFFF" w:sz="0"/>
              <w:bottom w:val="none" w:color="FFFFFF" w:sz="0"/>
              <w:right w:val="none" w:color="FFFFFF" w:sz="0"/>
            </w:tcBorders>
            <w:shd w:fill="1E3A5F"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10</w:t>
            </w:r>
          </w:p>
        </w:tc>
        <w:tc>
          <w:tcPr>
            <w:tcW w:type="dxa" w:w="6560"/>
            <w:tcBorders>
              <w:top w:val="none" w:color="FFFFFF" w:sz="0"/>
              <w:left w:val="none" w:color="FFFFFF" w:sz="0"/>
              <w:bottom w:val="none" w:color="FFFFFF" w:sz="0"/>
              <w:right w:val="none" w:color="FFFFFF" w:sz="0"/>
            </w:tcBorders>
            <w:shd w:fill="E8EDF5" w:val="clear"/>
            <w:tcMar>
              <w:top w:type="dxa" w:w="120"/>
              <w:left w:type="dxa" w:w="200"/>
              <w:bottom w:type="dxa" w:w="120"/>
              <w:right w:type="dxa" w:w="120"/>
            </w:tcMar>
          </w:tcPr>
          <w:p>
            <w:r>
              <w:rPr>
                <w:rFonts w:ascii="Arial" w:cs="Arial" w:eastAsia="Arial" w:hAnsi="Arial"/>
                <w:b/>
                <w:bCs/>
                <w:color w:val="1E3A5F"/>
                <w:sz w:val="24"/>
                <w:szCs w:val="24"/>
              </w:rPr>
              <w:t xml:space="preserve">WEEK 5 &amp; WEEK 6 ALIGNMENT</w:t>
            </w:r>
          </w:p>
        </w:tc>
        <w:tc>
          <w:tcPr>
            <w:tcW w:type="dxa" w:w="2160"/>
            <w:tcBorders>
              <w:top w:val="none" w:color="FFFFFF" w:sz="0"/>
              <w:left w:val="none" w:color="FFFFFF" w:sz="0"/>
              <w:bottom w:val="none" w:color="FFFFFF" w:sz="0"/>
              <w:right w:val="none" w:color="FFFFFF" w:sz="0"/>
            </w:tcBorders>
            <w:shd w:fill="B8C8DC" w:val="clear"/>
            <w:tcMar>
              <w:top w:type="dxa" w:w="120"/>
              <w:left w:type="dxa" w:w="120"/>
              <w:bottom w:type="dxa" w:w="120"/>
              <w:right w:type="dxa" w:w="120"/>
            </w:tcMar>
            <w:vAlign w:val="center"/>
          </w:tcPr>
          <w:p>
            <w:pPr>
              <w:jc w:val="right"/>
            </w:pPr>
            <w:r>
              <w:rPr>
                <w:rFonts w:ascii="Arial" w:cs="Arial" w:eastAsia="Arial" w:hAnsi="Arial"/>
                <w:color w:val="1E3A5F"/>
                <w:sz w:val="18"/>
                <w:szCs w:val="18"/>
              </w:rPr>
              <w:t xml:space="preserve">100 – 112 Minutes</w:t>
            </w:r>
          </w:p>
        </w:tc>
      </w:tr>
    </w:tbl>
    <w:p>
      <w:pPr>
        <w:spacing w:after="80" w:before="0"/>
      </w:pPr>
      <w:r>
        <w:rPr>
          <w:rFonts w:ascii="Arial" w:cs="Arial" w:eastAsia="Arial" w:hAnsi="Arial"/>
          <w:color w:val="1A1A1A"/>
          <w:sz w:val="22"/>
          <w:szCs w:val="22"/>
        </w:rPr>
        <w:t xml:space="preserve"/>
      </w:r>
    </w:p>
    <w:p>
      <w:pPr>
        <w:pStyle w:val="Heading2"/>
        <w:spacing w:after="140" w:before="400"/>
      </w:pPr>
      <w:r>
        <w:rPr>
          <w:rFonts w:ascii="Arial" w:cs="Arial" w:eastAsia="Arial" w:hAnsi="Arial"/>
          <w:b/>
          <w:bCs/>
          <w:color w:val="1E3A5F"/>
          <w:sz w:val="28"/>
          <w:szCs w:val="28"/>
        </w:rPr>
        <w:t xml:space="preserve">Week 5 — Design the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80"/>
        <w:gridCol w:w="3480"/>
      </w:tblGrid>
      <w:tr>
        <w:tc>
          <w:tcPr>
            <w:tcW w:type="dxa" w:w="20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Output</w:t>
            </w:r>
          </w:p>
        </w:tc>
        <w:tc>
          <w:tcPr>
            <w:tcW w:type="dxa" w:w="388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Maxxes-Specific Meaning</w:t>
            </w:r>
          </w:p>
        </w:tc>
        <w:tc>
          <w:tcPr>
            <w:tcW w:type="dxa" w:w="348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Evidence for Lab Journal</w:t>
            </w:r>
          </w:p>
        </w:tc>
      </w:tr>
      <w:tr>
        <w:tc>
          <w:tcPr>
            <w:tcW w:type="dxa" w:w="2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Feature list</w:t>
            </w:r>
          </w:p>
        </w:tc>
        <w:tc>
          <w:tcPr>
            <w:tcW w:type="dxa" w:w="388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What Maxxes will and will not include at MVP. Must include: XP score card, leaderboard (Bronze–Diamond), perk panel, venue intel brief, recommendation cards. Exclude: live API integrations — mock data only.</w:t>
            </w:r>
          </w:p>
        </w:tc>
        <w:tc>
          <w:tcPr>
            <w:tcW w:type="dxa" w:w="348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Written feature scope document with in/out decisions justified</w:t>
            </w:r>
          </w:p>
        </w:tc>
      </w:tr>
      <w:tr>
        <w:tc>
          <w:tcPr>
            <w:tcW w:type="dxa" w:w="2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Dashboard wireframes</w:t>
            </w:r>
          </w:p>
        </w:tc>
        <w:tc>
          <w:tcPr>
            <w:tcW w:type="dxa" w:w="388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One-screen fan-facing view (My Journey) and one-screen operator view (Venue Intel). Fan view shows XP score, tier badge, leaderboard rank, streak, and perk status. Operator view shows segment distribution, XP trend, campaign lift, lapse alerts, and recommendation queue.</w:t>
            </w:r>
          </w:p>
        </w:tc>
        <w:tc>
          <w:tcPr>
            <w:tcW w:type="dxa" w:w="348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Sketches or Figma frames for both views</w:t>
            </w:r>
          </w:p>
        </w:tc>
      </w:tr>
      <w:tr>
        <w:tc>
          <w:tcPr>
            <w:tcW w:type="dxa" w:w="2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Data dictionary</w:t>
            </w:r>
          </w:p>
        </w:tc>
        <w:tc>
          <w:tcPr>
            <w:tcW w:type="dxa" w:w="388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All 9 canonical entities defined with field names, types, and descriptions. Mock JSON examples for Fan, FanEvent, XPTransaction, VenueSummary, and Challenge.</w:t>
            </w:r>
          </w:p>
        </w:tc>
        <w:tc>
          <w:tcPr>
            <w:tcW w:type="dxa" w:w="348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Completed data dictionary document</w:t>
            </w:r>
          </w:p>
        </w:tc>
      </w:tr>
      <w:tr>
        <w:tc>
          <w:tcPr>
            <w:tcW w:type="dxa" w:w="2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Analytics map</w:t>
            </w:r>
          </w:p>
        </w:tc>
        <w:tc>
          <w:tcPr>
            <w:tcW w:type="dxa" w:w="388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Business question → data field → calculation rule → UI component. One row per dashboard component.</w:t>
            </w:r>
          </w:p>
        </w:tc>
        <w:tc>
          <w:tcPr>
            <w:tcW w:type="dxa" w:w="348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Completed analytics map table (use Section 07 as template)</w:t>
            </w:r>
          </w:p>
        </w:tc>
      </w:tr>
      <w:tr>
        <w:tc>
          <w:tcPr>
            <w:tcW w:type="dxa" w:w="2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Role task plan</w:t>
            </w:r>
          </w:p>
        </w:tc>
        <w:tc>
          <w:tcPr>
            <w:tcW w:type="dxa" w:w="388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Who owns XP algorithm logic, frontend rendering, data schema, QA, and design for each component. Reference the canonical entities, not improvised field names.</w:t>
            </w:r>
          </w:p>
        </w:tc>
        <w:tc>
          <w:tcPr>
            <w:tcW w:type="dxa" w:w="348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Role assignment matrix aligned to Section 07 examples</w:t>
            </w:r>
          </w:p>
        </w:tc>
      </w:tr>
      <w:tr>
        <w:tc>
          <w:tcPr>
            <w:tcW w:type="dxa" w:w="2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Early design assets</w:t>
            </w:r>
          </w:p>
        </w:tc>
        <w:tc>
          <w:tcPr>
            <w:tcW w:type="dxa" w:w="388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Tier badge designs (Bronze–Diamond color system), XP score card mockup, color palette, segment card layout.</w:t>
            </w:r>
          </w:p>
        </w:tc>
        <w:tc>
          <w:tcPr>
            <w:tcW w:type="dxa" w:w="348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Screenshots of design assets in lab journal</w:t>
            </w:r>
          </w:p>
        </w:tc>
      </w:tr>
    </w:tbl>
    <w:p>
      <w:pPr>
        <w:spacing w:after="80" w:before="0"/>
      </w:pPr>
      <w:r>
        <w:rPr>
          <w:rFonts w:ascii="Arial" w:cs="Arial" w:eastAsia="Arial" w:hAnsi="Arial"/>
          <w:color w:val="1A1A1A"/>
          <w:sz w:val="22"/>
          <w:szCs w:val="22"/>
        </w:rPr>
        <w:t xml:space="preserve"/>
      </w:r>
    </w:p>
    <w:p>
      <w:pPr>
        <w:pStyle w:val="Heading2"/>
        <w:spacing w:after="140" w:before="400"/>
      </w:pPr>
      <w:r>
        <w:rPr>
          <w:rFonts w:ascii="Arial" w:cs="Arial" w:eastAsia="Arial" w:hAnsi="Arial"/>
          <w:b/>
          <w:bCs/>
          <w:color w:val="1E3A5F"/>
          <w:sz w:val="28"/>
          <w:szCs w:val="28"/>
        </w:rPr>
        <w:t xml:space="preserve">Week 6 — Build the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80"/>
        <w:gridCol w:w="3480"/>
      </w:tblGrid>
      <w:tr>
        <w:tc>
          <w:tcPr>
            <w:tcW w:type="dxa" w:w="20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Output</w:t>
            </w:r>
          </w:p>
        </w:tc>
        <w:tc>
          <w:tcPr>
            <w:tcW w:type="dxa" w:w="388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Maxxes-Specific Meaning</w:t>
            </w:r>
          </w:p>
        </w:tc>
        <w:tc>
          <w:tcPr>
            <w:tcW w:type="dxa" w:w="348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Evidence for Lab Journal</w:t>
            </w:r>
          </w:p>
        </w:tc>
      </w:tr>
      <w:tr>
        <w:tc>
          <w:tcPr>
            <w:tcW w:type="dxa" w:w="2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MVP Alpha</w:t>
            </w:r>
          </w:p>
        </w:tc>
        <w:tc>
          <w:tcPr>
            <w:tcW w:type="dxa" w:w="388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First working prototype with mock data powering all required components. XP score renders. Leaderboard sorts by XP with correct tier badges. Perk panel reflects tier. Business brief generates from fan roster. Recommendation cards fire based on trigger rules.</w:t>
            </w:r>
          </w:p>
        </w:tc>
        <w:tc>
          <w:tcPr>
            <w:tcW w:type="dxa" w:w="348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Screenshots of working prototype</w:t>
            </w:r>
          </w:p>
        </w:tc>
      </w:tr>
      <w:tr>
        <w:tc>
          <w:tcPr>
            <w:tcW w:type="dxa" w:w="2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Integrated screen flow</w:t>
            </w:r>
          </w:p>
        </w:tc>
        <w:tc>
          <w:tcPr>
            <w:tcW w:type="dxa" w:w="388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Fan view and operator view render coherent data from the same mock fan roster. Tier logic is consistent across both views. Segment labels match canonical definitions.</w:t>
            </w:r>
          </w:p>
        </w:tc>
        <w:tc>
          <w:tcPr>
            <w:tcW w:type="dxa" w:w="348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Screen recording or screenshot sequence</w:t>
            </w:r>
          </w:p>
        </w:tc>
      </w:tr>
      <w:tr>
        <w:tc>
          <w:tcPr>
            <w:tcW w:type="dxa" w:w="2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Logic notes</w:t>
            </w:r>
          </w:p>
        </w:tc>
        <w:tc>
          <w:tcPr>
            <w:tcW w:type="dxa" w:w="388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XP weights documented. Tier XP thresholds documented. Lapse rule (60-day threshold) documented. Revenue projection formula documented. RFM recency weighting documented.</w:t>
            </w:r>
          </w:p>
        </w:tc>
        <w:tc>
          <w:tcPr>
            <w:tcW w:type="dxa" w:w="348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Logic notes file in lab journal</w:t>
            </w:r>
          </w:p>
        </w:tc>
      </w:tr>
      <w:tr>
        <w:tc>
          <w:tcPr>
            <w:tcW w:type="dxa" w:w="2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Screenshot evidence</w:t>
            </w:r>
          </w:p>
        </w:tc>
        <w:tc>
          <w:tcPr>
            <w:tcW w:type="dxa" w:w="388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At minimum: XP score card rendering with tier badge, leaderboard sorted by XP, perk panel with at least 2 tier-gated unlock states, business brief with top fan tiles and lapse flag, one recommendation card firing from mock data.</w:t>
            </w:r>
          </w:p>
        </w:tc>
        <w:tc>
          <w:tcPr>
            <w:tcW w:type="dxa" w:w="348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4+ labeled screenshots</w:t>
            </w:r>
          </w:p>
        </w:tc>
      </w:tr>
      <w:tr>
        <w:tc>
          <w:tcPr>
            <w:tcW w:type="dxa" w:w="2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Lab journal entry</w:t>
            </w:r>
          </w:p>
        </w:tc>
        <w:tc>
          <w:tcPr>
            <w:tcW w:type="dxa" w:w="388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Each team member: role-specific reflection, what they built, what decisions they made, what changed, what they would improve next week.</w:t>
            </w:r>
          </w:p>
        </w:tc>
        <w:tc>
          <w:tcPr>
            <w:tcW w:type="dxa" w:w="348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Individual written entries</w:t>
            </w:r>
          </w:p>
        </w:tc>
      </w:tr>
    </w:tbl>
    <w:p>
      <w:pPr>
        <w:spacing w:after="160" w:before="0"/>
      </w:pPr>
      <w:r>
        <w:rPr>
          <w:rFonts w:ascii="Arial" w:cs="Arial" w:eastAsia="Arial" w:hAnsi="Arial"/>
          <w:color w:val="1A1A1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6560"/>
        <w:gridCol w:w="2160"/>
      </w:tblGrid>
      <w:tr>
        <w:tc>
          <w:tcPr>
            <w:tcW w:type="dxa" w:w="640"/>
            <w:tcBorders>
              <w:top w:val="none" w:color="FFFFFF" w:sz="0"/>
              <w:left w:val="none" w:color="FFFFFF" w:sz="0"/>
              <w:bottom w:val="none" w:color="FFFFFF" w:sz="0"/>
              <w:right w:val="none" w:color="FFFFFF" w:sz="0"/>
            </w:tcBorders>
            <w:shd w:fill="1E3A5F"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11</w:t>
            </w:r>
          </w:p>
        </w:tc>
        <w:tc>
          <w:tcPr>
            <w:tcW w:type="dxa" w:w="6560"/>
            <w:tcBorders>
              <w:top w:val="none" w:color="FFFFFF" w:sz="0"/>
              <w:left w:val="none" w:color="FFFFFF" w:sz="0"/>
              <w:bottom w:val="none" w:color="FFFFFF" w:sz="0"/>
              <w:right w:val="none" w:color="FFFFFF" w:sz="0"/>
            </w:tcBorders>
            <w:shd w:fill="E8EDF5" w:val="clear"/>
            <w:tcMar>
              <w:top w:type="dxa" w:w="120"/>
              <w:left w:type="dxa" w:w="200"/>
              <w:bottom w:type="dxa" w:w="120"/>
              <w:right w:type="dxa" w:w="120"/>
            </w:tcMar>
          </w:tcPr>
          <w:p>
            <w:r>
              <w:rPr>
                <w:rFonts w:ascii="Arial" w:cs="Arial" w:eastAsia="Arial" w:hAnsi="Arial"/>
                <w:b/>
                <w:bCs/>
                <w:color w:val="1E3A5F"/>
                <w:sz w:val="24"/>
                <w:szCs w:val="24"/>
              </w:rPr>
              <w:t xml:space="preserve">RASPBERRY PI &amp; SMALL LANGUAGE MODEL TIE-IN</w:t>
            </w:r>
          </w:p>
        </w:tc>
        <w:tc>
          <w:tcPr>
            <w:tcW w:type="dxa" w:w="2160"/>
            <w:tcBorders>
              <w:top w:val="none" w:color="FFFFFF" w:sz="0"/>
              <w:left w:val="none" w:color="FFFFFF" w:sz="0"/>
              <w:bottom w:val="none" w:color="FFFFFF" w:sz="0"/>
              <w:right w:val="none" w:color="FFFFFF" w:sz="0"/>
            </w:tcBorders>
            <w:shd w:fill="B8C8DC" w:val="clear"/>
            <w:tcMar>
              <w:top w:type="dxa" w:w="120"/>
              <w:left w:type="dxa" w:w="120"/>
              <w:bottom w:type="dxa" w:w="120"/>
              <w:right w:type="dxa" w:w="120"/>
            </w:tcMar>
            <w:vAlign w:val="center"/>
          </w:tcPr>
          <w:p>
            <w:pPr>
              <w:jc w:val="right"/>
            </w:pPr>
            <w:r>
              <w:rPr>
                <w:rFonts w:ascii="Arial" w:cs="Arial" w:eastAsia="Arial" w:hAnsi="Arial"/>
                <w:color w:val="1E3A5F"/>
                <w:sz w:val="18"/>
                <w:szCs w:val="18"/>
              </w:rPr>
              <w:t xml:space="preserve">Week 5 Addition</w:t>
            </w:r>
          </w:p>
        </w:tc>
      </w:tr>
    </w:tbl>
    <w:p>
      <w:pPr>
        <w:spacing w:after="8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C2A" w:sz="18"/>
              <w:bottom w:val="none" w:color="FFFFFF" w:sz="0"/>
              <w:right w:val="none" w:color="FFFFFF" w:sz="0"/>
            </w:tcBorders>
            <w:shd w:fill="EBF5EE" w:val="clear"/>
            <w:tcMar>
              <w:top w:type="dxa" w:w="140"/>
              <w:left w:type="dxa" w:w="220"/>
              <w:bottom w:type="dxa" w:w="140"/>
              <w:right w:type="dxa" w:w="220"/>
            </w:tcMar>
          </w:tcPr>
          <w:p>
            <w:pPr>
              <w:spacing w:after="80" w:before="0"/>
            </w:pPr>
            <w:r>
              <w:rPr>
                <w:rFonts w:ascii="Arial" w:cs="Arial" w:eastAsia="Arial" w:hAnsi="Arial"/>
                <w:b/>
                <w:bCs/>
                <w:color w:val="1A5C2A"/>
                <w:sz w:val="20"/>
                <w:szCs w:val="20"/>
              </w:rPr>
              <w:t xml:space="preserve">Why This Component Exists</w:t>
            </w:r>
          </w:p>
          <w:p>
            <w:pPr>
              <w:spacing w:after="0" w:before="0"/>
            </w:pPr>
            <w:r>
              <w:rPr>
                <w:rFonts w:ascii="Arial" w:cs="Arial" w:eastAsia="Arial" w:hAnsi="Arial"/>
                <w:color w:val="1A1A1A"/>
                <w:sz w:val="20"/>
                <w:szCs w:val="20"/>
              </w:rPr>
              <w:t xml:space="preserve">The Raspberry Pi-hosted small language model device is a required student outcome per the Master Guiding Document. It is not the capstone's central claim — Maxxes is. But it is a strong interview talking point, a practical demonstration of applied AI experimentation, and a useful tool for supporting the prototype ecosystem throughout the build.</w:t>
            </w:r>
          </w:p>
        </w:tc>
      </w:tr>
    </w:tbl>
    <w:p>
      <w:pPr>
        <w:spacing w:after="80" w:before="0"/>
      </w:pPr>
      <w:r>
        <w:rPr>
          <w:rFonts w:ascii="Arial" w:cs="Arial" w:eastAsia="Arial" w:hAnsi="Arial"/>
          <w:color w:val="1A1A1A"/>
          <w:sz w:val="22"/>
          <w:szCs w:val="22"/>
        </w:rPr>
        <w:t xml:space="preserve"/>
      </w:r>
    </w:p>
    <w:p>
      <w:pPr>
        <w:pStyle w:val="Heading2"/>
        <w:spacing w:after="140" w:before="400"/>
      </w:pPr>
      <w:r>
        <w:rPr>
          <w:rFonts w:ascii="Arial" w:cs="Arial" w:eastAsia="Arial" w:hAnsi="Arial"/>
          <w:b/>
          <w:bCs/>
          <w:color w:val="1E3A5F"/>
          <w:sz w:val="28"/>
          <w:szCs w:val="28"/>
        </w:rPr>
        <w:t xml:space="preserve">What the Raspberry Pi Device Does in the Maxxes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Use Case</w:t>
            </w:r>
          </w:p>
        </w:tc>
        <w:tc>
          <w:tcPr>
            <w:tcW w:type="dxa" w:w="348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What It Does</w:t>
            </w:r>
          </w:p>
        </w:tc>
        <w:tc>
          <w:tcPr>
            <w:tcW w:type="dxa" w:w="348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Who Benefits</w:t>
            </w:r>
          </w:p>
        </w:tc>
      </w:tr>
      <w:tr>
        <w:tc>
          <w:tcPr>
            <w:tcW w:type="dxa" w:w="2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Local project explainer chatbot</w:t>
            </w:r>
          </w:p>
        </w:tc>
        <w:tc>
          <w:tcPr>
            <w:tcW w:type="dxa" w:w="348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A small language model runs locally on the Pi and answers questions about how Maxxes works — how XP is calculated, what the tier thresholds are, what a lapse flag means</w:t>
            </w:r>
          </w:p>
        </w:tc>
        <w:tc>
          <w:tcPr>
            <w:tcW w:type="dxa" w:w="348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Investors, interviewers, class visitors who want to ask questions without a team member present</w:t>
            </w:r>
          </w:p>
        </w:tc>
      </w:tr>
      <w:tr>
        <w:tc>
          <w:tcPr>
            <w:tcW w:type="dxa" w:w="2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Scoring model explainer</w:t>
            </w:r>
          </w:p>
        </w:tc>
        <w:tc>
          <w:tcPr>
            <w:tcW w:type="dxa" w:w="348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The SLM can walk through the XP scoring logic step by step when given a fan profile — useful for demo walkthroughs and portfolio presentations</w:t>
            </w:r>
          </w:p>
        </w:tc>
        <w:tc>
          <w:tcPr>
            <w:tcW w:type="dxa" w:w="348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Employers; demo audiences</w:t>
            </w:r>
          </w:p>
        </w:tc>
      </w:tr>
      <w:tr>
        <w:tc>
          <w:tcPr>
            <w:tcW w:type="dxa" w:w="2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Requirements summarizer</w:t>
            </w:r>
          </w:p>
        </w:tc>
        <w:tc>
          <w:tcPr>
            <w:tcW w:type="dxa" w:w="348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Paste in a Week 5 or Week 6 lab journal prompt and the SLM summarizes key decisions, blockers, and next steps in professional language</w:t>
            </w:r>
          </w:p>
        </w:tc>
        <w:tc>
          <w:tcPr>
            <w:tcW w:type="dxa" w:w="348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All team members for lab journal drafting</w:t>
            </w:r>
          </w:p>
        </w:tc>
      </w:tr>
      <w:tr>
        <w:tc>
          <w:tcPr>
            <w:tcW w:type="dxa" w:w="2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Mock analyst assistant</w:t>
            </w:r>
          </w:p>
        </w:tc>
        <w:tc>
          <w:tcPr>
            <w:tcW w:type="dxa" w:w="348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The SLM can respond to operator-style questions like 'Which of my fan segments is most at risk this week?' using the seeded dataset and rules-based logic</w:t>
            </w:r>
          </w:p>
        </w:tc>
        <w:tc>
          <w:tcPr>
            <w:tcW w:type="dxa" w:w="348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Kyle and Luke for demo scripting; Justin for QA narrative</w:t>
            </w:r>
          </w:p>
        </w:tc>
      </w:tr>
      <w:tr>
        <w:tc>
          <w:tcPr>
            <w:tcW w:type="dxa" w:w="2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Lab journal drafting helper</w:t>
            </w:r>
          </w:p>
        </w:tc>
        <w:tc>
          <w:tcPr>
            <w:tcW w:type="dxa" w:w="348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Team members can use the local SLM to draft role-specific lab journal reflections, then edit for personal voice and accuracy</w:t>
            </w:r>
          </w:p>
        </w:tc>
        <w:tc>
          <w:tcPr>
            <w:tcW w:type="dxa" w:w="348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All team members</w:t>
            </w:r>
          </w:p>
        </w:tc>
      </w:tr>
      <w:tr>
        <w:tc>
          <w:tcPr>
            <w:tcW w:type="dxa" w:w="2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Portfolio demonstration artifact</w:t>
            </w:r>
          </w:p>
        </w:tc>
        <w:tc>
          <w:tcPr>
            <w:tcW w:type="dxa" w:w="348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The device itself is a physical artifact that proves hands-on AI experimentation — photographed or shown in portfolio website</w:t>
            </w:r>
          </w:p>
        </w:tc>
        <w:tc>
          <w:tcPr>
            <w:tcW w:type="dxa" w:w="348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All team members for personal websites</w:t>
            </w:r>
          </w:p>
        </w:tc>
      </w:tr>
    </w:tbl>
    <w:p>
      <w:pPr>
        <w:spacing w:after="80" w:before="0"/>
      </w:pPr>
      <w:r>
        <w:rPr>
          <w:rFonts w:ascii="Arial" w:cs="Arial" w:eastAsia="Arial" w:hAnsi="Arial"/>
          <w:color w:val="1A1A1A"/>
          <w:sz w:val="22"/>
          <w:szCs w:val="22"/>
        </w:rPr>
        <w:t xml:space="preserve"/>
      </w:r>
    </w:p>
    <w:p>
      <w:pPr>
        <w:pStyle w:val="Heading2"/>
        <w:spacing w:after="140" w:before="400"/>
      </w:pPr>
      <w:r>
        <w:rPr>
          <w:rFonts w:ascii="Arial" w:cs="Arial" w:eastAsia="Arial" w:hAnsi="Arial"/>
          <w:b/>
          <w:bCs/>
          <w:color w:val="1E3A5F"/>
          <w:sz w:val="28"/>
          <w:szCs w:val="28"/>
        </w:rPr>
        <w:t xml:space="preserve">Implementation Constraints</w:t>
      </w:r>
    </w:p>
    <w:p>
      <w:pPr>
        <w:pStyle w:val="ListParagraph"/>
        <w:numPr>
          <w:ilvl w:val="0"/>
          <w:numId w:val="2"/>
        </w:numPr>
        <w:spacing w:after="50" w:before="50" w:line="300"/>
      </w:pPr>
      <w:r>
        <w:rPr>
          <w:rFonts w:ascii="Arial" w:cs="Arial" w:eastAsia="Arial" w:hAnsi="Arial"/>
          <w:b w:val="false"/>
          <w:bCs w:val="false"/>
          <w:color w:val="1A1A1A"/>
          <w:sz w:val="22"/>
          <w:szCs w:val="22"/>
        </w:rPr>
        <w:t xml:space="preserve">The Raspberry Pi device supports the Maxxes ecosystem — it does not replace the core analytics or UI work.</w:t>
      </w:r>
    </w:p>
    <w:p>
      <w:pPr>
        <w:pStyle w:val="ListParagraph"/>
        <w:numPr>
          <w:ilvl w:val="0"/>
          <w:numId w:val="2"/>
        </w:numPr>
        <w:spacing w:after="50" w:before="50" w:line="300"/>
      </w:pPr>
      <w:r>
        <w:rPr>
          <w:rFonts w:ascii="Arial" w:cs="Arial" w:eastAsia="Arial" w:hAnsi="Arial"/>
          <w:color w:val="1A1A1A"/>
          <w:sz w:val="22"/>
          <w:szCs w:val="22"/>
        </w:rPr>
        <w:t xml:space="preserve">The SLM runs locally: no cloud dependency, no API key required, appropriate for a classroom and interview setting.</w:t>
      </w:r>
    </w:p>
    <w:p>
      <w:pPr>
        <w:pStyle w:val="ListParagraph"/>
        <w:numPr>
          <w:ilvl w:val="0"/>
          <w:numId w:val="2"/>
        </w:numPr>
        <w:spacing w:after="50" w:before="50" w:line="300"/>
      </w:pPr>
      <w:r>
        <w:rPr>
          <w:rFonts w:ascii="Arial" w:cs="Arial" w:eastAsia="Arial" w:hAnsi="Arial"/>
          <w:color w:val="1A1A1A"/>
          <w:sz w:val="22"/>
          <w:szCs w:val="22"/>
        </w:rPr>
        <w:t xml:space="preserve">Any AI or SLM layer should support explanation, documentation, or lightweight assistance rather than substitute for the core scoring logic built by Ethan.</w:t>
      </w:r>
    </w:p>
    <w:p>
      <w:pPr>
        <w:pStyle w:val="ListParagraph"/>
        <w:numPr>
          <w:ilvl w:val="0"/>
          <w:numId w:val="2"/>
        </w:numPr>
        <w:spacing w:after="50" w:before="50" w:line="300"/>
      </w:pPr>
      <w:r>
        <w:rPr>
          <w:rFonts w:ascii="Arial" w:cs="Arial" w:eastAsia="Arial" w:hAnsi="Arial"/>
          <w:color w:val="1A1A1A"/>
          <w:sz w:val="22"/>
          <w:szCs w:val="22"/>
        </w:rPr>
        <w:t xml:space="preserve">The class should state clearly in the final presentation that the Pi demonstrates practical AI experimentation — not production AI deployment.</w:t>
      </w:r>
    </w:p>
    <w:p>
      <w:pPr>
        <w:pStyle w:val="ListParagraph"/>
        <w:numPr>
          <w:ilvl w:val="0"/>
          <w:numId w:val="2"/>
        </w:numPr>
        <w:spacing w:after="50" w:before="50" w:line="300"/>
      </w:pPr>
      <w:r>
        <w:rPr>
          <w:rFonts w:ascii="Arial" w:cs="Arial" w:eastAsia="Arial" w:hAnsi="Arial"/>
          <w:color w:val="1A1A1A"/>
          <w:sz w:val="22"/>
          <w:szCs w:val="22"/>
        </w:rPr>
        <w:t xml:space="preserve">Target SLM options: LLaMA 3 (8B), Mistral 7B, or Phi-2 — all runnable on Raspberry Pi 5 with quantized weights.</w:t>
      </w:r>
    </w:p>
    <w:p>
      <w:pPr>
        <w:spacing w:after="80" w:before="0"/>
      </w:pPr>
      <w:r>
        <w:rPr>
          <w:rFonts w:ascii="Arial" w:cs="Arial" w:eastAsia="Arial" w:hAnsi="Arial"/>
          <w:color w:val="1A1A1A"/>
          <w:sz w:val="22"/>
          <w:szCs w:val="22"/>
        </w:rPr>
        <w:t xml:space="preserve"/>
      </w:r>
    </w:p>
    <w:p>
      <w:pPr>
        <w:pStyle w:val="Heading2"/>
        <w:spacing w:after="140" w:before="400"/>
      </w:pPr>
      <w:r>
        <w:rPr>
          <w:rFonts w:ascii="Arial" w:cs="Arial" w:eastAsia="Arial" w:hAnsi="Arial"/>
          <w:b/>
          <w:bCs/>
          <w:color w:val="1E3A5F"/>
          <w:sz w:val="28"/>
          <w:szCs w:val="28"/>
        </w:rPr>
        <w:t xml:space="preserve">Raspberry Pi Tie-In by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Role</w:t>
            </w:r>
          </w:p>
        </w:tc>
        <w:tc>
          <w:tcPr>
            <w:tcW w:type="dxa" w:w="348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Pi Contribution</w:t>
            </w:r>
          </w:p>
        </w:tc>
        <w:tc>
          <w:tcPr>
            <w:tcW w:type="dxa" w:w="348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Portfolio Talking Point</w:t>
            </w:r>
          </w:p>
        </w:tc>
      </w:tr>
      <w:tr>
        <w:tc>
          <w:tcPr>
            <w:tcW w:type="dxa" w:w="2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Kayah Whipps — Technical Lead</w:t>
            </w:r>
          </w:p>
        </w:tc>
        <w:tc>
          <w:tcPr>
            <w:tcW w:type="dxa" w:w="348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Configure Pi hardware, install SLM runtime (llama.cpp or Ollama), define prompt templates for Maxxes use cases</w:t>
            </w:r>
          </w:p>
        </w:tc>
        <w:tc>
          <w:tcPr>
            <w:tcW w:type="dxa" w:w="348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Deployed a locally hosted small language model on embedded hardware to support a business analytics prototype</w:t>
            </w:r>
          </w:p>
        </w:tc>
      </w:tr>
      <w:tr>
        <w:tc>
          <w:tcPr>
            <w:tcW w:type="dxa" w:w="2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Kyle Rumble — Design / Creative</w:t>
            </w:r>
          </w:p>
        </w:tc>
        <w:tc>
          <w:tcPr>
            <w:tcW w:type="dxa" w:w="348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Design the demo flow that incorporates the Pi — how it appears in the live demo, what the screen shows, how it supports the narrative</w:t>
            </w:r>
          </w:p>
        </w:tc>
        <w:tc>
          <w:tcPr>
            <w:tcW w:type="dxa" w:w="348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Integrated a physical AI device into a product demo as a UX and storytelling element</w:t>
            </w:r>
          </w:p>
        </w:tc>
      </w:tr>
      <w:tr>
        <w:tc>
          <w:tcPr>
            <w:tcW w:type="dxa" w:w="2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Luke Pollard — Front End</w:t>
            </w:r>
          </w:p>
        </w:tc>
        <w:tc>
          <w:tcPr>
            <w:tcW w:type="dxa" w:w="348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Optionally build a simple web UI that sends queries to the Pi's local SLM endpoint — a lightweight chat interface for the explainer use case</w:t>
            </w:r>
          </w:p>
        </w:tc>
        <w:tc>
          <w:tcPr>
            <w:tcW w:type="dxa" w:w="348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Built a minimal frontend interface connecting to a locally hosted language model</w:t>
            </w:r>
          </w:p>
        </w:tc>
      </w:tr>
      <w:tr>
        <w:tc>
          <w:tcPr>
            <w:tcW w:type="dxa" w:w="2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Ethan King — Back End</w:t>
            </w:r>
          </w:p>
        </w:tc>
        <w:tc>
          <w:tcPr>
            <w:tcW w:type="dxa" w:w="348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Write the system prompt that gives the SLM accurate knowledge of the Maxxes data model, XP rules, tier thresholds, and segment definitions</w:t>
            </w:r>
          </w:p>
        </w:tc>
        <w:tc>
          <w:tcPr>
            <w:tcW w:type="dxa" w:w="348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Engineered structured prompts for a domain-specific local language model aligned to a business analytics data model</w:t>
            </w:r>
          </w:p>
        </w:tc>
      </w:tr>
      <w:tr>
        <w:tc>
          <w:tcPr>
            <w:tcW w:type="dxa" w:w="2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Justin Hurst — QA &amp; Docs</w:t>
            </w:r>
          </w:p>
        </w:tc>
        <w:tc>
          <w:tcPr>
            <w:tcW w:type="dxa" w:w="348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Test the SLM's accuracy on Maxxes-specific questions; document where it performs well and where it needs prompt refinement; include in final documentation</w:t>
            </w:r>
          </w:p>
        </w:tc>
        <w:tc>
          <w:tcPr>
            <w:tcW w:type="dxa" w:w="348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Conducted structured QA on a local SLM deployment and documented performance against business logic requirements</w:t>
            </w:r>
          </w:p>
        </w:tc>
      </w:tr>
    </w:tbl>
    <w:p>
      <w:pPr>
        <w:spacing w:after="160" w:before="0"/>
      </w:pPr>
      <w:r>
        <w:rPr>
          <w:rFonts w:ascii="Arial" w:cs="Arial" w:eastAsia="Arial" w:hAnsi="Arial"/>
          <w:color w:val="1A1A1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6560"/>
        <w:gridCol w:w="2160"/>
      </w:tblGrid>
      <w:tr>
        <w:tc>
          <w:tcPr>
            <w:tcW w:type="dxa" w:w="640"/>
            <w:tcBorders>
              <w:top w:val="none" w:color="FFFFFF" w:sz="0"/>
              <w:left w:val="none" w:color="FFFFFF" w:sz="0"/>
              <w:bottom w:val="none" w:color="FFFFFF" w:sz="0"/>
              <w:right w:val="none" w:color="FFFFFF" w:sz="0"/>
            </w:tcBorders>
            <w:shd w:fill="1E3A5F"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12</w:t>
            </w:r>
          </w:p>
        </w:tc>
        <w:tc>
          <w:tcPr>
            <w:tcW w:type="dxa" w:w="6560"/>
            <w:tcBorders>
              <w:top w:val="none" w:color="FFFFFF" w:sz="0"/>
              <w:left w:val="none" w:color="FFFFFF" w:sz="0"/>
              <w:bottom w:val="none" w:color="FFFFFF" w:sz="0"/>
              <w:right w:val="none" w:color="FFFFFF" w:sz="0"/>
            </w:tcBorders>
            <w:shd w:fill="E8EDF5" w:val="clear"/>
            <w:tcMar>
              <w:top w:type="dxa" w:w="120"/>
              <w:left w:type="dxa" w:w="200"/>
              <w:bottom w:type="dxa" w:w="120"/>
              <w:right w:type="dxa" w:w="120"/>
            </w:tcMar>
          </w:tcPr>
          <w:p>
            <w:r>
              <w:rPr>
                <w:rFonts w:ascii="Arial" w:cs="Arial" w:eastAsia="Arial" w:hAnsi="Arial"/>
                <w:b/>
                <w:bCs/>
                <w:color w:val="1E3A5F"/>
                <w:sz w:val="24"/>
                <w:szCs w:val="24"/>
              </w:rPr>
              <w:t xml:space="preserve">EXIT TICKET / LAB JOURNAL SETUP</w:t>
            </w:r>
          </w:p>
        </w:tc>
        <w:tc>
          <w:tcPr>
            <w:tcW w:type="dxa" w:w="2160"/>
            <w:tcBorders>
              <w:top w:val="none" w:color="FFFFFF" w:sz="0"/>
              <w:left w:val="none" w:color="FFFFFF" w:sz="0"/>
              <w:bottom w:val="none" w:color="FFFFFF" w:sz="0"/>
              <w:right w:val="none" w:color="FFFFFF" w:sz="0"/>
            </w:tcBorders>
            <w:shd w:fill="B8C8DC" w:val="clear"/>
            <w:tcMar>
              <w:top w:type="dxa" w:w="120"/>
              <w:left w:type="dxa" w:w="120"/>
              <w:bottom w:type="dxa" w:w="120"/>
              <w:right w:type="dxa" w:w="120"/>
            </w:tcMar>
            <w:vAlign w:val="center"/>
          </w:tcPr>
          <w:p>
            <w:pPr>
              <w:jc w:val="right"/>
            </w:pPr>
            <w:r>
              <w:rPr>
                <w:rFonts w:ascii="Arial" w:cs="Arial" w:eastAsia="Arial" w:hAnsi="Arial"/>
                <w:color w:val="1E3A5F"/>
                <w:sz w:val="18"/>
                <w:szCs w:val="18"/>
              </w:rPr>
              <w:t xml:space="preserve">112 – 120 Minutes</w:t>
            </w:r>
          </w:p>
        </w:tc>
      </w:tr>
    </w:tbl>
    <w:p>
      <w:pPr>
        <w:spacing w:after="80" w:before="0"/>
      </w:pPr>
      <w:r>
        <w:rPr>
          <w:rFonts w:ascii="Arial" w:cs="Arial" w:eastAsia="Arial" w:hAnsi="Arial"/>
          <w:color w:val="1A1A1A"/>
          <w:sz w:val="22"/>
          <w:szCs w:val="22"/>
        </w:rPr>
        <w:t xml:space="preserve"/>
      </w:r>
    </w:p>
    <w:p>
      <w:pPr>
        <w:spacing w:after="100" w:before="60" w:line="330"/>
      </w:pPr>
      <w:r>
        <w:rPr>
          <w:rFonts w:ascii="Arial" w:cs="Arial" w:eastAsia="Arial" w:hAnsi="Arial"/>
          <w:color w:val="1A1A1A"/>
          <w:sz w:val="22"/>
          <w:szCs w:val="22"/>
        </w:rPr>
        <w:t xml:space="preserve">Each team member submits the following individually before leaving the session. This becomes the opening entry in the Week 5 lab journal and the first line of evidence for each student's role-specific portfolio documentation.</w:t>
      </w:r>
    </w:p>
    <w:p>
      <w:pPr>
        <w:spacing w:after="8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Field</w:t>
            </w:r>
          </w:p>
        </w:tc>
        <w:tc>
          <w:tcPr>
            <w:tcW w:type="dxa" w:w="576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Maxxes Example Answer</w:t>
            </w:r>
          </w:p>
        </w:tc>
      </w:tr>
      <w:tr>
        <w:tc>
          <w:tcPr>
            <w:tcW w:type="dxa" w:w="36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Name</w:t>
            </w:r>
          </w:p>
        </w:tc>
        <w:tc>
          <w:tcPr>
            <w:tcW w:type="dxa" w:w="57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(Your name)</w:t>
            </w:r>
          </w:p>
        </w:tc>
      </w:tr>
      <w:tr>
        <w:tc>
          <w:tcPr>
            <w:tcW w:type="dxa" w:w="3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Role</w:t>
            </w:r>
          </w:p>
        </w:tc>
        <w:tc>
          <w:tcPr>
            <w:tcW w:type="dxa" w:w="57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Algorithm Owner / Frontend Owner / Data Owner / QA / Design Owner</w:t>
            </w:r>
          </w:p>
        </w:tc>
      </w:tr>
      <w:tr>
        <w:tc>
          <w:tcPr>
            <w:tcW w:type="dxa" w:w="36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Analytics component I am responsible for</w:t>
            </w:r>
          </w:p>
        </w:tc>
        <w:tc>
          <w:tcPr>
            <w:tcW w:type="dxa" w:w="57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e.g., XP scoring model and Bronze–Diamond tier threshold logic</w:t>
            </w:r>
          </w:p>
        </w:tc>
      </w:tr>
      <w:tr>
        <w:tc>
          <w:tcPr>
            <w:tcW w:type="dxa" w:w="3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Canonical data entities my component uses</w:t>
            </w:r>
          </w:p>
        </w:tc>
        <w:tc>
          <w:tcPr>
            <w:tcW w:type="dxa" w:w="57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e.g., Fan, XPTransaction, FanEvent — field names must match Section 06</w:t>
            </w:r>
          </w:p>
        </w:tc>
      </w:tr>
      <w:tr>
        <w:tc>
          <w:tcPr>
            <w:tcW w:type="dxa" w:w="36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UI output my component affects</w:t>
            </w:r>
          </w:p>
        </w:tc>
        <w:tc>
          <w:tcPr>
            <w:tcW w:type="dxa" w:w="57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e.g., Superfan XP Score Card, Tier Badge, Leaderboard rank position, Next Milestone Tracker</w:t>
            </w:r>
          </w:p>
        </w:tc>
      </w:tr>
      <w:tr>
        <w:tc>
          <w:tcPr>
            <w:tcW w:type="dxa" w:w="3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My Week 5 deliverable</w:t>
            </w:r>
          </w:p>
        </w:tc>
        <w:tc>
          <w:tcPr>
            <w:tcW w:type="dxa" w:w="57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e.g., Finalize XP weights document and build mock Fan/XPTransaction JSON dataset (25+ profiles, 90 days history)</w:t>
            </w:r>
          </w:p>
        </w:tc>
      </w:tr>
      <w:tr>
        <w:tc>
          <w:tcPr>
            <w:tcW w:type="dxa" w:w="36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My Week 6 deliverable</w:t>
            </w:r>
          </w:p>
        </w:tc>
        <w:tc>
          <w:tcPr>
            <w:tcW w:type="dxa" w:w="57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e.g., Implement XP scoring algorithm; render score card from mock data with correct tier logic and milestone display</w:t>
            </w:r>
          </w:p>
        </w:tc>
      </w:tr>
      <w:tr>
        <w:tc>
          <w:tcPr>
            <w:tcW w:type="dxa" w:w="3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One market research insight that changed how I understand the widget</w:t>
            </w:r>
          </w:p>
        </w:tc>
        <w:tc>
          <w:tcPr>
            <w:tcW w:type="dxa" w:w="57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e.g., Delta SkyMiles proves fans will change behavior for tier status — Maxxes applies the same psychology to live events and streaming</w:t>
            </w:r>
          </w:p>
        </w:tc>
      </w:tr>
      <w:tr>
        <w:tc>
          <w:tcPr>
            <w:tcW w:type="dxa" w:w="36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One blocker or question I need resolved</w:t>
            </w:r>
          </w:p>
        </w:tc>
        <w:tc>
          <w:tcPr>
            <w:tcW w:type="dxa" w:w="57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e.g., How do we weight social reach vs. attendance without live Spotify API access in the prototype?</w:t>
            </w:r>
          </w:p>
        </w:tc>
      </w:tr>
      <w:tr>
        <w:tc>
          <w:tcPr>
            <w:tcW w:type="dxa" w:w="3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Raspberry Pi use case I will support</w:t>
            </w:r>
          </w:p>
        </w:tc>
        <w:tc>
          <w:tcPr>
            <w:tcW w:type="dxa" w:w="57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e.g., Writing the system prompt that gives the SLM accurate XP rules and tier definitions for the explainer chatbot</w:t>
            </w:r>
          </w:p>
        </w:tc>
      </w:tr>
    </w:tbl>
    <w:p>
      <w:pPr>
        <w:spacing w:after="160" w:before="0"/>
      </w:pPr>
      <w:r>
        <w:rPr>
          <w:rFonts w:ascii="Arial" w:cs="Arial" w:eastAsia="Arial" w:hAnsi="Arial"/>
          <w:color w:val="1A1A1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6560"/>
        <w:gridCol w:w="2160"/>
      </w:tblGrid>
      <w:tr>
        <w:tc>
          <w:tcPr>
            <w:tcW w:type="dxa" w:w="640"/>
            <w:tcBorders>
              <w:top w:val="none" w:color="FFFFFF" w:sz="0"/>
              <w:left w:val="none" w:color="FFFFFF" w:sz="0"/>
              <w:bottom w:val="none" w:color="FFFFFF" w:sz="0"/>
              <w:right w:val="none" w:color="FFFFFF" w:sz="0"/>
            </w:tcBorders>
            <w:shd w:fill="1E3A5F"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13</w:t>
            </w:r>
          </w:p>
        </w:tc>
        <w:tc>
          <w:tcPr>
            <w:tcW w:type="dxa" w:w="6560"/>
            <w:tcBorders>
              <w:top w:val="none" w:color="FFFFFF" w:sz="0"/>
              <w:left w:val="none" w:color="FFFFFF" w:sz="0"/>
              <w:bottom w:val="none" w:color="FFFFFF" w:sz="0"/>
              <w:right w:val="none" w:color="FFFFFF" w:sz="0"/>
            </w:tcBorders>
            <w:shd w:fill="E8EDF5" w:val="clear"/>
            <w:tcMar>
              <w:top w:type="dxa" w:w="120"/>
              <w:left w:type="dxa" w:w="200"/>
              <w:bottom w:type="dxa" w:w="120"/>
              <w:right w:type="dxa" w:w="120"/>
            </w:tcMar>
          </w:tcPr>
          <w:p>
            <w:r>
              <w:rPr>
                <w:rFonts w:ascii="Arial" w:cs="Arial" w:eastAsia="Arial" w:hAnsi="Arial"/>
                <w:b/>
                <w:bCs/>
                <w:color w:val="1E3A5F"/>
                <w:sz w:val="24"/>
                <w:szCs w:val="24"/>
              </w:rPr>
              <w:t xml:space="preserve">MAXXES WIDGET BUILD MAP</w:t>
            </w:r>
          </w:p>
        </w:tc>
        <w:tc>
          <w:tcPr>
            <w:tcW w:type="dxa" w:w="2160"/>
            <w:tcBorders>
              <w:top w:val="none" w:color="FFFFFF" w:sz="0"/>
              <w:left w:val="none" w:color="FFFFFF" w:sz="0"/>
              <w:bottom w:val="none" w:color="FFFFFF" w:sz="0"/>
              <w:right w:val="none" w:color="FFFFFF" w:sz="0"/>
            </w:tcBorders>
            <w:shd w:fill="B8C8DC" w:val="clear"/>
            <w:tcMar>
              <w:top w:type="dxa" w:w="120"/>
              <w:left w:type="dxa" w:w="120"/>
              <w:bottom w:type="dxa" w:w="120"/>
              <w:right w:type="dxa" w:w="120"/>
            </w:tcMar>
            <w:vAlign w:val="center"/>
          </w:tcPr>
          <w:p>
            <w:pPr>
              <w:jc w:val="right"/>
            </w:pPr>
            <w:r>
              <w:rPr>
                <w:rFonts w:ascii="Arial" w:cs="Arial" w:eastAsia="Arial" w:hAnsi="Arial"/>
                <w:color w:val="1E3A5F"/>
                <w:sz w:val="18"/>
                <w:szCs w:val="18"/>
              </w:rPr>
              <w:t xml:space="preserve">Instructor Reference</w:t>
            </w:r>
          </w:p>
        </w:tc>
      </w:tr>
    </w:tbl>
    <w:p>
      <w:pPr>
        <w:spacing w:after="8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Business Problem</w:t>
            </w:r>
          </w:p>
        </w:tc>
        <w:tc>
          <w:tcPr>
            <w:tcW w:type="dxa" w:w="656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Fan data is siloed across ticketing, social, and streaming platforms. Venues cannot identify their most valuable customers. Fans are anonymous despite years of loyal spending and cannot access experiences that match their true devotion.</w:t>
            </w:r>
          </w:p>
        </w:tc>
      </w:tr>
      <w:tr>
        <w:tc>
          <w:tcPr>
            <w:tcW w:type="dxa" w:w="28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Primary Users</w:t>
            </w:r>
          </w:p>
        </w:tc>
        <w:tc>
          <w:tcPr>
            <w:tcW w:type="dxa" w:w="65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FANS: seeking XP rewards, tier recognition, and priority access. VENUES / ARTISTS / MANAGERS: seeking audience intelligence to drive revenue and retention.</w:t>
            </w:r>
          </w:p>
        </w:tc>
      </w:tr>
      <w:tr>
        <w:tc>
          <w:tcPr>
            <w:tcW w:type="dxa" w:w="2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Core Decision</w:t>
            </w:r>
          </w:p>
        </w:tc>
        <w:tc>
          <w:tcPr>
            <w:tcW w:type="dxa" w:w="65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FAN: What have I earned and what can I access next? VENUE: Who are my best fans and how do I invest in them to grow revenue?</w:t>
            </w:r>
          </w:p>
        </w:tc>
      </w:tr>
      <w:tr>
        <w:tc>
          <w:tcPr>
            <w:tcW w:type="dxa" w:w="28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Market Positioning</w:t>
            </w:r>
          </w:p>
        </w:tc>
        <w:tc>
          <w:tcPr>
            <w:tcW w:type="dxa" w:w="65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Maxxes sits between the venue and the fan as the engagement and intelligence layer. It does not replace Ticketmaster or Spotify. It aggregates what they cannot see — cross-platform behavioral history tied to a verified, attending human — and turns that into a ranked fan profile every party in the ecosystem will pay to access.</w:t>
            </w:r>
          </w:p>
        </w:tc>
      </w:tr>
      <w:tr>
        <w:tc>
          <w:tcPr>
            <w:tcW w:type="dxa" w:w="2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Tier System</w:t>
            </w:r>
          </w:p>
        </w:tc>
        <w:tc>
          <w:tcPr>
            <w:tcW w:type="dxa" w:w="65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Bronze (0–2,499 XP) → Silver (2,500–4,999) → Gold (5,000–9,999) → Platinum (10,000–24,999) → Diamond (25,000+)</w:t>
            </w:r>
          </w:p>
        </w:tc>
      </w:tr>
      <w:tr>
        <w:tc>
          <w:tcPr>
            <w:tcW w:type="dxa" w:w="28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Scoring Model</w:t>
            </w:r>
          </w:p>
        </w:tc>
        <w:tc>
          <w:tcPr>
            <w:tcW w:type="dxa" w:w="65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XP-based: attendance +200/event, watch time +5 XP/hr, listening +3 XP/hr, spend +1 XP/$1, challenges +100–1,500, streak multiplier 1.0x–2.0x, with RFM recency weighting</w:t>
            </w:r>
          </w:p>
        </w:tc>
      </w:tr>
      <w:tr>
        <w:tc>
          <w:tcPr>
            <w:tcW w:type="dxa" w:w="2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Week 5 Goal</w:t>
            </w:r>
          </w:p>
        </w:tc>
        <w:tc>
          <w:tcPr>
            <w:tcW w:type="dxa" w:w="65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Design the MVP: define the feature set, wireframe both views, build the data dictionary using canonical entities, complete the analytics map, assign roles, produce early design assets, and confirm the Raspberry Pi use case for each team member.</w:t>
            </w:r>
          </w:p>
        </w:tc>
      </w:tr>
      <w:tr>
        <w:tc>
          <w:tcPr>
            <w:tcW w:type="dxa" w:w="28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Week 6 Goal</w:t>
            </w:r>
          </w:p>
        </w:tc>
        <w:tc>
          <w:tcPr>
            <w:tcW w:type="dxa" w:w="65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Build the core: first working prototype using mock data, all required components rendering with correct XP and tier logic, recommendation engine firing from trigger rules, screenshot and lab journal evidence documented.</w:t>
            </w:r>
          </w:p>
        </w:tc>
      </w:tr>
    </w:tbl>
    <w:p>
      <w:pPr>
        <w:spacing w:after="80" w:before="0"/>
      </w:pPr>
      <w:r>
        <w:rPr>
          <w:rFonts w:ascii="Arial" w:cs="Arial" w:eastAsia="Arial" w:hAnsi="Arial"/>
          <w:color w:val="1A1A1A"/>
          <w:sz w:val="22"/>
          <w:szCs w:val="22"/>
        </w:rPr>
        <w:t xml:space="preserve"/>
      </w:r>
    </w:p>
    <w:p>
      <w:pPr>
        <w:pStyle w:val="Heading2"/>
        <w:spacing w:after="140" w:before="400"/>
      </w:pPr>
      <w:r>
        <w:rPr>
          <w:rFonts w:ascii="Arial" w:cs="Arial" w:eastAsia="Arial" w:hAnsi="Arial"/>
          <w:b/>
          <w:bCs/>
          <w:color w:val="1E3A5F"/>
          <w:sz w:val="28"/>
          <w:szCs w:val="28"/>
        </w:rPr>
        <w:t xml:space="preserve">Core Analytics Logic Summary</w:t>
      </w:r>
    </w:p>
    <w:p>
      <w:pPr>
        <w:pStyle w:val="ListParagraph"/>
        <w:numPr>
          <w:ilvl w:val="0"/>
          <w:numId w:val="2"/>
        </w:numPr>
        <w:spacing w:after="50" w:before="50" w:line="300"/>
      </w:pPr>
      <w:r>
        <w:rPr>
          <w:rFonts w:ascii="Arial" w:cs="Arial" w:eastAsia="Arial" w:hAnsi="Arial"/>
          <w:b/>
          <w:bCs/>
          <w:color w:val="1A1A1A"/>
          <w:sz w:val="22"/>
          <w:szCs w:val="22"/>
        </w:rPr>
        <w:t xml:space="preserve">Descriptive metrics:</w:t>
      </w:r>
      <w:r>
        <w:rPr>
          <w:rFonts w:ascii="Arial" w:cs="Arial" w:eastAsia="Arial" w:hAnsi="Arial"/>
          <w:color w:val="1A1A1A"/>
          <w:sz w:val="22"/>
          <w:szCs w:val="22"/>
        </w:rPr>
        <w:t xml:space="preserve"> What is this fan doing? Attendance count, spend per visit, social posts, XP by signal type, streak length, 7/30/90-day activity summary.</w:t>
      </w:r>
    </w:p>
    <w:p>
      <w:pPr>
        <w:pStyle w:val="ListParagraph"/>
        <w:numPr>
          <w:ilvl w:val="0"/>
          <w:numId w:val="2"/>
        </w:numPr>
        <w:spacing w:after="50" w:before="50" w:line="300"/>
      </w:pPr>
      <w:r>
        <w:rPr>
          <w:rFonts w:ascii="Arial" w:cs="Arial" w:eastAsia="Arial" w:hAnsi="Arial"/>
          <w:b/>
          <w:bCs/>
          <w:color w:val="1A1A1A"/>
          <w:sz w:val="22"/>
          <w:szCs w:val="22"/>
        </w:rPr>
        <w:t xml:space="preserve">XP Superfan Score:</w:t>
      </w:r>
      <w:r>
        <w:rPr>
          <w:rFonts w:ascii="Arial" w:cs="Arial" w:eastAsia="Arial" w:hAnsi="Arial"/>
          <w:color w:val="1A1A1A"/>
          <w:sz w:val="22"/>
          <w:szCs w:val="22"/>
        </w:rPr>
        <w:t xml:space="preserve"> How valuable is this fan? Weighted multi-signal XP model with RFM recency overlay.</w:t>
      </w:r>
    </w:p>
    <w:p>
      <w:pPr>
        <w:pStyle w:val="ListParagraph"/>
        <w:numPr>
          <w:ilvl w:val="0"/>
          <w:numId w:val="2"/>
        </w:numPr>
        <w:spacing w:after="50" w:before="50" w:line="300"/>
      </w:pPr>
      <w:r>
        <w:rPr>
          <w:rFonts w:ascii="Arial" w:cs="Arial" w:eastAsia="Arial" w:hAnsi="Arial"/>
          <w:b/>
          <w:bCs/>
          <w:color w:val="1A1A1A"/>
          <w:sz w:val="22"/>
          <w:szCs w:val="22"/>
        </w:rPr>
        <w:t xml:space="preserve">Tier classification:</w:t>
      </w:r>
      <w:r>
        <w:rPr>
          <w:rFonts w:ascii="Arial" w:cs="Arial" w:eastAsia="Arial" w:hAnsi="Arial"/>
          <w:color w:val="1A1A1A"/>
          <w:sz w:val="22"/>
          <w:szCs w:val="22"/>
        </w:rPr>
        <w:t xml:space="preserve"> What level does this fan belong to? Bronze, Silver, Gold, Platinum, Diamond — based on cumulative XP.</w:t>
      </w:r>
    </w:p>
    <w:p>
      <w:pPr>
        <w:pStyle w:val="ListParagraph"/>
        <w:numPr>
          <w:ilvl w:val="0"/>
          <w:numId w:val="2"/>
        </w:numPr>
        <w:spacing w:after="50" w:before="50" w:line="300"/>
      </w:pPr>
      <w:r>
        <w:rPr>
          <w:rFonts w:ascii="Arial" w:cs="Arial" w:eastAsia="Arial" w:hAnsi="Arial"/>
          <w:b/>
          <w:bCs/>
          <w:color w:val="1A1A1A"/>
          <w:sz w:val="22"/>
          <w:szCs w:val="22"/>
        </w:rPr>
        <w:t xml:space="preserve">Prioritization:</w:t>
      </w:r>
      <w:r>
        <w:rPr>
          <w:rFonts w:ascii="Arial" w:cs="Arial" w:eastAsia="Arial" w:hAnsi="Arial"/>
          <w:color w:val="1A1A1A"/>
          <w:sz w:val="22"/>
          <w:szCs w:val="22"/>
        </w:rPr>
        <w:t xml:space="preserve"> Which fans earn access first? Sorted leaderboard by XP, filtered by artist, venue, or event.</w:t>
      </w:r>
    </w:p>
    <w:p>
      <w:pPr>
        <w:pStyle w:val="ListParagraph"/>
        <w:numPr>
          <w:ilvl w:val="0"/>
          <w:numId w:val="2"/>
        </w:numPr>
        <w:spacing w:after="50" w:before="50" w:line="300"/>
      </w:pPr>
      <w:r>
        <w:rPr>
          <w:rFonts w:ascii="Arial" w:cs="Arial" w:eastAsia="Arial" w:hAnsi="Arial"/>
          <w:b/>
          <w:bCs/>
          <w:color w:val="1A1A1A"/>
          <w:sz w:val="22"/>
          <w:szCs w:val="22"/>
        </w:rPr>
        <w:t xml:space="preserve">Recommendation engine:</w:t>
      </w:r>
      <w:r>
        <w:rPr>
          <w:rFonts w:ascii="Arial" w:cs="Arial" w:eastAsia="Arial" w:hAnsi="Arial"/>
          <w:color w:val="1A1A1A"/>
          <w:sz w:val="22"/>
          <w:szCs w:val="22"/>
        </w:rPr>
        <w:t xml:space="preserve"> What should the fan or venue do next? Eight rules-based cards covering activation, rescue, presale, rewards, campaigns, VIP, partners, and event-day upsell.</w:t>
      </w:r>
    </w:p>
    <w:p>
      <w:pPr>
        <w:pStyle w:val="ListParagraph"/>
        <w:numPr>
          <w:ilvl w:val="0"/>
          <w:numId w:val="2"/>
        </w:numPr>
        <w:spacing w:after="50" w:before="50" w:line="300"/>
      </w:pPr>
      <w:r>
        <w:rPr>
          <w:rFonts w:ascii="Arial" w:cs="Arial" w:eastAsia="Arial" w:hAnsi="Arial"/>
          <w:b/>
          <w:bCs/>
          <w:color w:val="1A1A1A"/>
          <w:sz w:val="22"/>
          <w:szCs w:val="22"/>
        </w:rPr>
        <w:t xml:space="preserve">Segment analysis:</w:t>
      </w:r>
      <w:r>
        <w:rPr>
          <w:rFonts w:ascii="Arial" w:cs="Arial" w:eastAsia="Arial" w:hAnsi="Arial"/>
          <w:color w:val="1A1A1A"/>
          <w:sz w:val="22"/>
          <w:szCs w:val="22"/>
        </w:rPr>
        <w:t xml:space="preserve"> How is the audience distributed? Nine canonical segments from New Fans to Diamond — each with a defined operator action.</w:t>
      </w:r>
    </w:p>
    <w:p>
      <w:pPr>
        <w:pStyle w:val="ListParagraph"/>
        <w:numPr>
          <w:ilvl w:val="0"/>
          <w:numId w:val="2"/>
        </w:numPr>
        <w:spacing w:after="50" w:before="50" w:line="300"/>
      </w:pPr>
      <w:r>
        <w:rPr>
          <w:rFonts w:ascii="Arial" w:cs="Arial" w:eastAsia="Arial" w:hAnsi="Arial"/>
          <w:b/>
          <w:bCs/>
          <w:color w:val="1A1A1A"/>
          <w:sz w:val="22"/>
          <w:szCs w:val="22"/>
        </w:rPr>
        <w:t xml:space="preserve">Business intelligence summary:</w:t>
      </w:r>
      <w:r>
        <w:rPr>
          <w:rFonts w:ascii="Arial" w:cs="Arial" w:eastAsia="Arial" w:hAnsi="Arial"/>
          <w:color w:val="1A1A1A"/>
          <w:sz w:val="22"/>
          <w:szCs w:val="22"/>
        </w:rPr>
        <w:t xml:space="preserve"> What does leadership need to know? Top fan profiles, XP distribution, revenue projection, lapse risks, campaign lift by segment.</w:t>
      </w:r>
    </w:p>
    <w:p>
      <w:pPr>
        <w:spacing w:after="160" w:before="0"/>
      </w:pPr>
      <w:r>
        <w:rPr>
          <w:rFonts w:ascii="Arial" w:cs="Arial" w:eastAsia="Arial" w:hAnsi="Arial"/>
          <w:color w:val="1A1A1A"/>
          <w:sz w:val="22"/>
          <w:szCs w:val="22"/>
        </w:rPr>
        <w:t xml:space="preserve"/>
      </w:r>
    </w:p>
    <w:p>
      <w:r>
        <w:br w:type="page"/>
      </w:r>
    </w:p>
    <w:p>
      <w:pPr>
        <w:spacing w:after="16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80"/>
              <w:left w:type="dxa" w:w="360"/>
              <w:bottom w:type="dxa" w:w="280"/>
              <w:right w:type="dxa" w:w="360"/>
            </w:tcMar>
          </w:tcPr>
          <w:p>
            <w:pPr>
              <w:spacing w:after="120" w:before="0"/>
              <w:jc w:val="center"/>
            </w:pPr>
            <w:r>
              <w:rPr>
                <w:rFonts w:ascii="Arial" w:cs="Arial" w:eastAsia="Arial" w:hAnsi="Arial"/>
                <w:b/>
                <w:bCs/>
                <w:color w:val="FFFFFF"/>
                <w:sz w:val="26"/>
                <w:szCs w:val="26"/>
              </w:rPr>
              <w:t xml:space="preserve">Closing Framework</w:t>
            </w:r>
          </w:p>
          <w:p>
            <w:pPr>
              <w:spacing w:after="0" w:before="0"/>
              <w:jc w:val="center"/>
            </w:pPr>
            <w:r>
              <w:rPr>
                <w:rFonts w:ascii="Arial" w:cs="Arial" w:eastAsia="Arial" w:hAnsi="Arial"/>
                <w:color w:val="FFFFFF"/>
                <w:sz w:val="20"/>
                <w:szCs w:val="20"/>
              </w:rPr>
              <w:t xml:space="preserve">The point of this lab is to make the Maxxes build defensible. Every dashboard component should trace back to a business question. Every business question should trace back to data. Every data field should support an XP calculation, a tier rule, a segment definition, or a recommendation trigger. If students can explain that chain — from a fan's third concert attendance to a Gold tier upgrade to a backstage pass to a revenue projection in the venue dashboard — they are not just building an app. They are building a business analytics platform with a real market, real users, and a defensible data moat.</w:t>
            </w:r>
          </w:p>
        </w:tc>
      </w:tr>
    </w:tbl>
    <w:p>
      <w:pPr>
        <w:spacing w:after="80" w:before="0"/>
      </w:pPr>
      <w:r>
        <w:rPr>
          <w:rFonts w:ascii="Arial" w:cs="Arial" w:eastAsia="Arial" w:hAnsi="Arial"/>
          <w:color w:val="1A1A1A"/>
          <w:sz w:val="22"/>
          <w:szCs w:val="22"/>
        </w:rPr>
        <w:t xml:space="preserve"/>
      </w:r>
    </w:p>
    <w:p>
      <w:pPr>
        <w:spacing w:after="0" w:before="80"/>
        <w:jc w:val="center"/>
      </w:pPr>
      <w:r>
        <w:rPr>
          <w:rFonts w:ascii="Arial" w:cs="Arial" w:eastAsia="Arial" w:hAnsi="Arial"/>
          <w:i/>
          <w:iCs/>
          <w:color w:val="6A6A6A"/>
          <w:sz w:val="18"/>
          <w:szCs w:val="18"/>
        </w:rPr>
        <w:t xml:space="preserve">Maxxes — Fan Loyalty &amp; Intelligence Platform  |  ECON 454 Week 5 Deliverable  |  All gaps from Master Guiding Document resolved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900" w:hanging="270"/>
      </w:pPr>
    </w:lvl>
  </w:abstractNum>
  <w:abstractNum w:abstractNumId="4"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60"/>
      <w:outlineLvl w:val="0"/>
    </w:pPr>
    <w:rPr>
      <w:rFonts w:ascii="Arial" w:cs="Arial" w:eastAsia="Arial" w:hAnsi="Arial"/>
      <w:b/>
      <w:bCs/>
      <w:color w:val="1E3A5F"/>
      <w:sz w:val="40"/>
      <w:szCs w:val="40"/>
    </w:rPr>
  </w:style>
  <w:style w:type="paragraph" w:styleId="Heading2">
    <w:name w:val="Heading 2"/>
    <w:basedOn w:val="Normal"/>
    <w:next w:val="Normal"/>
    <w:qFormat/>
    <w:pPr>
      <w:spacing w:after="140" w:before="400"/>
      <w:outlineLvl w:val="1"/>
    </w:pPr>
    <w:rPr>
      <w:rFonts w:ascii="Arial" w:cs="Arial" w:eastAsia="Arial" w:hAnsi="Arial"/>
      <w:b/>
      <w:bCs/>
      <w:color w:val="1E3A5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2026-04-30T21:20:03.696Z</dcterms:created>
  <dcterms:modified xsi:type="dcterms:W3CDTF">2026-04-30T21:20:03.697Z</dcterms:modified>
</cp:coreProperties>
</file>

<file path=docProps/custom.xml><?xml version="1.0" encoding="utf-8"?>
<Properties xmlns="http://schemas.openxmlformats.org/officeDocument/2006/custom-properties" xmlns:vt="http://schemas.openxmlformats.org/officeDocument/2006/docPropsVTypes"/>
</file>