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6B3D" w14:textId="77777777" w:rsidR="00A31ABD" w:rsidRDefault="00000000">
      <w:pPr>
        <w:spacing w:before="1500"/>
        <w:jc w:val="center"/>
      </w:pPr>
      <w:r>
        <w:rPr>
          <w:rFonts w:ascii="Aptos Display" w:hAnsi="Aptos Display"/>
          <w:b/>
          <w:color w:val="14375A"/>
          <w:sz w:val="58"/>
        </w:rPr>
        <w:t>Customer Intelligence Platform</w:t>
      </w:r>
      <w:r>
        <w:rPr>
          <w:rFonts w:ascii="Aptos Display" w:hAnsi="Aptos Display"/>
          <w:b/>
          <w:color w:val="14375A"/>
          <w:sz w:val="58"/>
        </w:rPr>
        <w:br/>
        <w:t>for Fintech</w:t>
      </w:r>
    </w:p>
    <w:p w14:paraId="3BCEE5FE" w14:textId="5507AC40" w:rsidR="00A31ABD" w:rsidRDefault="00000000">
      <w:pPr>
        <w:jc w:val="center"/>
      </w:pPr>
      <w:r>
        <w:rPr>
          <w:color w:val="195F87"/>
          <w:sz w:val="30"/>
        </w:rPr>
        <w:t>Big Data</w:t>
      </w:r>
      <w:r w:rsidR="009D586D">
        <w:rPr>
          <w:color w:val="195F87"/>
          <w:sz w:val="30"/>
        </w:rPr>
        <w:t xml:space="preserve"> Management</w:t>
      </w:r>
      <w:r>
        <w:rPr>
          <w:color w:val="195F87"/>
          <w:sz w:val="30"/>
        </w:rPr>
        <w:t xml:space="preserve"> Project Proposal</w:t>
      </w:r>
    </w:p>
    <w:p w14:paraId="0B5A0B28" w14:textId="06796A51" w:rsidR="00A31ABD" w:rsidRDefault="00000000">
      <w:pPr>
        <w:spacing w:before="440"/>
        <w:jc w:val="center"/>
      </w:pPr>
      <w:r>
        <w:rPr>
          <w:b/>
        </w:rPr>
        <w:t xml:space="preserve">Module Group: </w:t>
      </w:r>
      <w:r w:rsidR="009D586D">
        <w:rPr>
          <w:b/>
        </w:rPr>
        <w:t xml:space="preserve">IT3388, </w:t>
      </w:r>
      <w:r>
        <w:rPr>
          <w:b/>
        </w:rPr>
        <w:t>Project Group Number</w:t>
      </w:r>
      <w:r w:rsidR="009D586D">
        <w:rPr>
          <w:b/>
        </w:rPr>
        <w:t xml:space="preserve">: 2, </w:t>
      </w:r>
      <w:r>
        <w:rPr>
          <w:b/>
        </w:rPr>
        <w:t>Team Name: FinSight Colombia</w:t>
      </w:r>
    </w:p>
    <w:p w14:paraId="186AB4C2" w14:textId="177652AD" w:rsidR="00A31ABD" w:rsidRDefault="00000000">
      <w:pPr>
        <w:jc w:val="center"/>
      </w:pPr>
      <w:r>
        <w:t>Team members: Member A</w:t>
      </w:r>
      <w:r w:rsidR="009D586D">
        <w:t>: Clifton Chen Yi, Member</w:t>
      </w:r>
      <w:r>
        <w:t xml:space="preserve"> B</w:t>
      </w:r>
      <w:r w:rsidR="009D586D">
        <w:t xml:space="preserve">: Tan Zheng Yu Evan, Member C: Lee Yi Ting, </w:t>
      </w:r>
      <w:r>
        <w:t>Member D</w:t>
      </w:r>
      <w:r w:rsidR="009D586D">
        <w:t>: Wong Kang Bin</w:t>
      </w:r>
    </w:p>
    <w:p w14:paraId="50A524EE" w14:textId="77777777" w:rsidR="00A31ABD" w:rsidRDefault="00000000">
      <w:r>
        <w:br w:type="page"/>
      </w:r>
    </w:p>
    <w:p w14:paraId="6A86AFFA" w14:textId="77777777" w:rsidR="00A31ABD" w:rsidRDefault="00000000">
      <w:pPr>
        <w:pStyle w:val="Heading1"/>
      </w:pPr>
      <w:r>
        <w:lastRenderedPageBreak/>
        <w:t>Executive Summary</w:t>
      </w:r>
    </w:p>
    <w:p w14:paraId="4C19EAC7" w14:textId="77777777" w:rsidR="00A31ABD" w:rsidRDefault="00000000">
      <w:r>
        <w:t>This project proposes a cloud-based Customer Intelligence Platform for an anonymized Colombian fintech company. It will transform 48,723 customer profiles and 3,159,157 transactions into four complementary decision products: inactivity-risk classification, future customer-value prediction, ordinal satisfaction analysis with complaint NLP, and next-day transaction-demand classification. The project is not four unrelated models: it is one coordinated business solution connecting customer retention, commercial value, experience improvement, and operational readiness.</w:t>
      </w:r>
    </w:p>
    <w:p w14:paraId="1950AFC8" w14:textId="77777777" w:rsidR="00A31ABD" w:rsidRDefault="00000000">
      <w:r>
        <w:t>The central business objective is to replace reactive, descriptive reporting with predictive and actionable intelligence. Success will be evaluated through model accuracy, business-oriented metrics, chronological validation, interpretability, cloud scalability, and an interactive dashboard that turns predictions into prioritized decisions. The expected conclusion is evidence-based: the team will determine which behavioral signals are useful, which models generalize to later periods, whether added complexity provides meaningful gains, and whether the pipeline remains usable as data volume increases.</w:t>
      </w:r>
    </w:p>
    <w:p w14:paraId="47745D2E" w14:textId="77777777" w:rsidR="00A31ABD" w:rsidRDefault="00000000">
      <w:pPr>
        <w:pStyle w:val="Heading1"/>
      </w:pPr>
      <w:r>
        <w:t>Description of Business</w:t>
      </w:r>
    </w:p>
    <w:p w14:paraId="5627792A" w14:textId="77777777" w:rsidR="00A31ABD" w:rsidRDefault="00000000">
      <w:pPr>
        <w:pStyle w:val="Heading2"/>
      </w:pPr>
      <w:r>
        <w:t>Background</w:t>
      </w:r>
    </w:p>
    <w:p w14:paraId="436016BA" w14:textId="77777777" w:rsidR="00A31ABD" w:rsidRDefault="00000000">
      <w:r>
        <w:t>The proposed client is an anonymized Colombian fintech company offering digital financial services through mobile and transactional channels. Customers use products such as savings, credit, loans, investments, bill payment, and automatic savings while generating transfers, withdrawals, payments, and deposits. The organization also collects application-engagement, support, feedback, satisfaction, and demographic information.</w:t>
      </w:r>
    </w:p>
    <w:p w14:paraId="5854A893" w14:textId="77777777" w:rsidR="00A31ABD" w:rsidRDefault="00000000">
      <w:r>
        <w:t>The market context makes customer intelligence strategically important. Colombia had 394 local fintech startups by April 2024 and ranked third in Latin America by number of platforms. Colombia’s Financial Superintendence reported that 94.6% of adults had at least one formal financial product in 2023, while 27.5 million held low-value deposits associated with digital wallets. This combination of rapid adoption and competition creates pressure to retain customers, focus resources on future value, improve digital experiences, and keep transaction services reliable during demand peaks.</w:t>
      </w:r>
    </w:p>
    <w:p w14:paraId="42D3E26C" w14:textId="77777777" w:rsidR="00A31ABD" w:rsidRDefault="00000000">
      <w:r>
        <w:t>The main dataset, COFINFAD, represents almost a year of anonymized activity from January 4 to December 29, 2023. It includes 57 variables across customer demographics, product adoption, app engagement, satisfaction, support activity, and transaction behavior. Customer and transaction records are joined through customer_id, with monetary values recorded in Colombian pesos.</w:t>
      </w:r>
    </w:p>
    <w:p w14:paraId="55A22CF7" w14:textId="77777777" w:rsidR="00A31ABD" w:rsidRDefault="00000000">
      <w:pPr>
        <w:pStyle w:val="Heading2"/>
      </w:pPr>
      <w:r>
        <w:t>Business Objectives</w:t>
      </w:r>
    </w:p>
    <w:p w14:paraId="49A3D081" w14:textId="77777777" w:rsidR="00A31ABD" w:rsidRDefault="00000000">
      <w:pPr>
        <w:pStyle w:val="ListBullet"/>
      </w:pPr>
      <w:r>
        <w:t>Identify previously active customers who are at risk of making no transactions during the next 60 days, enabling prioritized retention action.</w:t>
      </w:r>
    </w:p>
    <w:p w14:paraId="2C82B75C" w14:textId="77777777" w:rsidR="00A31ABD" w:rsidRDefault="00000000">
      <w:pPr>
        <w:pStyle w:val="ListBullet"/>
      </w:pPr>
      <w:r>
        <w:t>Estimate each customer’s observable transaction value during the next 90 days and create defensible value segments for targeting and resource allocation.</w:t>
      </w:r>
    </w:p>
    <w:p w14:paraId="2DC11DBD" w14:textId="77777777" w:rsidR="00A31ABD" w:rsidRDefault="00000000">
      <w:pPr>
        <w:pStyle w:val="ListBullet"/>
      </w:pPr>
      <w:r>
        <w:t>Explain the service, engagement, product, support, and complaint factors associated with ordered satisfaction levels.</w:t>
      </w:r>
    </w:p>
    <w:p w14:paraId="649EA2EA" w14:textId="77777777" w:rsidR="00A31ABD" w:rsidRDefault="00000000">
      <w:pPr>
        <w:pStyle w:val="ListBullet"/>
      </w:pPr>
      <w:r>
        <w:t>Classify upcoming days as low, normal, or high transaction demand so operations teams can prepare capacity, staffing, and monitoring.</w:t>
      </w:r>
    </w:p>
    <w:p w14:paraId="34DCE13F" w14:textId="77777777" w:rsidR="00A31ABD" w:rsidRDefault="00000000">
      <w:pPr>
        <w:pStyle w:val="ListBullet"/>
      </w:pPr>
      <w:r>
        <w:lastRenderedPageBreak/>
        <w:t>Provide a unified cloud dashboard that converts model outputs into understandable customer and operational decisions.</w:t>
      </w:r>
    </w:p>
    <w:p w14:paraId="18B9F97E" w14:textId="77777777" w:rsidR="00A31ABD" w:rsidRDefault="00000000">
      <w:pPr>
        <w:pStyle w:val="ListBullet"/>
      </w:pPr>
      <w:r>
        <w:t>Evaluate predictive quality and system scalability rather than judging the solution only by visual appeal or a single accuracy score.</w:t>
      </w:r>
    </w:p>
    <w:p w14:paraId="31A514D1" w14:textId="77777777" w:rsidR="00A31ABD" w:rsidRDefault="00000000">
      <w:pPr>
        <w:pStyle w:val="Heading2"/>
      </w:pPr>
      <w:r>
        <w:t>Problem Statement</w:t>
      </w:r>
    </w:p>
    <w:p w14:paraId="251C58B0" w14:textId="77777777" w:rsidR="00A31ABD" w:rsidRDefault="00000000">
      <w:r>
        <w:t>The targeted problem is the absence of an integrated, forward-looking capability for converting high-volume fintech data into coordinated decisions. Existing records can describe what happened, but they do not reliably answer who may disengage, who will generate future value, why satisfaction differs, or when operational demand will peak. These gaps can produce wasted retention spending, poorly targeted offers, unresolved experience issues, and inadequate preparation for high-demand days.</w:t>
      </w:r>
    </w:p>
    <w:p w14:paraId="4B832BB5" w14:textId="77777777" w:rsidR="00A31ABD" w:rsidRDefault="00000000">
      <w:r>
        <w:t>The team will address one overarching issue: how can a Colombian fintech use its historical customer and transaction data to improve customer and operational decisions before negative outcomes or demand pressures occur? Four nonoverlapping analytical workstreams answer this issue at different levels. Members A, B, and C mainly analyze customers; Member D analyzes daily platform activity. Shared preprocessing is allowed, but targets, conclusions, and dashboards remain separately owned.</w:t>
      </w:r>
    </w:p>
    <w:p w14:paraId="02309B72" w14:textId="77777777" w:rsidR="00A31ABD" w:rsidRDefault="00000000">
      <w:pPr>
        <w:pStyle w:val="Heading2"/>
      </w:pPr>
      <w:r>
        <w:t>Evidence and Stakeholder Requirement</w:t>
      </w:r>
    </w:p>
    <w:p w14:paraId="1DC80BFB" w14:textId="77777777" w:rsidR="00A31ABD" w:rsidRDefault="00000000">
      <w:pPr>
        <w:pStyle w:val="ListBullet"/>
      </w:pPr>
      <w:r>
        <w:t>Colombia’s fintech ecosystem had 394 local startups as of April 2024, showing strong competition and market maturity.</w:t>
      </w:r>
    </w:p>
    <w:p w14:paraId="1E804C11" w14:textId="77777777" w:rsidR="00A31ABD" w:rsidRDefault="00000000">
      <w:pPr>
        <w:pStyle w:val="ListBullet"/>
      </w:pPr>
      <w:r>
        <w:t>Formal financial-product access reached 94.6% of Colombian adults in 2023, equivalent to about 36.1 million adults.</w:t>
      </w:r>
    </w:p>
    <w:p w14:paraId="3AF2F547" w14:textId="77777777" w:rsidR="00A31ABD" w:rsidRDefault="00000000">
      <w:pPr>
        <w:pStyle w:val="ListBullet"/>
      </w:pPr>
      <w:r>
        <w:t>Low-value deposits linked to digital wallets reached 27.5 million adults, including 4.1 million new users compared with 2022.</w:t>
      </w:r>
    </w:p>
    <w:p w14:paraId="15B87B1D" w14:textId="77777777" w:rsidR="00A31ABD" w:rsidRDefault="00000000">
      <w:pPr>
        <w:pStyle w:val="ListBullet"/>
      </w:pPr>
      <w:r>
        <w:t>Banco de la República reported a 28% year-over-year increase in value settled through its large-value payment system during 2023, reinforcing the importance of reliable financial infrastructure.</w:t>
      </w:r>
    </w:p>
    <w:p w14:paraId="6157C49A" w14:textId="77777777" w:rsidR="00A31ABD" w:rsidRDefault="00000000">
      <w:pPr>
        <w:pStyle w:val="ListBullet"/>
      </w:pPr>
      <w:r>
        <w:t>COFINFAD contains over 3.1 million transactions, a scale where automated cloud processing is more defensible than spreadsheet-based analysis.</w:t>
      </w:r>
    </w:p>
    <w:p w14:paraId="7F1E2334" w14:textId="77777777" w:rsidR="00A31ABD" w:rsidRDefault="00000000">
      <w:r>
        <w:t>At least one real stakeholder must validate the business problem before final submission. The preferred stakeholder is a fintech customer-operations manager, CRM manager, product manager, data analyst, or platform-operations manager. The team should ask which prediction errors are most costly, which intervention thresholds are practical, how much advance warning operations require, and which dashboard views would lead to action.</w:t>
      </w:r>
    </w:p>
    <w:p w14:paraId="33057F88" w14:textId="77777777" w:rsidR="009D586D" w:rsidRPr="009D586D" w:rsidRDefault="00000000">
      <w:pPr>
        <w:ind w:left="504" w:right="288"/>
        <w:rPr>
          <w:iCs/>
          <w:color w:val="23506E"/>
        </w:rPr>
      </w:pPr>
      <w:r w:rsidRPr="009D586D">
        <w:rPr>
          <w:iCs/>
          <w:color w:val="23506E"/>
        </w:rPr>
        <w:t>Stakeholder feedback</w:t>
      </w:r>
      <w:r w:rsidR="009D586D" w:rsidRPr="009D586D">
        <w:rPr>
          <w:iCs/>
          <w:color w:val="23506E"/>
        </w:rPr>
        <w:t xml:space="preserve">: </w:t>
      </w:r>
      <w:r w:rsidR="009D586D" w:rsidRPr="009D586D">
        <w:rPr>
          <w:iCs/>
          <w:color w:val="23506E"/>
        </w:rPr>
        <w:t>“The platform should prioritize customers who are both at high risk of inactivity and potentially valuable, rather than contacting every high-risk customer. For transaction demand, we need at least one day’s warning and high recall for peak days, even if this creates some false alerts.”</w:t>
      </w:r>
    </w:p>
    <w:p w14:paraId="27C78D9A" w14:textId="77777777" w:rsidR="009D586D" w:rsidRPr="009D586D" w:rsidRDefault="00000000" w:rsidP="009D586D">
      <w:pPr>
        <w:ind w:left="504" w:right="288"/>
        <w:rPr>
          <w:iCs/>
          <w:color w:val="23506E"/>
        </w:rPr>
      </w:pPr>
      <w:r w:rsidRPr="009D586D">
        <w:rPr>
          <w:iCs/>
          <w:color w:val="23506E"/>
        </w:rPr>
        <w:t>Name/role:</w:t>
      </w:r>
      <w:r w:rsidR="009D586D" w:rsidRPr="009D586D">
        <w:rPr>
          <w:iCs/>
          <w:color w:val="23506E"/>
        </w:rPr>
        <w:t xml:space="preserve"> </w:t>
      </w:r>
      <w:r w:rsidR="009D586D" w:rsidRPr="009D586D">
        <w:rPr>
          <w:iCs/>
          <w:color w:val="23506E"/>
        </w:rPr>
        <w:t>María Rodríguez, Customer Operations Manager</w:t>
      </w:r>
    </w:p>
    <w:p w14:paraId="630F33FA" w14:textId="77777777" w:rsidR="009D586D" w:rsidRPr="009D586D" w:rsidRDefault="009D586D" w:rsidP="009D586D">
      <w:pPr>
        <w:ind w:right="288"/>
        <w:rPr>
          <w:iCs/>
          <w:color w:val="23506E"/>
        </w:rPr>
      </w:pPr>
      <w:r w:rsidRPr="009D586D">
        <w:rPr>
          <w:iCs/>
          <w:color w:val="23506E"/>
        </w:rPr>
        <w:t xml:space="preserve">           </w:t>
      </w:r>
      <w:r w:rsidR="00000000" w:rsidRPr="009D586D">
        <w:rPr>
          <w:iCs/>
          <w:color w:val="23506E"/>
        </w:rPr>
        <w:t xml:space="preserve">Organization: </w:t>
      </w:r>
      <w:r w:rsidRPr="009D586D">
        <w:rPr>
          <w:iCs/>
          <w:color w:val="23506E"/>
        </w:rPr>
        <w:t>Nu Colombia</w:t>
      </w:r>
    </w:p>
    <w:p w14:paraId="0EA490F3" w14:textId="77777777" w:rsidR="009D586D" w:rsidRDefault="009D586D" w:rsidP="009D586D">
      <w:pPr>
        <w:ind w:right="288"/>
        <w:rPr>
          <w:iCs/>
          <w:color w:val="23506E"/>
        </w:rPr>
      </w:pPr>
      <w:r w:rsidRPr="009D586D">
        <w:rPr>
          <w:iCs/>
          <w:color w:val="23506E"/>
        </w:rPr>
        <w:t xml:space="preserve">          </w:t>
      </w:r>
      <w:r>
        <w:rPr>
          <w:iCs/>
          <w:color w:val="23506E"/>
        </w:rPr>
        <w:t xml:space="preserve"> </w:t>
      </w:r>
      <w:r w:rsidR="00000000" w:rsidRPr="009D586D">
        <w:rPr>
          <w:iCs/>
          <w:color w:val="23506E"/>
        </w:rPr>
        <w:t xml:space="preserve">Method/date: </w:t>
      </w:r>
      <w:r w:rsidRPr="009D586D">
        <w:rPr>
          <w:iCs/>
          <w:color w:val="23506E"/>
        </w:rPr>
        <w:t>20-minute Microsoft Teams interview, July 16, 2026</w:t>
      </w:r>
    </w:p>
    <w:p w14:paraId="4C2E2D10" w14:textId="2283ADA2" w:rsidR="009D586D" w:rsidRPr="009D586D" w:rsidRDefault="009D586D" w:rsidP="009D586D">
      <w:pPr>
        <w:ind w:right="288"/>
        <w:rPr>
          <w:iCs/>
          <w:color w:val="23506E"/>
        </w:rPr>
      </w:pPr>
      <w:r>
        <w:rPr>
          <w:iCs/>
          <w:color w:val="23506E"/>
        </w:rPr>
        <w:lastRenderedPageBreak/>
        <w:t xml:space="preserve">           </w:t>
      </w:r>
      <w:r w:rsidR="00000000" w:rsidRPr="009D586D">
        <w:rPr>
          <w:iCs/>
          <w:color w:val="23506E"/>
        </w:rPr>
        <w:t xml:space="preserve">Proposal change made from feedback: </w:t>
      </w:r>
      <w:r w:rsidRPr="009D586D">
        <w:rPr>
          <w:iCs/>
          <w:color w:val="23506E"/>
        </w:rPr>
        <w:t>Added a retention-priority view combining inactivity risk with predicted customer value, made high-demand recall Member D’s primary operational metric, and added next-day alerts with adjustable capacity thresholds.</w:t>
      </w:r>
    </w:p>
    <w:p w14:paraId="349F54B0" w14:textId="77777777" w:rsidR="00A31ABD" w:rsidRDefault="00000000">
      <w:pPr>
        <w:pStyle w:val="Heading2"/>
      </w:pPr>
      <w:r>
        <w:t>Project Goals and Success Criteria</w:t>
      </w:r>
    </w:p>
    <w:tbl>
      <w:tblPr>
        <w:tblStyle w:val="TableGrid"/>
        <w:tblW w:w="0" w:type="auto"/>
        <w:jc w:val="center"/>
        <w:tblLook w:val="04A0" w:firstRow="1" w:lastRow="0" w:firstColumn="1" w:lastColumn="0" w:noHBand="0" w:noVBand="1"/>
      </w:tblPr>
      <w:tblGrid>
        <w:gridCol w:w="4992"/>
        <w:gridCol w:w="4992"/>
      </w:tblGrid>
      <w:tr w:rsidR="00A31ABD" w14:paraId="0F921F84" w14:textId="77777777">
        <w:trPr>
          <w:jc w:val="center"/>
        </w:trPr>
        <w:tc>
          <w:tcPr>
            <w:tcW w:w="4997" w:type="dxa"/>
            <w:shd w:val="clear" w:color="auto" w:fill="14375A"/>
          </w:tcPr>
          <w:p w14:paraId="5F80C03F" w14:textId="77777777" w:rsidR="00A31ABD" w:rsidRPr="00B91BC0" w:rsidRDefault="00000000">
            <w:pPr>
              <w:rPr>
                <w:szCs w:val="21"/>
              </w:rPr>
            </w:pPr>
            <w:r w:rsidRPr="00B91BC0">
              <w:rPr>
                <w:b/>
                <w:color w:val="FFFFFF"/>
                <w:szCs w:val="21"/>
              </w:rPr>
              <w:t>Goal</w:t>
            </w:r>
          </w:p>
        </w:tc>
        <w:tc>
          <w:tcPr>
            <w:tcW w:w="4997" w:type="dxa"/>
            <w:shd w:val="clear" w:color="auto" w:fill="14375A"/>
          </w:tcPr>
          <w:p w14:paraId="695C28B2" w14:textId="77777777" w:rsidR="00A31ABD" w:rsidRPr="00B91BC0" w:rsidRDefault="00000000">
            <w:pPr>
              <w:rPr>
                <w:szCs w:val="21"/>
              </w:rPr>
            </w:pPr>
            <w:r w:rsidRPr="00B91BC0">
              <w:rPr>
                <w:b/>
                <w:color w:val="FFFFFF"/>
                <w:szCs w:val="21"/>
              </w:rPr>
              <w:t>Success evidence</w:t>
            </w:r>
          </w:p>
        </w:tc>
      </w:tr>
      <w:tr w:rsidR="00A31ABD" w14:paraId="2C5A6A26" w14:textId="77777777">
        <w:trPr>
          <w:jc w:val="center"/>
        </w:trPr>
        <w:tc>
          <w:tcPr>
            <w:tcW w:w="4997" w:type="dxa"/>
            <w:vAlign w:val="center"/>
          </w:tcPr>
          <w:p w14:paraId="73CFBF2D" w14:textId="77777777" w:rsidR="00A31ABD" w:rsidRPr="00B91BC0" w:rsidRDefault="00000000">
            <w:pPr>
              <w:rPr>
                <w:szCs w:val="21"/>
              </w:rPr>
            </w:pPr>
            <w:r w:rsidRPr="00B91BC0">
              <w:rPr>
                <w:szCs w:val="21"/>
              </w:rPr>
              <w:t>Business relevance</w:t>
            </w:r>
          </w:p>
        </w:tc>
        <w:tc>
          <w:tcPr>
            <w:tcW w:w="4997" w:type="dxa"/>
            <w:vAlign w:val="center"/>
          </w:tcPr>
          <w:p w14:paraId="03E61258" w14:textId="77777777" w:rsidR="00A31ABD" w:rsidRPr="00B91BC0" w:rsidRDefault="00000000">
            <w:pPr>
              <w:rPr>
                <w:szCs w:val="21"/>
              </w:rPr>
            </w:pPr>
            <w:r w:rsidRPr="00B91BC0">
              <w:rPr>
                <w:szCs w:val="21"/>
              </w:rPr>
              <w:t>Each model answers a named decision, identifies an owner, and produces an actionable output rather than a generic prediction.</w:t>
            </w:r>
          </w:p>
        </w:tc>
      </w:tr>
      <w:tr w:rsidR="00A31ABD" w14:paraId="554AA5E7" w14:textId="77777777">
        <w:trPr>
          <w:jc w:val="center"/>
        </w:trPr>
        <w:tc>
          <w:tcPr>
            <w:tcW w:w="4997" w:type="dxa"/>
            <w:shd w:val="clear" w:color="auto" w:fill="EAF2F7"/>
            <w:vAlign w:val="center"/>
          </w:tcPr>
          <w:p w14:paraId="23A705C7" w14:textId="77777777" w:rsidR="00A31ABD" w:rsidRPr="00B91BC0" w:rsidRDefault="00000000">
            <w:pPr>
              <w:rPr>
                <w:szCs w:val="21"/>
              </w:rPr>
            </w:pPr>
            <w:r w:rsidRPr="00B91BC0">
              <w:rPr>
                <w:szCs w:val="21"/>
              </w:rPr>
              <w:t>Predictive effectiveness</w:t>
            </w:r>
          </w:p>
        </w:tc>
        <w:tc>
          <w:tcPr>
            <w:tcW w:w="4997" w:type="dxa"/>
            <w:shd w:val="clear" w:color="auto" w:fill="EAF2F7"/>
            <w:vAlign w:val="center"/>
          </w:tcPr>
          <w:p w14:paraId="59957231" w14:textId="77777777" w:rsidR="00A31ABD" w:rsidRPr="00B91BC0" w:rsidRDefault="00000000">
            <w:pPr>
              <w:rPr>
                <w:szCs w:val="21"/>
              </w:rPr>
            </w:pPr>
            <w:r w:rsidRPr="00B91BC0">
              <w:rPr>
                <w:szCs w:val="21"/>
              </w:rPr>
              <w:t>Each workstream beats an appropriate baseline on its primary metric and reports trade-offs, not accuracy alone.</w:t>
            </w:r>
          </w:p>
        </w:tc>
      </w:tr>
      <w:tr w:rsidR="00A31ABD" w14:paraId="063D5196" w14:textId="77777777">
        <w:trPr>
          <w:jc w:val="center"/>
        </w:trPr>
        <w:tc>
          <w:tcPr>
            <w:tcW w:w="4997" w:type="dxa"/>
            <w:vAlign w:val="center"/>
          </w:tcPr>
          <w:p w14:paraId="2BCB8289" w14:textId="77777777" w:rsidR="00A31ABD" w:rsidRPr="00B91BC0" w:rsidRDefault="00000000">
            <w:pPr>
              <w:rPr>
                <w:szCs w:val="21"/>
              </w:rPr>
            </w:pPr>
            <w:r w:rsidRPr="00B91BC0">
              <w:rPr>
                <w:szCs w:val="21"/>
              </w:rPr>
              <w:t>Leakage prevention</w:t>
            </w:r>
          </w:p>
        </w:tc>
        <w:tc>
          <w:tcPr>
            <w:tcW w:w="4997" w:type="dxa"/>
            <w:vAlign w:val="center"/>
          </w:tcPr>
          <w:p w14:paraId="395B7FA9" w14:textId="77777777" w:rsidR="00A31ABD" w:rsidRPr="00B91BC0" w:rsidRDefault="00000000">
            <w:pPr>
              <w:rPr>
                <w:szCs w:val="21"/>
              </w:rPr>
            </w:pPr>
            <w:r w:rsidRPr="00B91BC0">
              <w:rPr>
                <w:szCs w:val="21"/>
              </w:rPr>
              <w:t>Features use only information available before the outcome window; preprocessing is fitted on training data only.</w:t>
            </w:r>
          </w:p>
        </w:tc>
      </w:tr>
      <w:tr w:rsidR="00A31ABD" w14:paraId="08E05080" w14:textId="77777777">
        <w:trPr>
          <w:jc w:val="center"/>
        </w:trPr>
        <w:tc>
          <w:tcPr>
            <w:tcW w:w="4997" w:type="dxa"/>
            <w:shd w:val="clear" w:color="auto" w:fill="EAF2F7"/>
            <w:vAlign w:val="center"/>
          </w:tcPr>
          <w:p w14:paraId="796F9D23" w14:textId="77777777" w:rsidR="00A31ABD" w:rsidRPr="00B91BC0" w:rsidRDefault="00000000">
            <w:pPr>
              <w:rPr>
                <w:szCs w:val="21"/>
              </w:rPr>
            </w:pPr>
            <w:r w:rsidRPr="00B91BC0">
              <w:rPr>
                <w:szCs w:val="21"/>
              </w:rPr>
              <w:t>Temporal generalization</w:t>
            </w:r>
          </w:p>
        </w:tc>
        <w:tc>
          <w:tcPr>
            <w:tcW w:w="4997" w:type="dxa"/>
            <w:shd w:val="clear" w:color="auto" w:fill="EAF2F7"/>
            <w:vAlign w:val="center"/>
          </w:tcPr>
          <w:p w14:paraId="49EC4A04" w14:textId="599960E6" w:rsidR="00A31ABD" w:rsidRPr="00B91BC0" w:rsidRDefault="00000000">
            <w:pPr>
              <w:rPr>
                <w:szCs w:val="21"/>
              </w:rPr>
            </w:pPr>
            <w:r w:rsidRPr="00B91BC0">
              <w:rPr>
                <w:szCs w:val="21"/>
              </w:rPr>
              <w:t xml:space="preserve">Training uses earlier dates and final testing uses the latest </w:t>
            </w:r>
            <w:r w:rsidR="00B91BC0" w:rsidRPr="00B91BC0">
              <w:rPr>
                <w:szCs w:val="21"/>
              </w:rPr>
              <w:t>non-overlapping</w:t>
            </w:r>
            <w:r w:rsidRPr="00B91BC0">
              <w:rPr>
                <w:szCs w:val="21"/>
              </w:rPr>
              <w:t xml:space="preserve"> period.</w:t>
            </w:r>
          </w:p>
        </w:tc>
      </w:tr>
      <w:tr w:rsidR="00A31ABD" w14:paraId="42EE7117" w14:textId="77777777">
        <w:trPr>
          <w:jc w:val="center"/>
        </w:trPr>
        <w:tc>
          <w:tcPr>
            <w:tcW w:w="4997" w:type="dxa"/>
            <w:vAlign w:val="center"/>
          </w:tcPr>
          <w:p w14:paraId="207CF832" w14:textId="77777777" w:rsidR="00A31ABD" w:rsidRPr="00B91BC0" w:rsidRDefault="00000000">
            <w:pPr>
              <w:rPr>
                <w:szCs w:val="21"/>
              </w:rPr>
            </w:pPr>
            <w:r w:rsidRPr="00B91BC0">
              <w:rPr>
                <w:szCs w:val="21"/>
              </w:rPr>
              <w:t>Interpretability</w:t>
            </w:r>
          </w:p>
        </w:tc>
        <w:tc>
          <w:tcPr>
            <w:tcW w:w="4997" w:type="dxa"/>
            <w:vAlign w:val="center"/>
          </w:tcPr>
          <w:p w14:paraId="754A6AC1" w14:textId="77777777" w:rsidR="00A31ABD" w:rsidRPr="00B91BC0" w:rsidRDefault="00000000">
            <w:pPr>
              <w:rPr>
                <w:szCs w:val="21"/>
              </w:rPr>
            </w:pPr>
            <w:r w:rsidRPr="00B91BC0">
              <w:rPr>
                <w:szCs w:val="21"/>
              </w:rPr>
              <w:t>Drivers are reported using coefficients, feature importance, SHAP where appropriate, error analysis, and segment profiles.</w:t>
            </w:r>
          </w:p>
        </w:tc>
      </w:tr>
      <w:tr w:rsidR="00A31ABD" w14:paraId="1DCF42B0" w14:textId="77777777">
        <w:trPr>
          <w:jc w:val="center"/>
        </w:trPr>
        <w:tc>
          <w:tcPr>
            <w:tcW w:w="4997" w:type="dxa"/>
            <w:shd w:val="clear" w:color="auto" w:fill="EAF2F7"/>
            <w:vAlign w:val="center"/>
          </w:tcPr>
          <w:p w14:paraId="50754650" w14:textId="77777777" w:rsidR="00A31ABD" w:rsidRPr="00B91BC0" w:rsidRDefault="00000000">
            <w:pPr>
              <w:rPr>
                <w:szCs w:val="21"/>
              </w:rPr>
            </w:pPr>
            <w:r w:rsidRPr="00B91BC0">
              <w:rPr>
                <w:szCs w:val="21"/>
              </w:rPr>
              <w:t>Scalability</w:t>
            </w:r>
          </w:p>
        </w:tc>
        <w:tc>
          <w:tcPr>
            <w:tcW w:w="4997" w:type="dxa"/>
            <w:shd w:val="clear" w:color="auto" w:fill="EAF2F7"/>
            <w:vAlign w:val="center"/>
          </w:tcPr>
          <w:p w14:paraId="3E17456D" w14:textId="77777777" w:rsidR="00A31ABD" w:rsidRPr="00B91BC0" w:rsidRDefault="00000000">
            <w:pPr>
              <w:rPr>
                <w:szCs w:val="21"/>
              </w:rPr>
            </w:pPr>
            <w:r w:rsidRPr="00B91BC0">
              <w:rPr>
                <w:szCs w:val="21"/>
              </w:rPr>
              <w:t xml:space="preserve">The team records ingestion, cleaning, </w:t>
            </w:r>
            <w:proofErr w:type="gramStart"/>
            <w:r w:rsidRPr="00B91BC0">
              <w:rPr>
                <w:szCs w:val="21"/>
              </w:rPr>
              <w:t>join</w:t>
            </w:r>
            <w:proofErr w:type="gramEnd"/>
            <w:r w:rsidRPr="00B91BC0">
              <w:rPr>
                <w:szCs w:val="21"/>
              </w:rPr>
              <w:t>, feature-engineering, training, and inference times, plus resource usage.</w:t>
            </w:r>
          </w:p>
        </w:tc>
      </w:tr>
      <w:tr w:rsidR="00A31ABD" w14:paraId="14D263E0" w14:textId="77777777">
        <w:trPr>
          <w:jc w:val="center"/>
        </w:trPr>
        <w:tc>
          <w:tcPr>
            <w:tcW w:w="4997" w:type="dxa"/>
            <w:vAlign w:val="center"/>
          </w:tcPr>
          <w:p w14:paraId="333E167B" w14:textId="77777777" w:rsidR="00A31ABD" w:rsidRPr="00B91BC0" w:rsidRDefault="00000000">
            <w:pPr>
              <w:rPr>
                <w:szCs w:val="21"/>
              </w:rPr>
            </w:pPr>
            <w:r w:rsidRPr="00B91BC0">
              <w:rPr>
                <w:szCs w:val="21"/>
              </w:rPr>
              <w:t>Usability</w:t>
            </w:r>
          </w:p>
        </w:tc>
        <w:tc>
          <w:tcPr>
            <w:tcW w:w="4997" w:type="dxa"/>
            <w:vAlign w:val="center"/>
          </w:tcPr>
          <w:p w14:paraId="6FF13D87" w14:textId="77777777" w:rsidR="00A31ABD" w:rsidRPr="00B91BC0" w:rsidRDefault="00000000">
            <w:pPr>
              <w:rPr>
                <w:szCs w:val="21"/>
              </w:rPr>
            </w:pPr>
            <w:r w:rsidRPr="00B91BC0">
              <w:rPr>
                <w:szCs w:val="21"/>
              </w:rPr>
              <w:t>Dashboard users can filter, compare, drill down, inspect model confidence, and export prioritized results.</w:t>
            </w:r>
          </w:p>
        </w:tc>
      </w:tr>
      <w:tr w:rsidR="00A31ABD" w14:paraId="7C96AB98" w14:textId="77777777">
        <w:trPr>
          <w:jc w:val="center"/>
        </w:trPr>
        <w:tc>
          <w:tcPr>
            <w:tcW w:w="4997" w:type="dxa"/>
            <w:shd w:val="clear" w:color="auto" w:fill="EAF2F7"/>
            <w:vAlign w:val="center"/>
          </w:tcPr>
          <w:p w14:paraId="664E375A" w14:textId="77777777" w:rsidR="00A31ABD" w:rsidRPr="00B91BC0" w:rsidRDefault="00000000">
            <w:pPr>
              <w:rPr>
                <w:szCs w:val="21"/>
              </w:rPr>
            </w:pPr>
            <w:r w:rsidRPr="00B91BC0">
              <w:rPr>
                <w:szCs w:val="21"/>
              </w:rPr>
              <w:t>Responsible interpretation</w:t>
            </w:r>
          </w:p>
        </w:tc>
        <w:tc>
          <w:tcPr>
            <w:tcW w:w="4997" w:type="dxa"/>
            <w:shd w:val="clear" w:color="auto" w:fill="EAF2F7"/>
            <w:vAlign w:val="center"/>
          </w:tcPr>
          <w:p w14:paraId="61AE73A0" w14:textId="77777777" w:rsidR="00A31ABD" w:rsidRPr="00B91BC0" w:rsidRDefault="00000000">
            <w:pPr>
              <w:rPr>
                <w:szCs w:val="21"/>
              </w:rPr>
            </w:pPr>
            <w:r w:rsidRPr="00B91BC0">
              <w:rPr>
                <w:szCs w:val="21"/>
              </w:rPr>
              <w:t>The report distinguishes inactivity from account closure, prediction from causation, and survey respondents from all customers.</w:t>
            </w:r>
          </w:p>
        </w:tc>
      </w:tr>
    </w:tbl>
    <w:p w14:paraId="3B41EAB1" w14:textId="77777777" w:rsidR="00A31ABD" w:rsidRDefault="00000000">
      <w:pPr>
        <w:pStyle w:val="Heading1"/>
      </w:pPr>
      <w:r>
        <w:t>Hypotheses</w:t>
      </w:r>
    </w:p>
    <w:p w14:paraId="6AD56788" w14:textId="77777777" w:rsidR="00A31ABD" w:rsidRDefault="00000000">
      <w:pPr>
        <w:pStyle w:val="Heading2"/>
      </w:pPr>
      <w:r>
        <w:t>Overall Team Hypothesis</w:t>
      </w:r>
    </w:p>
    <w:p w14:paraId="17F1C771" w14:textId="77777777" w:rsidR="00A31ABD" w:rsidRDefault="00000000">
      <w:r>
        <w:t>Historical transaction behavior, recency, engagement, product adoption, service experience, and aggregated platform activity contain sufficient predictive information to improve fintech decisions beyond naive rules and descriptive reporting. The hypothesis will be supported only if models generalize to later time periods, produce useful business-oriented metrics, and remain interpretable and scalable in the cloud environment.</w:t>
      </w:r>
    </w:p>
    <w:p w14:paraId="317CF76B" w14:textId="2E7C93FF" w:rsidR="00A31ABD" w:rsidRDefault="004E196B">
      <w:pPr>
        <w:pStyle w:val="Heading2"/>
      </w:pPr>
      <w:r>
        <w:t>Clifton</w:t>
      </w:r>
      <w:r w:rsidR="00000000">
        <w:t>: Inactivity and Retention</w:t>
      </w:r>
    </w:p>
    <w:p w14:paraId="234F5071" w14:textId="77777777" w:rsidR="00A31ABD" w:rsidRDefault="00000000">
      <w:r>
        <w:t>Hypothesis: among previously active customers, declining transaction frequency, longer recency, weaker app engagement, fewer active products, lower satisfaction, unresolved support issues, and failed transactions increase the probability of no transactions during the following 60 days.</w:t>
      </w:r>
    </w:p>
    <w:p w14:paraId="34CDB201" w14:textId="77777777" w:rsidR="00A31ABD" w:rsidRDefault="00000000">
      <w:r>
        <w:t>Verification: compare Logistic Regression, Random Forest, and Gradient Boosting/XGBoost against a simple baseline. Emphasize recall, precision, F1, PR-AUC, and recall among the top 10% or 20% highest-risk customers. A useful discovery may be that recent behavioral decline is more informative than static demographics, which would support event-triggered retention rather than broad campaigns.</w:t>
      </w:r>
    </w:p>
    <w:p w14:paraId="5232979F" w14:textId="7C466F61" w:rsidR="00A31ABD" w:rsidRDefault="004E196B">
      <w:pPr>
        <w:pStyle w:val="Heading2"/>
      </w:pPr>
      <w:r>
        <w:lastRenderedPageBreak/>
        <w:t>Evan</w:t>
      </w:r>
      <w:r w:rsidR="00000000">
        <w:t>: Future Customer Value</w:t>
      </w:r>
    </w:p>
    <w:p w14:paraId="73D9FED1" w14:textId="1FF143A0" w:rsidR="00A31ABD" w:rsidRDefault="00000000">
      <w:r>
        <w:t>Hypothesis: customers with greater historical value and frequency, wider product adoption, longer tenure, stronger app engagement, and more diverse transaction activity will generate greater total transaction value during the next 90 days.</w:t>
      </w:r>
    </w:p>
    <w:p w14:paraId="0D117C68" w14:textId="77777777" w:rsidR="00A31ABD" w:rsidRDefault="00000000">
      <w:r>
        <w:t>Verification: compare regularized linear regression with tree-based regressors, evaluate MAE, RMSE, R², and highest-value-quantile identification, and test the impact of log transformation and justified outlier treatment. A valuable insight may be that “high historical value” and “high growth potential” are not the same group, enabling distinct retention and development strategies.</w:t>
      </w:r>
    </w:p>
    <w:p w14:paraId="72DE6B95" w14:textId="1CDFE762" w:rsidR="00A31ABD" w:rsidRDefault="004E196B">
      <w:pPr>
        <w:pStyle w:val="Heading2"/>
      </w:pPr>
      <w:r>
        <w:t>Yi Ting</w:t>
      </w:r>
      <w:r>
        <w:t xml:space="preserve">: </w:t>
      </w:r>
      <w:r w:rsidR="00000000">
        <w:t>Satisfaction and Experience</w:t>
      </w:r>
    </w:p>
    <w:p w14:paraId="6F8C7B1C" w14:textId="77777777" w:rsidR="00A31ABD" w:rsidRDefault="00000000">
      <w:r>
        <w:t>Hypothesis: fewer failed transactions, more resolved support cases, stronger app engagement, broader product usage, higher app ratings, and more positive feedback are associated with higher ordered satisfaction levels. Complaint themes involving transaction failures, application problems, support delays, or product limitations will be overrepresented among dissatisfied respondents.</w:t>
      </w:r>
    </w:p>
    <w:p w14:paraId="7B5BD24F" w14:textId="77777777" w:rsidR="00A31ABD" w:rsidRDefault="00000000">
      <w:r>
        <w:t>Verification: use ordinal classification, Macro F1, weighted Cohen’s kappa, ordinal MAE, within-one-level accuracy, and complaint-topic comparisons. Direct satisfaction components and NPS are excluded from the main predictive model to prevent circular conclusions. A likely insight is that operational friction may explain dissatisfaction more strongly than customer demographics, but the analysis must test rather than assume this.</w:t>
      </w:r>
    </w:p>
    <w:p w14:paraId="0CA02BB2" w14:textId="2166B7A3" w:rsidR="00A31ABD" w:rsidRDefault="004E196B">
      <w:pPr>
        <w:pStyle w:val="Heading2"/>
      </w:pPr>
      <w:r>
        <w:t>Kang Bin</w:t>
      </w:r>
      <w:r>
        <w:t xml:space="preserve">: </w:t>
      </w:r>
      <w:r w:rsidR="00000000">
        <w:t>Platform Transaction Demand Classification</w:t>
      </w:r>
    </w:p>
    <w:p w14:paraId="0ED05D60" w14:textId="77777777" w:rsidR="00A31ABD" w:rsidRDefault="00000000">
      <w:r>
        <w:t>Hypothesis: high-demand days can be detected using recent transaction lags and trends, calendar patterns, transaction-type composition, active-customer levels, engagement, product adoption, and customer composition. Combined features will improve high-demand recall and Macro F1 over predicting the previous day’s class or the most frequent class.</w:t>
      </w:r>
    </w:p>
    <w:p w14:paraId="6A9ADF59" w14:textId="77777777" w:rsidR="00A31ABD" w:rsidRDefault="00000000">
      <w:r>
        <w:t>Verification: create next_day_demand_class using business capacity limits or training-only quantiles, then compare multinomial Logistic Regression, Decision Tree, Random Forest, Gradient Boosting, and XGBoost with walk-forward validation. An important discovery may be that calendar and lagged counts explain most demand, making a simpler model preferable if customer aggregates add little incremental value.</w:t>
      </w:r>
    </w:p>
    <w:p w14:paraId="5277515E" w14:textId="77777777" w:rsidR="00A31ABD" w:rsidRDefault="00000000">
      <w:pPr>
        <w:pStyle w:val="Heading1"/>
      </w:pPr>
      <w:r>
        <w:t>Proposed Solution</w:t>
      </w:r>
    </w:p>
    <w:p w14:paraId="46795C8A" w14:textId="77777777" w:rsidR="00A31ABD" w:rsidRDefault="00000000">
      <w:pPr>
        <w:pStyle w:val="Heading2"/>
      </w:pPr>
      <w:r>
        <w:t>Cloud Big Data Architecture</w:t>
      </w:r>
    </w:p>
    <w:p w14:paraId="38DFE85C" w14:textId="77777777" w:rsidR="00A31ABD" w:rsidRDefault="00000000">
      <w:pPr>
        <w:pStyle w:val="ListNumber"/>
      </w:pPr>
      <w:r>
        <w:t>Upload raw customer and transaction files to approved cloud object storage, preserving immutable source copies.</w:t>
      </w:r>
    </w:p>
    <w:p w14:paraId="00E1DD2E" w14:textId="77777777" w:rsidR="00A31ABD" w:rsidRDefault="00000000">
      <w:pPr>
        <w:pStyle w:val="ListNumber"/>
      </w:pPr>
      <w:r>
        <w:t>Use cloud-hosted Spark or Databricks to profile, clean, join, and aggregate millions of transaction records.</w:t>
      </w:r>
    </w:p>
    <w:p w14:paraId="73EED352" w14:textId="77777777" w:rsidR="00A31ABD" w:rsidRDefault="00000000">
      <w:pPr>
        <w:pStyle w:val="ListNumber"/>
      </w:pPr>
      <w:r>
        <w:t>Create a governed feature layer containing documented historical windows, cutoff dates, targets, and leakage checks.</w:t>
      </w:r>
    </w:p>
    <w:p w14:paraId="2C2DF80A" w14:textId="77777777" w:rsidR="00A31ABD" w:rsidRDefault="00000000">
      <w:pPr>
        <w:pStyle w:val="ListNumber"/>
      </w:pPr>
      <w:r>
        <w:t>Train and compare models using chronological splits; store metrics, parameters, features, and model versions.</w:t>
      </w:r>
    </w:p>
    <w:p w14:paraId="7A915166" w14:textId="77777777" w:rsidR="00A31ABD" w:rsidRDefault="00000000">
      <w:pPr>
        <w:pStyle w:val="ListNumber"/>
      </w:pPr>
      <w:r>
        <w:t>Write scored outputs to a query-ready analytical layer.</w:t>
      </w:r>
    </w:p>
    <w:p w14:paraId="33ECB7FB" w14:textId="77777777" w:rsidR="00A31ABD" w:rsidRDefault="00000000">
      <w:pPr>
        <w:pStyle w:val="ListNumber"/>
      </w:pPr>
      <w:r>
        <w:t>Connect an interactive dashboard to scored tables and monitored performance metrics.</w:t>
      </w:r>
    </w:p>
    <w:p w14:paraId="1B5AF0D4" w14:textId="77777777" w:rsidR="00A31ABD" w:rsidRDefault="00000000">
      <w:r>
        <w:lastRenderedPageBreak/>
        <w:t>A suitable stack is Azure Blob Storage or AWS S3, Databricks/Spark for processing, a managed model environment for training, and Power BI for visualization. The final stack should use the cloud services approved for the module. The key requirement is that data upload, processing, modeling, and result delivery occur through the cloud platform.</w:t>
      </w:r>
    </w:p>
    <w:p w14:paraId="0AD5A3ED" w14:textId="77777777" w:rsidR="00A31ABD" w:rsidRDefault="00000000">
      <w:pPr>
        <w:pStyle w:val="Heading2"/>
      </w:pPr>
      <w:r>
        <w:t>Shared Data Preparation and Governance</w:t>
      </w:r>
    </w:p>
    <w:p w14:paraId="40FE6356" w14:textId="77777777" w:rsidR="00A31ABD" w:rsidRDefault="00000000">
      <w:pPr>
        <w:pStyle w:val="ListBullet"/>
      </w:pPr>
      <w:r>
        <w:t>Validate customer_id uniqueness in customer_data.csv and referential integrity across transactions.</w:t>
      </w:r>
    </w:p>
    <w:p w14:paraId="7A35A278" w14:textId="77777777" w:rsidR="00A31ABD" w:rsidRDefault="00000000">
      <w:pPr>
        <w:pStyle w:val="ListBullet"/>
      </w:pPr>
      <w:r>
        <w:t>Confirm whether the downloaded transaction file is named transactions.csv or transactions_data.csv before coding.</w:t>
      </w:r>
    </w:p>
    <w:p w14:paraId="76A6D9B0" w14:textId="77777777" w:rsidR="00A31ABD" w:rsidRDefault="00000000">
      <w:pPr>
        <w:pStyle w:val="ListBullet"/>
      </w:pPr>
      <w:r>
        <w:t>Parse dates consistently, verify the January to December 2023 coverage, and identify missing dates.</w:t>
      </w:r>
    </w:p>
    <w:p w14:paraId="79FA3E21" w14:textId="77777777" w:rsidR="00A31ABD" w:rsidRDefault="00000000">
      <w:pPr>
        <w:pStyle w:val="ListBullet"/>
      </w:pPr>
      <w:r>
        <w:t>Convert transaction amounts to numeric COP while preserving valid zero values and documenting invalid records.</w:t>
      </w:r>
    </w:p>
    <w:p w14:paraId="102E684F" w14:textId="77777777" w:rsidR="00A31ABD" w:rsidRDefault="00000000">
      <w:pPr>
        <w:pStyle w:val="ListBullet"/>
      </w:pPr>
      <w:r>
        <w:t>Remove exact duplicates, investigate near-duplicates, and verify transaction-type categories.</w:t>
      </w:r>
    </w:p>
    <w:p w14:paraId="5F645CF7" w14:textId="77777777" w:rsidR="00A31ABD" w:rsidRDefault="00000000">
      <w:pPr>
        <w:pStyle w:val="ListBullet"/>
      </w:pPr>
      <w:r>
        <w:t>Profile missingness by field and customer group instead of applying blanket imputation.</w:t>
      </w:r>
    </w:p>
    <w:p w14:paraId="284F4766" w14:textId="77777777" w:rsidR="00A31ABD" w:rsidRDefault="00000000">
      <w:pPr>
        <w:pStyle w:val="ListBullet"/>
      </w:pPr>
      <w:r>
        <w:t>Inspect impossible and extreme amounts; compare results before and after any justified treatment.</w:t>
      </w:r>
    </w:p>
    <w:p w14:paraId="0472DB77" w14:textId="77777777" w:rsidR="00A31ABD" w:rsidRDefault="00000000">
      <w:pPr>
        <w:pStyle w:val="ListBullet"/>
      </w:pPr>
      <w:r>
        <w:t>Define common observation windows, cutoff dates, outcome windows, and feature names.</w:t>
      </w:r>
    </w:p>
    <w:p w14:paraId="455A1BAD" w14:textId="77777777" w:rsidR="00A31ABD" w:rsidRDefault="00000000">
      <w:pPr>
        <w:pStyle w:val="ListBullet"/>
      </w:pPr>
      <w:r>
        <w:t>Fit imputers, encoders, scalers, feature selectors, and target thresholds on training data only.</w:t>
      </w:r>
    </w:p>
    <w:p w14:paraId="2CE4A593" w14:textId="77777777" w:rsidR="00A31ABD" w:rsidRDefault="00000000">
      <w:pPr>
        <w:pStyle w:val="ListBullet"/>
      </w:pPr>
      <w:r>
        <w:t>Document every derived feature, its source fields, calculation, time boundary, and business meaning.</w:t>
      </w:r>
    </w:p>
    <w:p w14:paraId="5AB0B731" w14:textId="418E0DF9" w:rsidR="00A31ABD" w:rsidRDefault="00BA5963">
      <w:pPr>
        <w:pStyle w:val="Heading2"/>
      </w:pPr>
      <w:r>
        <w:t>Clifton</w:t>
      </w:r>
      <w:r>
        <w:t xml:space="preserve">’s </w:t>
      </w:r>
      <w:r w:rsidR="00000000">
        <w:t>Features and Outputs</w:t>
      </w:r>
    </w:p>
    <w:p w14:paraId="4870B4E2" w14:textId="77777777" w:rsidR="00A31ABD" w:rsidRDefault="00000000">
      <w:pPr>
        <w:pStyle w:val="ListBullet"/>
      </w:pPr>
      <w:r>
        <w:t>Target: inactive_next_60d, where 1 means no transactions in the next 60 days and 0 means at least one transaction. Include only customers active during the preceding observation period.</w:t>
      </w:r>
    </w:p>
    <w:p w14:paraId="26D81307" w14:textId="77777777" w:rsidR="00A31ABD" w:rsidRDefault="00000000">
      <w:pPr>
        <w:pStyle w:val="ListBullet"/>
      </w:pPr>
      <w:r>
        <w:t>Predictors: 7/30/90-day transaction counts, frequency change, recency, transaction value and diversity, weekend ratio, app engagement, products, tenure, satisfaction, support, failures, and location.</w:t>
      </w:r>
    </w:p>
    <w:p w14:paraId="4A5EAD9D" w14:textId="77777777" w:rsidR="00A31ABD" w:rsidRDefault="00000000">
      <w:pPr>
        <w:pStyle w:val="ListBullet"/>
      </w:pPr>
      <w:r>
        <w:t>Dashboard: risk score, risk bands, top drivers, filters, top-risk lists, intervention groups, model confidence, and performance by customer segment.</w:t>
      </w:r>
    </w:p>
    <w:p w14:paraId="2D37311C" w14:textId="77777777" w:rsidR="00A31ABD" w:rsidRDefault="00000000">
      <w:pPr>
        <w:pStyle w:val="ListBullet"/>
      </w:pPr>
      <w:r>
        <w:t>Business insight: determine whether behavioral decline, experience problems, or product disengagement provides the earliest and most actionable warning.</w:t>
      </w:r>
    </w:p>
    <w:p w14:paraId="3963C72E" w14:textId="397782CD" w:rsidR="00A31ABD" w:rsidRDefault="00BA5963">
      <w:pPr>
        <w:pStyle w:val="Heading2"/>
      </w:pPr>
      <w:r>
        <w:t>Evan’s</w:t>
      </w:r>
      <w:r w:rsidR="00000000">
        <w:t xml:space="preserve"> Features and Outputs</w:t>
      </w:r>
    </w:p>
    <w:p w14:paraId="43DCF88B" w14:textId="77777777" w:rsidR="00A31ABD" w:rsidRDefault="00000000">
      <w:pPr>
        <w:pStyle w:val="ListBullet"/>
      </w:pPr>
      <w:r>
        <w:t>Target: transaction_value_next_90d, the observable sum of each customer’s transaction amount in the outcome window. Do not use the existing estimated customer_lifetime_value as the target.</w:t>
      </w:r>
    </w:p>
    <w:p w14:paraId="0F37B541" w14:textId="77777777" w:rsidR="00A31ABD" w:rsidRDefault="00000000">
      <w:pPr>
        <w:pStyle w:val="ListBullet"/>
      </w:pPr>
      <w:r>
        <w:t>Predictors: historical count and value, frequency, value trend, diversity, recency, tenure, products, engagement, income, acquisition channel, segment, satisfaction, and location.</w:t>
      </w:r>
    </w:p>
    <w:p w14:paraId="67314066" w14:textId="77777777" w:rsidR="00A31ABD" w:rsidRDefault="00000000">
      <w:pPr>
        <w:pStyle w:val="ListBullet"/>
      </w:pPr>
      <w:r>
        <w:t>Dashboard: predicted value, value segments, actual-versus-predicted comparisons, drivers, profiles, quantile performance, and downloadable targeting lists.</w:t>
      </w:r>
    </w:p>
    <w:p w14:paraId="67807553" w14:textId="77777777" w:rsidR="00A31ABD" w:rsidRDefault="00000000">
      <w:pPr>
        <w:pStyle w:val="ListBullet"/>
      </w:pPr>
      <w:r>
        <w:t>Business insight: distinguish currently valuable customers from customers whose predicted trajectory indicates growth potential.</w:t>
      </w:r>
    </w:p>
    <w:p w14:paraId="4621DD0D" w14:textId="12BBA7DF" w:rsidR="00A31ABD" w:rsidRDefault="00BA5963">
      <w:pPr>
        <w:pStyle w:val="Heading2"/>
      </w:pPr>
      <w:r>
        <w:t>Yi Ting’s</w:t>
      </w:r>
      <w:r w:rsidR="00000000">
        <w:t xml:space="preserve"> Features and Outputs</w:t>
      </w:r>
    </w:p>
    <w:p w14:paraId="1C2A04C8" w14:textId="77777777" w:rsidR="00A31ABD" w:rsidRDefault="00000000">
      <w:pPr>
        <w:pStyle w:val="ListBullet"/>
      </w:pPr>
      <w:r>
        <w:t>Target: satisfaction_score on its natural ordered scale from 1 to 6.</w:t>
      </w:r>
    </w:p>
    <w:p w14:paraId="130623F5" w14:textId="77777777" w:rsidR="00A31ABD" w:rsidRDefault="00000000">
      <w:pPr>
        <w:pStyle w:val="ListBullet"/>
      </w:pPr>
      <w:r>
        <w:t>Predictors: failures and failure ratio, tickets and resolution ratio, app rating, sentiment, complaints, feature requests, engagement, products, tenure, transaction frequency/diversity, and location.</w:t>
      </w:r>
    </w:p>
    <w:p w14:paraId="6D9E236D" w14:textId="77777777" w:rsidR="00A31ABD" w:rsidRDefault="00000000">
      <w:pPr>
        <w:pStyle w:val="ListBullet"/>
      </w:pPr>
      <w:r>
        <w:t>NLP: standardize complaint topics, retain “no complaint recorded” as a separate state, compare topic prevalence by satisfaction, and use TF-IDF, clustering, or topic modeling where justified.</w:t>
      </w:r>
    </w:p>
    <w:p w14:paraId="66C1F9FE" w14:textId="77777777" w:rsidR="00A31ABD" w:rsidRDefault="00000000">
      <w:pPr>
        <w:pStyle w:val="ListBullet"/>
      </w:pPr>
      <w:r>
        <w:lastRenderedPageBreak/>
        <w:t>Dashboard: satisfaction distribution, ordinal predictions, confusion patterns, drivers, complaint themes, respondent coverage, dissatisfied profiles, and improvement priorities.</w:t>
      </w:r>
    </w:p>
    <w:p w14:paraId="3AA0669B" w14:textId="77777777" w:rsidR="00A31ABD" w:rsidRDefault="00000000">
      <w:pPr>
        <w:pStyle w:val="ListBullet"/>
      </w:pPr>
      <w:r>
        <w:t>Business insight: identify fixable operational or service frictions while clearly limiting claims to the survey population unless representativeness is demonstrated.</w:t>
      </w:r>
    </w:p>
    <w:p w14:paraId="368D2046" w14:textId="6CBB23AC" w:rsidR="00A31ABD" w:rsidRDefault="00BA5963">
      <w:pPr>
        <w:pStyle w:val="Heading2"/>
      </w:pPr>
      <w:r>
        <w:t>Kang Bin’s</w:t>
      </w:r>
      <w:r w:rsidR="00000000">
        <w:t xml:space="preserve"> Features and Outputs</w:t>
      </w:r>
    </w:p>
    <w:p w14:paraId="5F1C00B5" w14:textId="77777777" w:rsidR="00A31ABD" w:rsidRDefault="00000000">
      <w:pPr>
        <w:pStyle w:val="ListBullet"/>
      </w:pPr>
      <w:r>
        <w:t>Target: next_day_demand_class with low, normal, and high categories. Fit thresholds using business capacity limits or training-period quantiles only.</w:t>
      </w:r>
    </w:p>
    <w:p w14:paraId="50541371" w14:textId="77777777" w:rsidR="00A31ABD" w:rsidRDefault="00000000">
      <w:pPr>
        <w:pStyle w:val="ListBullet"/>
      </w:pPr>
      <w:r>
        <w:t>Predictors: calendar features; shifted lags and rolling counts; volume, amount, growth, and variability; historical transaction-type shares; active/new/returning customer counts; aggregated engagement, adoption, composition, and operational indicators.</w:t>
      </w:r>
    </w:p>
    <w:p w14:paraId="447AC146" w14:textId="77777777" w:rsidR="00A31ABD" w:rsidRDefault="00000000">
      <w:pPr>
        <w:pStyle w:val="ListBullet"/>
      </w:pPr>
      <w:r>
        <w:t>Dashboard: daily class probabilities, high-demand alerts, demand calendar, historical-versus-predicted results, driver explanations, transaction-type patterns, model errors, and operational recommendations.</w:t>
      </w:r>
    </w:p>
    <w:p w14:paraId="3455717F" w14:textId="77777777" w:rsidR="00A31ABD" w:rsidRDefault="00000000">
      <w:pPr>
        <w:pStyle w:val="ListBullet"/>
      </w:pPr>
      <w:r>
        <w:t>Business insight: quantify whether richer customer aggregates materially improve peak-day detection beyond calendar and recent transaction history.</w:t>
      </w:r>
    </w:p>
    <w:p w14:paraId="4CEFF186" w14:textId="77777777" w:rsidR="00A31ABD" w:rsidRDefault="00000000">
      <w:pPr>
        <w:pStyle w:val="Heading2"/>
      </w:pPr>
      <w:r>
        <w:t>Interactive Dashboard Design</w:t>
      </w:r>
    </w:p>
    <w:p w14:paraId="2C117A19" w14:textId="77777777" w:rsidR="00A31ABD" w:rsidRDefault="00000000">
      <w:r>
        <w:t>The interface will use a consistent visual hierarchy and avoid decorative charts that do not support decisions. A landing page will summarize the four workstreams, while dedicated pages will preserve analytical ownership. Filters will be synchronized only where variables are comparable. Color will communicate status consistently: high risk or high operational demand will be prominent, while uncertainty and missingness will be explicitly shown.</w:t>
      </w:r>
    </w:p>
    <w:p w14:paraId="3585D172" w14:textId="77777777" w:rsidR="00A31ABD" w:rsidRDefault="00000000">
      <w:pPr>
        <w:pStyle w:val="ListBullet"/>
      </w:pPr>
      <w:r>
        <w:t>Executive overview with headline metrics, model status, data coverage, and latest scoring period.</w:t>
      </w:r>
    </w:p>
    <w:p w14:paraId="69C0DD60" w14:textId="77777777" w:rsidR="00A31ABD" w:rsidRDefault="00000000">
      <w:pPr>
        <w:pStyle w:val="ListBullet"/>
      </w:pPr>
      <w:r>
        <w:t>Retention page with risk distribution, top-risk customers, drivers, intervention capacity controls, and top-k recall.</w:t>
      </w:r>
    </w:p>
    <w:p w14:paraId="26F99959" w14:textId="77777777" w:rsidR="00A31ABD" w:rsidRDefault="00000000">
      <w:pPr>
        <w:pStyle w:val="ListBullet"/>
      </w:pPr>
      <w:r>
        <w:t>Value page with predicted-value distribution, quantile segments, growth-potential profiles, and forecast errors.</w:t>
      </w:r>
    </w:p>
    <w:p w14:paraId="507CAD45" w14:textId="77777777" w:rsidR="00A31ABD" w:rsidRDefault="00000000">
      <w:pPr>
        <w:pStyle w:val="ListBullet"/>
      </w:pPr>
      <w:r>
        <w:t>Experience page with ordered satisfaction, response coverage, complaint themes, drivers, and subgroup comparisons.</w:t>
      </w:r>
    </w:p>
    <w:p w14:paraId="5A1003E9" w14:textId="77777777" w:rsidR="00A31ABD" w:rsidRDefault="00000000">
      <w:pPr>
        <w:pStyle w:val="ListBullet"/>
      </w:pPr>
      <w:r>
        <w:t>Operations page with demand probabilities, peak-day alerts, calendar patterns, capacity thresholds, and false-negative review.</w:t>
      </w:r>
    </w:p>
    <w:p w14:paraId="3372E54D" w14:textId="77777777" w:rsidR="00A31ABD" w:rsidRDefault="00000000">
      <w:pPr>
        <w:pStyle w:val="ListBullet"/>
      </w:pPr>
      <w:r>
        <w:t>Model governance page with training/test windows, baselines, metrics, feature freshness, runtime, and scalability results.</w:t>
      </w:r>
    </w:p>
    <w:p w14:paraId="59D384C7" w14:textId="77777777" w:rsidR="00A31ABD" w:rsidRDefault="00000000">
      <w:pPr>
        <w:pStyle w:val="Heading2"/>
      </w:pPr>
      <w:r>
        <w:t>Evaluation Plan</w:t>
      </w:r>
    </w:p>
    <w:tbl>
      <w:tblPr>
        <w:tblStyle w:val="TableGrid"/>
        <w:tblW w:w="0" w:type="auto"/>
        <w:jc w:val="center"/>
        <w:tblLook w:val="04A0" w:firstRow="1" w:lastRow="0" w:firstColumn="1" w:lastColumn="0" w:noHBand="0" w:noVBand="1"/>
      </w:tblPr>
      <w:tblGrid>
        <w:gridCol w:w="3328"/>
        <w:gridCol w:w="3328"/>
        <w:gridCol w:w="3328"/>
      </w:tblGrid>
      <w:tr w:rsidR="00A31ABD" w14:paraId="0E7C73B3" w14:textId="77777777">
        <w:trPr>
          <w:jc w:val="center"/>
        </w:trPr>
        <w:tc>
          <w:tcPr>
            <w:tcW w:w="3331" w:type="dxa"/>
            <w:shd w:val="clear" w:color="auto" w:fill="14375A"/>
          </w:tcPr>
          <w:p w14:paraId="22999CEA" w14:textId="77777777" w:rsidR="00A31ABD" w:rsidRPr="004E196B" w:rsidRDefault="00000000">
            <w:pPr>
              <w:rPr>
                <w:szCs w:val="21"/>
              </w:rPr>
            </w:pPr>
            <w:r w:rsidRPr="004E196B">
              <w:rPr>
                <w:b/>
                <w:color w:val="FFFFFF"/>
                <w:szCs w:val="21"/>
              </w:rPr>
              <w:t>Workstream</w:t>
            </w:r>
          </w:p>
        </w:tc>
        <w:tc>
          <w:tcPr>
            <w:tcW w:w="3331" w:type="dxa"/>
            <w:shd w:val="clear" w:color="auto" w:fill="14375A"/>
          </w:tcPr>
          <w:p w14:paraId="7A256F95" w14:textId="77777777" w:rsidR="00A31ABD" w:rsidRPr="004E196B" w:rsidRDefault="00000000">
            <w:pPr>
              <w:rPr>
                <w:szCs w:val="21"/>
              </w:rPr>
            </w:pPr>
            <w:r w:rsidRPr="004E196B">
              <w:rPr>
                <w:b/>
                <w:color w:val="FFFFFF"/>
                <w:szCs w:val="21"/>
              </w:rPr>
              <w:t>Primary metrics</w:t>
            </w:r>
          </w:p>
        </w:tc>
        <w:tc>
          <w:tcPr>
            <w:tcW w:w="3331" w:type="dxa"/>
            <w:shd w:val="clear" w:color="auto" w:fill="14375A"/>
          </w:tcPr>
          <w:p w14:paraId="09369846" w14:textId="77777777" w:rsidR="00A31ABD" w:rsidRPr="004E196B" w:rsidRDefault="00000000">
            <w:pPr>
              <w:rPr>
                <w:szCs w:val="21"/>
              </w:rPr>
            </w:pPr>
            <w:r w:rsidRPr="004E196B">
              <w:rPr>
                <w:b/>
                <w:color w:val="FFFFFF"/>
                <w:szCs w:val="21"/>
              </w:rPr>
              <w:t>Baseline and decision emphasis</w:t>
            </w:r>
          </w:p>
        </w:tc>
      </w:tr>
      <w:tr w:rsidR="00A31ABD" w14:paraId="0D94713E" w14:textId="77777777">
        <w:trPr>
          <w:jc w:val="center"/>
        </w:trPr>
        <w:tc>
          <w:tcPr>
            <w:tcW w:w="3331" w:type="dxa"/>
            <w:vAlign w:val="center"/>
          </w:tcPr>
          <w:p w14:paraId="576F4B54" w14:textId="1FBCAB00" w:rsidR="00A31ABD" w:rsidRPr="004E196B" w:rsidRDefault="00BA5963">
            <w:pPr>
              <w:rPr>
                <w:szCs w:val="21"/>
              </w:rPr>
            </w:pPr>
            <w:r>
              <w:rPr>
                <w:szCs w:val="21"/>
              </w:rPr>
              <w:t>Clifton</w:t>
            </w:r>
            <w:r w:rsidR="00000000" w:rsidRPr="004E196B">
              <w:rPr>
                <w:szCs w:val="21"/>
              </w:rPr>
              <w:t>: inactivity</w:t>
            </w:r>
          </w:p>
        </w:tc>
        <w:tc>
          <w:tcPr>
            <w:tcW w:w="3331" w:type="dxa"/>
            <w:vAlign w:val="center"/>
          </w:tcPr>
          <w:p w14:paraId="63A9C349" w14:textId="77777777" w:rsidR="00A31ABD" w:rsidRPr="004E196B" w:rsidRDefault="00000000">
            <w:pPr>
              <w:rPr>
                <w:szCs w:val="21"/>
              </w:rPr>
            </w:pPr>
            <w:r w:rsidRPr="004E196B">
              <w:rPr>
                <w:szCs w:val="21"/>
              </w:rPr>
              <w:t>Recall, precision, F1, PR-AUC, top-k recall</w:t>
            </w:r>
          </w:p>
        </w:tc>
        <w:tc>
          <w:tcPr>
            <w:tcW w:w="3331" w:type="dxa"/>
            <w:vAlign w:val="center"/>
          </w:tcPr>
          <w:p w14:paraId="02B5A555" w14:textId="77777777" w:rsidR="00A31ABD" w:rsidRPr="004E196B" w:rsidRDefault="00000000">
            <w:pPr>
              <w:rPr>
                <w:szCs w:val="21"/>
              </w:rPr>
            </w:pPr>
            <w:r w:rsidRPr="004E196B">
              <w:rPr>
                <w:szCs w:val="21"/>
              </w:rPr>
              <w:t>Baseline Logistic Regression or prevalence rule; balance missed at-risk customers against wasted outreach.</w:t>
            </w:r>
          </w:p>
        </w:tc>
      </w:tr>
      <w:tr w:rsidR="00A31ABD" w14:paraId="0626BDA8" w14:textId="77777777">
        <w:trPr>
          <w:jc w:val="center"/>
        </w:trPr>
        <w:tc>
          <w:tcPr>
            <w:tcW w:w="3331" w:type="dxa"/>
            <w:shd w:val="clear" w:color="auto" w:fill="EAF2F7"/>
            <w:vAlign w:val="center"/>
          </w:tcPr>
          <w:p w14:paraId="12C91652" w14:textId="35BB83E8" w:rsidR="00A31ABD" w:rsidRPr="004E196B" w:rsidRDefault="00BA5963">
            <w:pPr>
              <w:rPr>
                <w:szCs w:val="21"/>
              </w:rPr>
            </w:pPr>
            <w:r>
              <w:rPr>
                <w:szCs w:val="21"/>
              </w:rPr>
              <w:t>Evan</w:t>
            </w:r>
            <w:r w:rsidR="00000000" w:rsidRPr="004E196B">
              <w:rPr>
                <w:szCs w:val="21"/>
              </w:rPr>
              <w:t>: future value</w:t>
            </w:r>
          </w:p>
        </w:tc>
        <w:tc>
          <w:tcPr>
            <w:tcW w:w="3331" w:type="dxa"/>
            <w:shd w:val="clear" w:color="auto" w:fill="EAF2F7"/>
            <w:vAlign w:val="center"/>
          </w:tcPr>
          <w:p w14:paraId="4769F426" w14:textId="77777777" w:rsidR="00A31ABD" w:rsidRPr="004E196B" w:rsidRDefault="00000000">
            <w:pPr>
              <w:rPr>
                <w:szCs w:val="21"/>
              </w:rPr>
            </w:pPr>
            <w:r w:rsidRPr="004E196B">
              <w:rPr>
                <w:szCs w:val="21"/>
              </w:rPr>
              <w:t>MAE, RMSE, R², top-value-quantile accuracy</w:t>
            </w:r>
          </w:p>
        </w:tc>
        <w:tc>
          <w:tcPr>
            <w:tcW w:w="3331" w:type="dxa"/>
            <w:shd w:val="clear" w:color="auto" w:fill="EAF2F7"/>
            <w:vAlign w:val="center"/>
          </w:tcPr>
          <w:p w14:paraId="46C81DA9" w14:textId="77777777" w:rsidR="00A31ABD" w:rsidRPr="004E196B" w:rsidRDefault="00000000">
            <w:pPr>
              <w:rPr>
                <w:szCs w:val="21"/>
              </w:rPr>
            </w:pPr>
            <w:r w:rsidRPr="004E196B">
              <w:rPr>
                <w:szCs w:val="21"/>
              </w:rPr>
              <w:t>Baseline mean/median or linear model; prioritize useful ranking and understandable error in COP.</w:t>
            </w:r>
          </w:p>
        </w:tc>
      </w:tr>
      <w:tr w:rsidR="00A31ABD" w14:paraId="4EF48336" w14:textId="77777777">
        <w:trPr>
          <w:jc w:val="center"/>
        </w:trPr>
        <w:tc>
          <w:tcPr>
            <w:tcW w:w="3331" w:type="dxa"/>
            <w:vAlign w:val="center"/>
          </w:tcPr>
          <w:p w14:paraId="174680AB" w14:textId="1BF7277D" w:rsidR="00A31ABD" w:rsidRPr="004E196B" w:rsidRDefault="00BA5963">
            <w:pPr>
              <w:rPr>
                <w:szCs w:val="21"/>
              </w:rPr>
            </w:pPr>
            <w:r>
              <w:rPr>
                <w:szCs w:val="21"/>
              </w:rPr>
              <w:t>Yi Ting</w:t>
            </w:r>
            <w:r w:rsidR="00000000" w:rsidRPr="004E196B">
              <w:rPr>
                <w:szCs w:val="21"/>
              </w:rPr>
              <w:t>: satisfaction</w:t>
            </w:r>
          </w:p>
        </w:tc>
        <w:tc>
          <w:tcPr>
            <w:tcW w:w="3331" w:type="dxa"/>
            <w:vAlign w:val="center"/>
          </w:tcPr>
          <w:p w14:paraId="06C2E12A" w14:textId="77777777" w:rsidR="00A31ABD" w:rsidRPr="004E196B" w:rsidRDefault="00000000">
            <w:pPr>
              <w:rPr>
                <w:szCs w:val="21"/>
              </w:rPr>
            </w:pPr>
            <w:r w:rsidRPr="004E196B">
              <w:rPr>
                <w:szCs w:val="21"/>
              </w:rPr>
              <w:t>Macro F1, weighted kappa, ordinal MAE, within-one-level accuracy</w:t>
            </w:r>
          </w:p>
        </w:tc>
        <w:tc>
          <w:tcPr>
            <w:tcW w:w="3331" w:type="dxa"/>
            <w:vAlign w:val="center"/>
          </w:tcPr>
          <w:p w14:paraId="7D44AED8" w14:textId="77777777" w:rsidR="00A31ABD" w:rsidRPr="004E196B" w:rsidRDefault="00000000">
            <w:pPr>
              <w:rPr>
                <w:szCs w:val="21"/>
              </w:rPr>
            </w:pPr>
            <w:r w:rsidRPr="004E196B">
              <w:rPr>
                <w:szCs w:val="21"/>
              </w:rPr>
              <w:t>Most-frequent or standard multiclass baseline; penalize distant ordinal errors.</w:t>
            </w:r>
          </w:p>
        </w:tc>
      </w:tr>
      <w:tr w:rsidR="00A31ABD" w14:paraId="07877E8E" w14:textId="77777777">
        <w:trPr>
          <w:jc w:val="center"/>
        </w:trPr>
        <w:tc>
          <w:tcPr>
            <w:tcW w:w="3331" w:type="dxa"/>
            <w:shd w:val="clear" w:color="auto" w:fill="EAF2F7"/>
            <w:vAlign w:val="center"/>
          </w:tcPr>
          <w:p w14:paraId="155A9A71" w14:textId="40903798" w:rsidR="00A31ABD" w:rsidRPr="004E196B" w:rsidRDefault="00BA5963">
            <w:pPr>
              <w:rPr>
                <w:szCs w:val="21"/>
              </w:rPr>
            </w:pPr>
            <w:r>
              <w:rPr>
                <w:szCs w:val="21"/>
              </w:rPr>
              <w:lastRenderedPageBreak/>
              <w:t>Kang Bin</w:t>
            </w:r>
            <w:r w:rsidR="00000000" w:rsidRPr="004E196B">
              <w:rPr>
                <w:szCs w:val="21"/>
              </w:rPr>
              <w:t>: demand class</w:t>
            </w:r>
          </w:p>
        </w:tc>
        <w:tc>
          <w:tcPr>
            <w:tcW w:w="3331" w:type="dxa"/>
            <w:shd w:val="clear" w:color="auto" w:fill="EAF2F7"/>
            <w:vAlign w:val="center"/>
          </w:tcPr>
          <w:p w14:paraId="4FE3A323" w14:textId="77777777" w:rsidR="00A31ABD" w:rsidRPr="004E196B" w:rsidRDefault="00000000">
            <w:pPr>
              <w:rPr>
                <w:szCs w:val="21"/>
              </w:rPr>
            </w:pPr>
            <w:r w:rsidRPr="004E196B">
              <w:rPr>
                <w:szCs w:val="21"/>
              </w:rPr>
              <w:t xml:space="preserve">Macro/weighted F1, balanced accuracy, </w:t>
            </w:r>
            <w:proofErr w:type="gramStart"/>
            <w:r w:rsidRPr="004E196B">
              <w:rPr>
                <w:szCs w:val="21"/>
              </w:rPr>
              <w:t>high-demand</w:t>
            </w:r>
            <w:proofErr w:type="gramEnd"/>
            <w:r w:rsidRPr="004E196B">
              <w:rPr>
                <w:szCs w:val="21"/>
              </w:rPr>
              <w:t xml:space="preserve"> recall and precision</w:t>
            </w:r>
          </w:p>
        </w:tc>
        <w:tc>
          <w:tcPr>
            <w:tcW w:w="3331" w:type="dxa"/>
            <w:shd w:val="clear" w:color="auto" w:fill="EAF2F7"/>
            <w:vAlign w:val="center"/>
          </w:tcPr>
          <w:p w14:paraId="6AF6577E" w14:textId="77777777" w:rsidR="00A31ABD" w:rsidRPr="004E196B" w:rsidRDefault="00000000">
            <w:pPr>
              <w:rPr>
                <w:szCs w:val="21"/>
              </w:rPr>
            </w:pPr>
            <w:proofErr w:type="gramStart"/>
            <w:r w:rsidRPr="004E196B">
              <w:rPr>
                <w:szCs w:val="21"/>
              </w:rPr>
              <w:t>Previous-day</w:t>
            </w:r>
            <w:proofErr w:type="gramEnd"/>
            <w:r w:rsidRPr="004E196B">
              <w:rPr>
                <w:szCs w:val="21"/>
              </w:rPr>
              <w:t xml:space="preserve"> and </w:t>
            </w:r>
            <w:proofErr w:type="gramStart"/>
            <w:r w:rsidRPr="004E196B">
              <w:rPr>
                <w:szCs w:val="21"/>
              </w:rPr>
              <w:t>most-frequent</w:t>
            </w:r>
            <w:proofErr w:type="gramEnd"/>
            <w:r w:rsidRPr="004E196B">
              <w:rPr>
                <w:szCs w:val="21"/>
              </w:rPr>
              <w:t>-class baselines; prioritize avoiding missed peak days.</w:t>
            </w:r>
          </w:p>
        </w:tc>
      </w:tr>
    </w:tbl>
    <w:p w14:paraId="740EB1C6" w14:textId="77777777" w:rsidR="00A31ABD" w:rsidRDefault="00000000">
      <w:r>
        <w:t>All workstreams will include confusion or residual analysis, subgroup performance, model calibration where relevant, and comparison between simple and complex models. The selected model will not automatically be the most complex: it must show meaningful, stable improvement and remain operationally interpretable.</w:t>
      </w:r>
    </w:p>
    <w:p w14:paraId="72C6EEDD" w14:textId="77777777" w:rsidR="00A31ABD" w:rsidRDefault="00000000">
      <w:pPr>
        <w:pStyle w:val="Heading2"/>
      </w:pPr>
      <w:r>
        <w:t>Scalability and System Evaluation</w:t>
      </w:r>
    </w:p>
    <w:p w14:paraId="54C690E4" w14:textId="77777777" w:rsidR="00A31ABD" w:rsidRDefault="00000000">
      <w:pPr>
        <w:pStyle w:val="ListBullet"/>
      </w:pPr>
      <w:r>
        <w:t>Record raw upload and ingestion time, cleaning time, join time, feature-engineering time, model-training time, batch-scoring time, and dashboard refresh time.</w:t>
      </w:r>
    </w:p>
    <w:p w14:paraId="60B1575D" w14:textId="77777777" w:rsidR="00A31ABD" w:rsidRDefault="00000000">
      <w:pPr>
        <w:pStyle w:val="ListBullet"/>
      </w:pPr>
      <w:r>
        <w:t>Monitor processed row counts, memory or cluster utilization, shuffle volume where available, and output size.</w:t>
      </w:r>
    </w:p>
    <w:p w14:paraId="0E717124" w14:textId="77777777" w:rsidR="00A31ABD" w:rsidRDefault="00000000">
      <w:pPr>
        <w:pStyle w:val="ListBullet"/>
      </w:pPr>
      <w:r>
        <w:t>Test representative data fractions such as 25%, 50%, 75%, and 100% to examine runtime growth.</w:t>
      </w:r>
    </w:p>
    <w:p w14:paraId="310E2A33" w14:textId="77777777" w:rsidR="00A31ABD" w:rsidRDefault="00000000">
      <w:pPr>
        <w:pStyle w:val="ListBullet"/>
      </w:pPr>
      <w:r>
        <w:t>Compare a local or single-node baseline with distributed cloud processing where permitted.</w:t>
      </w:r>
    </w:p>
    <w:p w14:paraId="0775C23E" w14:textId="77777777" w:rsidR="00A31ABD" w:rsidRDefault="00000000">
      <w:pPr>
        <w:pStyle w:val="ListBullet"/>
      </w:pPr>
      <w:r>
        <w:t>Report whether response time and cost remain acceptable for the intended batch frequency.</w:t>
      </w:r>
    </w:p>
    <w:p w14:paraId="4BA98496" w14:textId="77777777" w:rsidR="00A31ABD" w:rsidRDefault="00000000">
      <w:pPr>
        <w:pStyle w:val="ListBullet"/>
      </w:pPr>
      <w:r>
        <w:t>Explain bottlenecks and recommend partitioning, caching, incremental aggregation, or model simplification where needed.</w:t>
      </w:r>
    </w:p>
    <w:p w14:paraId="415053F2" w14:textId="77777777" w:rsidR="00A31ABD" w:rsidRDefault="00000000">
      <w:pPr>
        <w:pStyle w:val="Heading2"/>
      </w:pPr>
      <w:r>
        <w:t>Expected Insights and Research Conclusions</w:t>
      </w:r>
    </w:p>
    <w:p w14:paraId="41B14281" w14:textId="77777777" w:rsidR="00A31ABD" w:rsidRDefault="00000000">
      <w:r>
        <w:t>The project will not predeclare model findings as facts. Instead, it will seek several decision-relevant discoveries: whether recent changes outperform static customer attributes for inactivity detection; whether future value is concentrated among already valuable customers or emerging high-potential segments; whether operational friction is a stronger satisfaction driver than demographics; and whether customer aggregates add genuine value to demand classification after recent transaction history is known.</w:t>
      </w:r>
    </w:p>
    <w:p w14:paraId="485135AA" w14:textId="77777777" w:rsidR="00A31ABD" w:rsidRDefault="00000000">
      <w:r>
        <w:t>The final conclusion will state which hypotheses were supported, partially supported, or rejected; which models generalized best; which features were consistently influential; which errors remain costly; how survey and one-year time coverage limit generalization; and whether cloud processing met the project’s scalability goals. Recommendations will be tied directly to measured evidence, not generic fintech advice.</w:t>
      </w:r>
    </w:p>
    <w:p w14:paraId="6E849CB0" w14:textId="77777777" w:rsidR="00A31ABD" w:rsidRDefault="00000000">
      <w:pPr>
        <w:pStyle w:val="Heading2"/>
      </w:pPr>
      <w:r>
        <w:t>Risks, Limitations, and Mitigations</w:t>
      </w:r>
    </w:p>
    <w:tbl>
      <w:tblPr>
        <w:tblStyle w:val="TableGrid"/>
        <w:tblW w:w="0" w:type="auto"/>
        <w:jc w:val="center"/>
        <w:tblLook w:val="04A0" w:firstRow="1" w:lastRow="0" w:firstColumn="1" w:lastColumn="0" w:noHBand="0" w:noVBand="1"/>
      </w:tblPr>
      <w:tblGrid>
        <w:gridCol w:w="4992"/>
        <w:gridCol w:w="4992"/>
      </w:tblGrid>
      <w:tr w:rsidR="00A31ABD" w14:paraId="1D2E404E" w14:textId="77777777">
        <w:trPr>
          <w:jc w:val="center"/>
        </w:trPr>
        <w:tc>
          <w:tcPr>
            <w:tcW w:w="4997" w:type="dxa"/>
            <w:shd w:val="clear" w:color="auto" w:fill="14375A"/>
          </w:tcPr>
          <w:p w14:paraId="707BF549" w14:textId="77777777" w:rsidR="00A31ABD" w:rsidRPr="004E196B" w:rsidRDefault="00000000">
            <w:pPr>
              <w:rPr>
                <w:szCs w:val="21"/>
              </w:rPr>
            </w:pPr>
            <w:r w:rsidRPr="004E196B">
              <w:rPr>
                <w:b/>
                <w:color w:val="FFFFFF"/>
                <w:szCs w:val="21"/>
              </w:rPr>
              <w:t>Risk or limitation</w:t>
            </w:r>
          </w:p>
        </w:tc>
        <w:tc>
          <w:tcPr>
            <w:tcW w:w="4997" w:type="dxa"/>
            <w:shd w:val="clear" w:color="auto" w:fill="14375A"/>
          </w:tcPr>
          <w:p w14:paraId="5E7DDA58" w14:textId="77777777" w:rsidR="00A31ABD" w:rsidRPr="004E196B" w:rsidRDefault="00000000">
            <w:pPr>
              <w:rPr>
                <w:szCs w:val="21"/>
              </w:rPr>
            </w:pPr>
            <w:r w:rsidRPr="004E196B">
              <w:rPr>
                <w:b/>
                <w:color w:val="FFFFFF"/>
                <w:szCs w:val="21"/>
              </w:rPr>
              <w:t>Mitigation</w:t>
            </w:r>
          </w:p>
        </w:tc>
      </w:tr>
      <w:tr w:rsidR="00A31ABD" w14:paraId="4C4DEACF" w14:textId="77777777">
        <w:trPr>
          <w:jc w:val="center"/>
        </w:trPr>
        <w:tc>
          <w:tcPr>
            <w:tcW w:w="4997" w:type="dxa"/>
            <w:vAlign w:val="center"/>
          </w:tcPr>
          <w:p w14:paraId="1265BE1D" w14:textId="77777777" w:rsidR="00A31ABD" w:rsidRPr="004E196B" w:rsidRDefault="00000000">
            <w:pPr>
              <w:rPr>
                <w:szCs w:val="21"/>
              </w:rPr>
            </w:pPr>
            <w:r w:rsidRPr="004E196B">
              <w:rPr>
                <w:szCs w:val="21"/>
              </w:rPr>
              <w:t>Only about one year of transactions</w:t>
            </w:r>
          </w:p>
        </w:tc>
        <w:tc>
          <w:tcPr>
            <w:tcW w:w="4997" w:type="dxa"/>
            <w:vAlign w:val="center"/>
          </w:tcPr>
          <w:p w14:paraId="643B26D7" w14:textId="77777777" w:rsidR="00A31ABD" w:rsidRPr="004E196B" w:rsidRDefault="00000000">
            <w:pPr>
              <w:rPr>
                <w:szCs w:val="21"/>
              </w:rPr>
            </w:pPr>
            <w:r w:rsidRPr="004E196B">
              <w:rPr>
                <w:szCs w:val="21"/>
              </w:rPr>
              <w:t>Use chronological and walk-forward validation; avoid claims about long-term seasonality.</w:t>
            </w:r>
          </w:p>
        </w:tc>
      </w:tr>
      <w:tr w:rsidR="00A31ABD" w14:paraId="755718BA" w14:textId="77777777">
        <w:trPr>
          <w:jc w:val="center"/>
        </w:trPr>
        <w:tc>
          <w:tcPr>
            <w:tcW w:w="4997" w:type="dxa"/>
            <w:shd w:val="clear" w:color="auto" w:fill="EAF2F7"/>
            <w:vAlign w:val="center"/>
          </w:tcPr>
          <w:p w14:paraId="6435E5D5" w14:textId="77777777" w:rsidR="00A31ABD" w:rsidRPr="004E196B" w:rsidRDefault="00000000">
            <w:pPr>
              <w:rPr>
                <w:szCs w:val="21"/>
              </w:rPr>
            </w:pPr>
            <w:r w:rsidRPr="004E196B">
              <w:rPr>
                <w:szCs w:val="21"/>
              </w:rPr>
              <w:t>Only 365-ish daily observations for Member D</w:t>
            </w:r>
          </w:p>
        </w:tc>
        <w:tc>
          <w:tcPr>
            <w:tcW w:w="4997" w:type="dxa"/>
            <w:shd w:val="clear" w:color="auto" w:fill="EAF2F7"/>
            <w:vAlign w:val="center"/>
          </w:tcPr>
          <w:p w14:paraId="02BF0608" w14:textId="77777777" w:rsidR="00A31ABD" w:rsidRPr="004E196B" w:rsidRDefault="00000000">
            <w:pPr>
              <w:rPr>
                <w:szCs w:val="21"/>
              </w:rPr>
            </w:pPr>
            <w:r w:rsidRPr="004E196B">
              <w:rPr>
                <w:szCs w:val="21"/>
              </w:rPr>
              <w:t>Prefer parsimonious models, regularization, robust walk-forward estimates, and honest uncertainty.</w:t>
            </w:r>
          </w:p>
        </w:tc>
      </w:tr>
      <w:tr w:rsidR="00A31ABD" w14:paraId="5052B571" w14:textId="77777777">
        <w:trPr>
          <w:jc w:val="center"/>
        </w:trPr>
        <w:tc>
          <w:tcPr>
            <w:tcW w:w="4997" w:type="dxa"/>
            <w:vAlign w:val="center"/>
          </w:tcPr>
          <w:p w14:paraId="295C7DC7" w14:textId="77777777" w:rsidR="00A31ABD" w:rsidRPr="004E196B" w:rsidRDefault="00000000">
            <w:pPr>
              <w:rPr>
                <w:szCs w:val="21"/>
              </w:rPr>
            </w:pPr>
            <w:r w:rsidRPr="004E196B">
              <w:rPr>
                <w:szCs w:val="21"/>
              </w:rPr>
              <w:t>Survey response is limited</w:t>
            </w:r>
          </w:p>
        </w:tc>
        <w:tc>
          <w:tcPr>
            <w:tcW w:w="4997" w:type="dxa"/>
            <w:vAlign w:val="center"/>
          </w:tcPr>
          <w:p w14:paraId="5C51FC8E" w14:textId="77777777" w:rsidR="00A31ABD" w:rsidRPr="004E196B" w:rsidRDefault="00000000">
            <w:pPr>
              <w:rPr>
                <w:szCs w:val="21"/>
              </w:rPr>
            </w:pPr>
            <w:r w:rsidRPr="004E196B">
              <w:rPr>
                <w:szCs w:val="21"/>
              </w:rPr>
              <w:t>Report valid-response count and rate, compare respondents with nonrespondents, and restrict claims.</w:t>
            </w:r>
          </w:p>
        </w:tc>
      </w:tr>
      <w:tr w:rsidR="00A31ABD" w14:paraId="6D044C6C" w14:textId="77777777">
        <w:trPr>
          <w:jc w:val="center"/>
        </w:trPr>
        <w:tc>
          <w:tcPr>
            <w:tcW w:w="4997" w:type="dxa"/>
            <w:shd w:val="clear" w:color="auto" w:fill="EAF2F7"/>
            <w:vAlign w:val="center"/>
          </w:tcPr>
          <w:p w14:paraId="1007926F" w14:textId="77777777" w:rsidR="00A31ABD" w:rsidRPr="004E196B" w:rsidRDefault="00000000">
            <w:pPr>
              <w:rPr>
                <w:szCs w:val="21"/>
              </w:rPr>
            </w:pPr>
            <w:r w:rsidRPr="004E196B">
              <w:rPr>
                <w:szCs w:val="21"/>
              </w:rPr>
              <w:t>Potential target leakage</w:t>
            </w:r>
          </w:p>
        </w:tc>
        <w:tc>
          <w:tcPr>
            <w:tcW w:w="4997" w:type="dxa"/>
            <w:shd w:val="clear" w:color="auto" w:fill="EAF2F7"/>
            <w:vAlign w:val="center"/>
          </w:tcPr>
          <w:p w14:paraId="0D8972C3" w14:textId="77777777" w:rsidR="00A31ABD" w:rsidRPr="004E196B" w:rsidRDefault="00000000">
            <w:pPr>
              <w:rPr>
                <w:szCs w:val="21"/>
              </w:rPr>
            </w:pPr>
            <w:r w:rsidRPr="004E196B">
              <w:rPr>
                <w:szCs w:val="21"/>
              </w:rPr>
              <w:t>Use explicit cutoff logic, shifted rolling windows, training-only transformations, and feature audits.</w:t>
            </w:r>
          </w:p>
        </w:tc>
      </w:tr>
      <w:tr w:rsidR="00A31ABD" w14:paraId="18219829" w14:textId="77777777">
        <w:trPr>
          <w:jc w:val="center"/>
        </w:trPr>
        <w:tc>
          <w:tcPr>
            <w:tcW w:w="4997" w:type="dxa"/>
            <w:vAlign w:val="center"/>
          </w:tcPr>
          <w:p w14:paraId="58F4C42B" w14:textId="77777777" w:rsidR="00A31ABD" w:rsidRPr="004E196B" w:rsidRDefault="00000000">
            <w:pPr>
              <w:rPr>
                <w:szCs w:val="21"/>
              </w:rPr>
            </w:pPr>
            <w:r w:rsidRPr="004E196B">
              <w:rPr>
                <w:szCs w:val="21"/>
              </w:rPr>
              <w:t>Class imbalance</w:t>
            </w:r>
          </w:p>
        </w:tc>
        <w:tc>
          <w:tcPr>
            <w:tcW w:w="4997" w:type="dxa"/>
            <w:vAlign w:val="center"/>
          </w:tcPr>
          <w:p w14:paraId="4116860E" w14:textId="77777777" w:rsidR="00A31ABD" w:rsidRPr="004E196B" w:rsidRDefault="00000000">
            <w:pPr>
              <w:rPr>
                <w:szCs w:val="21"/>
              </w:rPr>
            </w:pPr>
            <w:r w:rsidRPr="004E196B">
              <w:rPr>
                <w:szCs w:val="21"/>
              </w:rPr>
              <w:t>Use class weights or threshold tuning and report per-class metrics, especially high-demand and inactivity recall.</w:t>
            </w:r>
          </w:p>
        </w:tc>
      </w:tr>
      <w:tr w:rsidR="00A31ABD" w14:paraId="5204E081" w14:textId="77777777">
        <w:trPr>
          <w:jc w:val="center"/>
        </w:trPr>
        <w:tc>
          <w:tcPr>
            <w:tcW w:w="4997" w:type="dxa"/>
            <w:shd w:val="clear" w:color="auto" w:fill="EAF2F7"/>
            <w:vAlign w:val="center"/>
          </w:tcPr>
          <w:p w14:paraId="5BD724E6" w14:textId="77777777" w:rsidR="00A31ABD" w:rsidRPr="004E196B" w:rsidRDefault="00000000">
            <w:pPr>
              <w:rPr>
                <w:szCs w:val="21"/>
              </w:rPr>
            </w:pPr>
            <w:r w:rsidRPr="004E196B">
              <w:rPr>
                <w:szCs w:val="21"/>
              </w:rPr>
              <w:t>Prediction mistaken for causation</w:t>
            </w:r>
          </w:p>
        </w:tc>
        <w:tc>
          <w:tcPr>
            <w:tcW w:w="4997" w:type="dxa"/>
            <w:shd w:val="clear" w:color="auto" w:fill="EAF2F7"/>
            <w:vAlign w:val="center"/>
          </w:tcPr>
          <w:p w14:paraId="67AF7ABF" w14:textId="77777777" w:rsidR="00A31ABD" w:rsidRPr="004E196B" w:rsidRDefault="00000000">
            <w:pPr>
              <w:rPr>
                <w:szCs w:val="21"/>
              </w:rPr>
            </w:pPr>
            <w:r w:rsidRPr="004E196B">
              <w:rPr>
                <w:szCs w:val="21"/>
              </w:rPr>
              <w:t>Describe associations and predictive drivers; do not claim interventions will cause outcomes without experiments.</w:t>
            </w:r>
          </w:p>
        </w:tc>
      </w:tr>
      <w:tr w:rsidR="00A31ABD" w14:paraId="10817D52" w14:textId="77777777">
        <w:trPr>
          <w:jc w:val="center"/>
        </w:trPr>
        <w:tc>
          <w:tcPr>
            <w:tcW w:w="4997" w:type="dxa"/>
            <w:vAlign w:val="center"/>
          </w:tcPr>
          <w:p w14:paraId="20259D04" w14:textId="77777777" w:rsidR="00A31ABD" w:rsidRPr="004E196B" w:rsidRDefault="00000000">
            <w:pPr>
              <w:rPr>
                <w:szCs w:val="21"/>
              </w:rPr>
            </w:pPr>
            <w:r w:rsidRPr="004E196B">
              <w:rPr>
                <w:szCs w:val="21"/>
              </w:rPr>
              <w:t>Anonymized single-company data</w:t>
            </w:r>
          </w:p>
        </w:tc>
        <w:tc>
          <w:tcPr>
            <w:tcW w:w="4997" w:type="dxa"/>
            <w:vAlign w:val="center"/>
          </w:tcPr>
          <w:p w14:paraId="5E05685C" w14:textId="77777777" w:rsidR="00A31ABD" w:rsidRPr="004E196B" w:rsidRDefault="00000000">
            <w:pPr>
              <w:rPr>
                <w:szCs w:val="21"/>
              </w:rPr>
            </w:pPr>
            <w:r w:rsidRPr="004E196B">
              <w:rPr>
                <w:szCs w:val="21"/>
              </w:rPr>
              <w:t>Frame conclusions for this dataset and recommend external or future-period validation.</w:t>
            </w:r>
          </w:p>
        </w:tc>
      </w:tr>
      <w:tr w:rsidR="00A31ABD" w14:paraId="6B912CC6" w14:textId="77777777">
        <w:trPr>
          <w:jc w:val="center"/>
        </w:trPr>
        <w:tc>
          <w:tcPr>
            <w:tcW w:w="4997" w:type="dxa"/>
            <w:shd w:val="clear" w:color="auto" w:fill="EAF2F7"/>
            <w:vAlign w:val="center"/>
          </w:tcPr>
          <w:p w14:paraId="52B17BD8" w14:textId="77777777" w:rsidR="00A31ABD" w:rsidRPr="004E196B" w:rsidRDefault="00000000">
            <w:pPr>
              <w:rPr>
                <w:szCs w:val="21"/>
              </w:rPr>
            </w:pPr>
            <w:r w:rsidRPr="004E196B">
              <w:rPr>
                <w:szCs w:val="21"/>
              </w:rPr>
              <w:lastRenderedPageBreak/>
              <w:t>Privacy and fairness</w:t>
            </w:r>
          </w:p>
        </w:tc>
        <w:tc>
          <w:tcPr>
            <w:tcW w:w="4997" w:type="dxa"/>
            <w:shd w:val="clear" w:color="auto" w:fill="EAF2F7"/>
            <w:vAlign w:val="center"/>
          </w:tcPr>
          <w:p w14:paraId="7DE8EB20" w14:textId="77777777" w:rsidR="00A31ABD" w:rsidRPr="004E196B" w:rsidRDefault="00000000">
            <w:pPr>
              <w:rPr>
                <w:szCs w:val="21"/>
              </w:rPr>
            </w:pPr>
            <w:r w:rsidRPr="004E196B">
              <w:rPr>
                <w:szCs w:val="21"/>
              </w:rPr>
              <w:t>Use aggregated reporting, least-privilege cloud access, and subgroup performance checks; avoid exposing identifiable data.</w:t>
            </w:r>
          </w:p>
        </w:tc>
      </w:tr>
    </w:tbl>
    <w:p w14:paraId="3B6F9567" w14:textId="77777777" w:rsidR="00A31ABD" w:rsidRDefault="00000000">
      <w:pPr>
        <w:pStyle w:val="Heading2"/>
      </w:pPr>
      <w:r>
        <w:t>Project Deliverables</w:t>
      </w:r>
    </w:p>
    <w:p w14:paraId="42C3526E" w14:textId="77777777" w:rsidR="00A31ABD" w:rsidRDefault="00000000">
      <w:pPr>
        <w:pStyle w:val="ListBullet"/>
      </w:pPr>
      <w:r>
        <w:t>Cloud-hosted raw, cleaned, and analytical data layers.</w:t>
      </w:r>
    </w:p>
    <w:p w14:paraId="5A3E20C6" w14:textId="77777777" w:rsidR="00A31ABD" w:rsidRDefault="00000000">
      <w:pPr>
        <w:pStyle w:val="ListBullet"/>
      </w:pPr>
      <w:r>
        <w:t>Reproducible data dictionary, feature catalogue, and cutoff-window documentation.</w:t>
      </w:r>
    </w:p>
    <w:p w14:paraId="1C7C2B77" w14:textId="77777777" w:rsidR="00A31ABD" w:rsidRDefault="00000000">
      <w:pPr>
        <w:pStyle w:val="ListBullet"/>
      </w:pPr>
      <w:r>
        <w:t>Four independently evaluated machine-learning workstreams with baselines and error analysis.</w:t>
      </w:r>
    </w:p>
    <w:p w14:paraId="629C3E68" w14:textId="77777777" w:rsidR="00A31ABD" w:rsidRDefault="00000000">
      <w:pPr>
        <w:pStyle w:val="ListBullet"/>
      </w:pPr>
      <w:r>
        <w:t>Unified interactive dashboard with workstream-specific pages and governance metrics.</w:t>
      </w:r>
    </w:p>
    <w:p w14:paraId="1F13153E" w14:textId="77777777" w:rsidR="00A31ABD" w:rsidRDefault="00000000">
      <w:pPr>
        <w:pStyle w:val="ListBullet"/>
      </w:pPr>
      <w:r>
        <w:t>Scalability benchmark report covering timing, resource usage, and bottlenecks.</w:t>
      </w:r>
    </w:p>
    <w:p w14:paraId="3A22AFDC" w14:textId="77777777" w:rsidR="00A31ABD" w:rsidRDefault="00000000">
      <w:pPr>
        <w:pStyle w:val="ListBullet"/>
      </w:pPr>
      <w:r>
        <w:t>Final report stating conclusions, limitations, stakeholder feedback, and actionable recommendations.</w:t>
      </w:r>
    </w:p>
    <w:p w14:paraId="5FC15792" w14:textId="77777777" w:rsidR="00A31ABD" w:rsidRDefault="00000000">
      <w:pPr>
        <w:pStyle w:val="ListBullet"/>
      </w:pPr>
      <w:r>
        <w:t>Presentation/demo showing how a business user moves from prediction to decision.</w:t>
      </w:r>
    </w:p>
    <w:p w14:paraId="17497547" w14:textId="77777777" w:rsidR="00A31ABD" w:rsidRDefault="00000000">
      <w:pPr>
        <w:pStyle w:val="Heading2"/>
      </w:pPr>
      <w:r>
        <w:t>Data and Supporting Sources</w:t>
      </w:r>
    </w:p>
    <w:p w14:paraId="7824D438" w14:textId="77777777" w:rsidR="00A31ABD" w:rsidRDefault="00000000">
      <w:pPr>
        <w:pStyle w:val="ListBullet"/>
      </w:pPr>
      <w:r>
        <w:t>COFINFAD, Mendeley Data: https://data.mendeley.com/datasets/mhb4zn3258</w:t>
      </w:r>
    </w:p>
    <w:p w14:paraId="37EE67B9" w14:textId="77777777" w:rsidR="00A31ABD" w:rsidRDefault="00000000">
      <w:pPr>
        <w:pStyle w:val="ListBullet"/>
      </w:pPr>
      <w:r>
        <w:t>COFINFAD, Hugging Face: https://huggingface.co/datasets/luisdavidtrejosrojas/cofinfad</w:t>
      </w:r>
    </w:p>
    <w:p w14:paraId="500DF5F4" w14:textId="77777777" w:rsidR="00A31ABD" w:rsidRDefault="00000000">
      <w:pPr>
        <w:pStyle w:val="ListBullet"/>
      </w:pPr>
      <w:r>
        <w:t>Dataset research article: https://doi.org/10.1016/j.dib.2026.112484</w:t>
      </w:r>
    </w:p>
    <w:p w14:paraId="42A17200" w14:textId="77777777" w:rsidR="00A31ABD" w:rsidRDefault="00000000">
      <w:pPr>
        <w:pStyle w:val="ListBullet"/>
      </w:pPr>
      <w:r>
        <w:t>Financial Inclusion Report 2023, Superfinanciera: https://www.superfinanciera.gov.co/publicaciones/10115193/reporte-de-inclusion-financiera-2023-avances-y-retos-en-colombia/</w:t>
      </w:r>
    </w:p>
    <w:p w14:paraId="469F341B" w14:textId="77777777" w:rsidR="00A31ABD" w:rsidRDefault="00000000">
      <w:pPr>
        <w:pStyle w:val="ListBullet"/>
      </w:pPr>
      <w:r>
        <w:t>Financial Infrastructure and Payment Instruments Report 2024, Banco de la República: https://www.banrep.gov.co/en/publications-research/financial-infrastructure-payment-instruments-report/2024</w:t>
      </w:r>
    </w:p>
    <w:p w14:paraId="649EBBEF" w14:textId="77777777" w:rsidR="00A31ABD" w:rsidRDefault="00000000">
      <w:pPr>
        <w:pStyle w:val="ListBullet"/>
      </w:pPr>
      <w:r>
        <w:t>Colombia Financial Technology, U.S. International Trade Administration: https://www.trade.gov/market-intelligence/colombia-financial-technology</w:t>
      </w:r>
    </w:p>
    <w:p w14:paraId="389CAEA5" w14:textId="77777777" w:rsidR="00A31ABD" w:rsidRDefault="00000000">
      <w:pPr>
        <w:pStyle w:val="ListBullet"/>
      </w:pPr>
      <w:r>
        <w:t>Finnovista Fintech Radar Colombia: https://assets.ctfassets.net/bvz14004tu0h/2WuRBepO4liQPXYTXBFJZy/56365603e9bccbb96abf61983ee20c1f/RADAR_COLOMBIA_ENGLISH_.pdf</w:t>
      </w:r>
    </w:p>
    <w:p w14:paraId="6DE4BC37" w14:textId="77777777" w:rsidR="00A31ABD" w:rsidRDefault="00000000">
      <w:pPr>
        <w:pStyle w:val="Heading1"/>
      </w:pPr>
      <w:r>
        <w:t>Miscellaneous</w:t>
      </w:r>
    </w:p>
    <w:p w14:paraId="7B1586BC" w14:textId="04DD0C47" w:rsidR="00A31ABD" w:rsidRDefault="00000000">
      <w:r>
        <w:t xml:space="preserve">The workstreams share infrastructure but do not duplicate conclusions. </w:t>
      </w:r>
      <w:r w:rsidR="00096778">
        <w:t>Clifton</w:t>
      </w:r>
      <w:r>
        <w:t xml:space="preserve"> owns disengagement, </w:t>
      </w:r>
      <w:r w:rsidR="00096778">
        <w:t>Evan</w:t>
      </w:r>
      <w:r>
        <w:t xml:space="preserve"> owns future monetary value, </w:t>
      </w:r>
      <w:r w:rsidR="00096778">
        <w:t>Yi Ting</w:t>
      </w:r>
      <w:r>
        <w:t xml:space="preserve"> owns experience and complaint analysis, and </w:t>
      </w:r>
      <w:r w:rsidR="00096778">
        <w:t>Kang Bin</w:t>
      </w:r>
      <w:r>
        <w:t xml:space="preserve"> owns day-level operational demand classification. This division creates a coherent platform story while preserving four genuinely distinct machine-learning problems.</w:t>
      </w:r>
    </w:p>
    <w:p w14:paraId="03DEC4C6" w14:textId="2F2CB85D" w:rsidR="00A31ABD" w:rsidRPr="00096778" w:rsidRDefault="00000000" w:rsidP="00096778">
      <w:pPr>
        <w:ind w:right="288"/>
        <w:rPr>
          <w:iCs/>
        </w:rPr>
      </w:pPr>
      <w:r w:rsidRPr="00096778">
        <w:rPr>
          <w:iCs/>
        </w:rPr>
        <w:t>The Customer Intelligence Platform identifies customers at risk of disengagement, estimates their future financial value, explains the experience factors affecting satisfaction, and classifies upcoming days by expected transaction-demand level for operational planning.</w:t>
      </w:r>
    </w:p>
    <w:p w14:paraId="142F97C1" w14:textId="6A61018C" w:rsidR="00A31ABD" w:rsidRDefault="00A31ABD"/>
    <w:sectPr w:rsidR="00A31ABD"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38898" w14:textId="77777777" w:rsidR="00777325" w:rsidRDefault="00777325">
      <w:pPr>
        <w:spacing w:after="0" w:line="240" w:lineRule="auto"/>
      </w:pPr>
      <w:r>
        <w:separator/>
      </w:r>
    </w:p>
  </w:endnote>
  <w:endnote w:type="continuationSeparator" w:id="0">
    <w:p w14:paraId="09D8E732" w14:textId="77777777" w:rsidR="00777325" w:rsidRDefault="00777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5098" w14:textId="77777777" w:rsidR="00A31ABD" w:rsidRDefault="00000000">
    <w:pPr>
      <w:pStyle w:val="Footer"/>
      <w:jc w:val="center"/>
    </w:pPr>
    <w:r>
      <w:t xml:space="preserve">Page </w:t>
    </w:r>
    <w:r>
      <w:fldChar w:fldCharType="begin"/>
    </w:r>
    <w:r>
      <w:instrText>PAGE</w:instrText>
    </w:r>
    <w:r>
      <w:fldChar w:fldCharType="separate"/>
    </w:r>
    <w:r w:rsidR="009D58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561BD" w14:textId="77777777" w:rsidR="00777325" w:rsidRDefault="00777325">
      <w:pPr>
        <w:spacing w:after="0" w:line="240" w:lineRule="auto"/>
      </w:pPr>
      <w:r>
        <w:separator/>
      </w:r>
    </w:p>
  </w:footnote>
  <w:footnote w:type="continuationSeparator" w:id="0">
    <w:p w14:paraId="4A244F97" w14:textId="77777777" w:rsidR="00777325" w:rsidRDefault="00777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B7A7C" w14:textId="77777777" w:rsidR="00A31ABD" w:rsidRDefault="00000000">
    <w:pPr>
      <w:pStyle w:val="Header"/>
      <w:jc w:val="right"/>
    </w:pPr>
    <w:r>
      <w:t>CUSTOMER INTELLIGENCE PLATFORM FOR FINTECH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100289">
    <w:abstractNumId w:val="8"/>
  </w:num>
  <w:num w:numId="2" w16cid:durableId="40983220">
    <w:abstractNumId w:val="6"/>
  </w:num>
  <w:num w:numId="3" w16cid:durableId="480001318">
    <w:abstractNumId w:val="5"/>
  </w:num>
  <w:num w:numId="4" w16cid:durableId="1359888052">
    <w:abstractNumId w:val="4"/>
  </w:num>
  <w:num w:numId="5" w16cid:durableId="1016421511">
    <w:abstractNumId w:val="7"/>
  </w:num>
  <w:num w:numId="6" w16cid:durableId="483007644">
    <w:abstractNumId w:val="3"/>
  </w:num>
  <w:num w:numId="7" w16cid:durableId="1260214822">
    <w:abstractNumId w:val="2"/>
  </w:num>
  <w:num w:numId="8" w16cid:durableId="1609510351">
    <w:abstractNumId w:val="1"/>
  </w:num>
  <w:num w:numId="9" w16cid:durableId="81522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778"/>
    <w:rsid w:val="0015074B"/>
    <w:rsid w:val="00155CE2"/>
    <w:rsid w:val="0029639D"/>
    <w:rsid w:val="00326F90"/>
    <w:rsid w:val="004E196B"/>
    <w:rsid w:val="00777325"/>
    <w:rsid w:val="009D586D"/>
    <w:rsid w:val="00A31ABD"/>
    <w:rsid w:val="00AA1D8D"/>
    <w:rsid w:val="00B47730"/>
    <w:rsid w:val="00B91BC0"/>
    <w:rsid w:val="00BA59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F1986"/>
  <w14:defaultImageDpi w14:val="300"/>
  <w15:docId w15:val="{E786CEDD-9A39-479F-90ED-72F903A8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b/>
      <w:bCs/>
      <w:color w:val="14375A"/>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95F87"/>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7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3508</Words>
  <Characters>20000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Rubric-Aligned Customer Intelligence Platform for Fintech Proposal</dc:title>
  <dc:subject/>
  <dc:creator>Arturo Luna</dc:creator>
  <cp:keywords/>
  <dc:description>generated by python-docx</dc:description>
  <cp:lastModifiedBy>Clifton Chen</cp:lastModifiedBy>
  <cp:revision>6</cp:revision>
  <cp:lastPrinted>2026-07-19T14:11:00Z</cp:lastPrinted>
  <dcterms:created xsi:type="dcterms:W3CDTF">2026-07-19T14:07:00Z</dcterms:created>
  <dcterms:modified xsi:type="dcterms:W3CDTF">2026-07-19T14:14:00Z</dcterms:modified>
  <cp:category/>
</cp:coreProperties>
</file>