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body>
    <w:p>
      <w:pPr>
        <w:pStyle w:val="Heading1"/>
        <w:spacing w:before="200" w:after="120" w:line="360" w:lineRule="auto"/>
        <w:keepNext/>
      </w:pPr>
      <w:r>
        <w:t xml:space="preserve">Appendix A – Form for Submitting Project Team Organisation</w:t>
      </w:r>
    </w:p>
    <w:p>
      <w:pPr>
        <w:spacing w:before="0" w:after="120" w:line="360" w:lineRule="auto"/>
      </w:pPr>
      <w:r>
        <w:rPr>
          <w:sz w:val="20"/>
          <w:szCs w:val="20"/>
        </w:rPr>
        <w:t xml:space="preserve">(To be completed as a team)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6984"/>
      </w:tblGrid>
      <w:tr>
        <w:trPr>
          <w:jc w:val="center"/>
        </w:trPr>
        <w:tc>
          <w:tcPr>
            <w:tcW w:w="3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Module Group</w:t>
            </w:r>
          </w:p>
        </w:tc>
        <w:tc>
          <w:tcPr>
            <w:tcW w:w="69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IT3388</w:t>
            </w:r>
          </w:p>
        </w:tc>
      </w:tr>
      <w:tr>
        <w:trPr>
          <w:jc w:val="center"/>
        </w:trPr>
        <w:tc>
          <w:tcPr>
            <w:tcW w:w="3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Project Group Number</w:t>
            </w:r>
          </w:p>
        </w:tc>
        <w:tc>
          <w:tcPr>
            <w:tcW w:w="69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jc w:val="center"/>
        </w:trPr>
        <w:tc>
          <w:tcPr>
            <w:tcW w:w="3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Team Name (optional)</w:t>
            </w:r>
          </w:p>
        </w:tc>
        <w:tc>
          <w:tcPr>
            <w:tcW w:w="69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FinSight Colombia</w:t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pStyle w:val="Heading2"/>
        <w:spacing w:before="200" w:after="120" w:line="360" w:lineRule="auto"/>
        <w:keepNext/>
      </w:pPr>
      <w:r>
        <w:t xml:space="preserve"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3100"/>
        <w:gridCol w:w="1600"/>
        <w:gridCol w:w="1800"/>
        <w:gridCol w:w="2784"/>
      </w:tblGrid>
      <w:tr>
        <w:trPr>
          <w:jc w:val="center"/>
          <w:tblHeader/>
        </w:trPr>
        <w:tc>
          <w:tcPr>
            <w:tcW w:w="7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S/n</w:t>
            </w:r>
          </w:p>
        </w:tc>
        <w:tc>
          <w:tcPr>
            <w:tcW w:w="31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Name</w:t>
            </w:r>
          </w:p>
        </w:tc>
        <w:tc>
          <w:tcPr>
            <w:tcW w:w="1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Admin No.</w:t>
            </w:r>
          </w:p>
        </w:tc>
        <w:tc>
          <w:tcPr>
            <w:tcW w:w="18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Handphone</w:t>
            </w:r>
          </w:p>
        </w:tc>
        <w:tc>
          <w:tcPr>
            <w:tcW w:w="2784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Personal email</w:t>
            </w:r>
          </w:p>
        </w:tc>
      </w:tr>
      <w:tr>
        <w:trPr>
          <w:jc w:val="center"/>
        </w:trPr>
        <w:tc>
          <w:tcPr>
            <w:tcW w:w="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1*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Clifton Chen Yi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7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jc w:val="center"/>
        </w:trPr>
        <w:tc>
          <w:tcPr>
            <w:tcW w:w="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Tan Zheng Yu Evan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7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jc w:val="center"/>
        </w:trPr>
        <w:tc>
          <w:tcPr>
            <w:tcW w:w="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Lee Yi Ting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7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jc w:val="center"/>
        </w:trPr>
        <w:tc>
          <w:tcPr>
            <w:tcW w:w="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Wong Kang Bin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7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spacing w:before="0" w:after="120" w:line="360" w:lineRule="auto"/>
      </w:pPr>
      <w:r>
        <w:rPr>
          <w:sz w:val="18"/>
          <w:szCs w:val="18"/>
        </w:rPr>
        <w:t xml:space="preserve">* denotes the Team Leader</w:t>
      </w:r>
    </w:p>
    <w:p>
      <w:pPr>
        <w:spacing w:before="0" w:after="120" w:line="360" w:lineRule="auto"/>
      </w:pPr>
      <w:r>
        <w:rPr>
          <w:sz w:val="20"/>
          <w:szCs w:val="20"/>
        </w:rPr>
        <w:t xml:space="preserve">Admin numbers, handphone numbers and personal email addresses are intentionally left blank: they are personal data, and each member should enter their own before the form is submitted.</w:t>
      </w:r>
    </w:p>
    <w:p>
      <w:pPr>
        <w:pStyle w:val="Heading2"/>
        <w:spacing w:before="200" w:after="120" w:line="360" w:lineRule="auto"/>
        <w:keepNext/>
      </w:pPr>
      <w:r>
        <w:t xml:space="preserve">Workstream ownership</w:t>
      </w:r>
    </w:p>
    <w:p>
      <w:pPr>
        <w:spacing w:before="0" w:after="120" w:line="360" w:lineRule="auto"/>
      </w:pPr>
      <w:r>
        <w:t xml:space="preserve">The team shares one dataset, one cloud pipeline and one dashboard, but each member owns a distinct predictive problem, target variable and set of conclusions. This division was agreed at team formation and is reflected in the proposal (Appendix C).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0"/>
        <w:gridCol w:w="2100"/>
        <w:gridCol w:w="1300"/>
        <w:gridCol w:w="3300"/>
        <w:gridCol w:w="2284"/>
      </w:tblGrid>
      <w:tr>
        <w:trPr>
          <w:jc w:val="center"/>
          <w:tblHeader/>
        </w:trPr>
        <w:tc>
          <w:tcPr>
            <w:tcW w:w="10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Member</w:t>
            </w:r>
          </w:p>
        </w:tc>
        <w:tc>
          <w:tcPr>
            <w:tcW w:w="21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Name</w:t>
            </w:r>
          </w:p>
        </w:tc>
        <w:tc>
          <w:tcPr>
            <w:tcW w:w="13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Role</w:t>
            </w:r>
          </w:p>
        </w:tc>
        <w:tc>
          <w:tcPr>
            <w:tcW w:w="33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Workstream owned</w:t>
            </w:r>
          </w:p>
        </w:tc>
        <w:tc>
          <w:tcPr>
            <w:tcW w:w="2284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  <w:b/>
                <w:color w:val="FFFFFF"/>
              </w:rPr>
              <w:t xml:space="preserve">Target variable</w:t>
            </w:r>
          </w:p>
        </w:tc>
      </w:tr>
      <w:tr>
        <w:trPr>
          <w:jc w:val="center"/>
        </w:trPr>
        <w:tc>
          <w:tcPr>
            <w:tcW w:w="1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Member A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Clifton Chen Yi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Team Leader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Inactivity risk &amp; retention prioritisation</w:t>
            </w:r>
          </w:p>
        </w:tc>
        <w:tc>
          <w:tcPr>
            <w:tcW w:w="2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inactive_next_60d (binary)</w:t>
            </w:r>
          </w:p>
        </w:tc>
      </w:tr>
      <w:tr>
        <w:trPr>
          <w:jc w:val="center"/>
        </w:trPr>
        <w:tc>
          <w:tcPr>
            <w:tcW w:w="1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Member B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Tan Zheng Yu Evan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Member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Future customer value (90-day transaction value)</w:t>
            </w:r>
          </w:p>
        </w:tc>
        <w:tc>
          <w:tcPr>
            <w:tcW w:w="2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transaction_value_next_90d (continuous)</w:t>
            </w:r>
          </w:p>
        </w:tc>
      </w:tr>
      <w:tr>
        <w:trPr>
          <w:jc w:val="center"/>
        </w:trPr>
        <w:tc>
          <w:tcPr>
            <w:tcW w:w="1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Member C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Lee Yi Ting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Member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Satisfaction, experience &amp; complaint NLP</w:t>
            </w:r>
          </w:p>
        </w:tc>
        <w:tc>
          <w:tcPr>
            <w:tcW w:w="2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satisfaction_score (ordinal, 1–6)</w:t>
            </w:r>
          </w:p>
        </w:tc>
      </w:tr>
      <w:tr>
        <w:trPr>
          <w:jc w:val="center"/>
        </w:trPr>
        <w:tc>
          <w:tcPr>
            <w:tcW w:w="1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Member D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Wong Kang Bin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Member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Next-day transaction-demand classification</w:t>
            </w:r>
          </w:p>
        </w:tc>
        <w:tc>
          <w:tcPr>
            <w:tcW w:w="2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next_day_demand_class (low / normal / high)</w:t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pStyle w:val="Heading2"/>
        <w:spacing w:before="200" w:after="120" w:line="360" w:lineRule="auto"/>
        <w:keepNext/>
      </w:pPr>
      <w:r>
        <w:t xml:space="preserve">Agreed ways of working</w:t>
      </w:r>
    </w:p>
    <w:p>
      <w:pPr>
        <w:pStyle w:val="ListBullet"/>
        <w:spacing w:before="0" w:after="60" w:line="360" w:lineRule="auto"/>
      </w:pPr>
      <w:r>
        <w:rPr>
          <w:b/>
        </w:rPr>
        <w:t xml:space="preserve">Weekly team meeting</w:t>
      </w:r>
      <w:r>
        <w:t xml:space="preserve"> during the practical slot, with progress captured in the Blackboard Group Blog by the team leader (Appendix B).</w:t>
      </w:r>
    </w:p>
    <w:p>
      <w:pPr>
        <w:pStyle w:val="ListBullet"/>
        <w:spacing w:before="0" w:after="60" w:line="360" w:lineRule="auto"/>
      </w:pPr>
      <w:r>
        <w:rPr>
          <w:b/>
        </w:rPr>
        <w:t xml:space="preserve">Shared preprocessing is written once.</w:t>
      </w:r>
      <w:r>
        <w:t xml:space="preserve"> The deduplication rule, the excluded-column list and the cutoff-date convention are agreed by all four members before any member engineers features, so no two workstreams clean the same field differently.</w:t>
      </w:r>
    </w:p>
    <w:p>
      <w:pPr>
        <w:pStyle w:val="ListBullet"/>
        <w:spacing w:before="0" w:after="60" w:line="360" w:lineRule="auto"/>
      </w:pPr>
      <w:r>
        <w:rPr>
          <w:b/>
        </w:rPr>
        <w:t xml:space="preserve">Separate conclusions.</w:t>
      </w:r>
      <w:r>
        <w:t xml:space="preserve"> Members may reuse each other's cleaned tables but must not reuse each other's targets, metrics or findings.</w:t>
      </w:r>
    </w:p>
    <w:p>
      <w:pPr>
        <w:pStyle w:val="ListBullet"/>
        <w:spacing w:before="0" w:after="60" w:line="360" w:lineRule="auto"/>
      </w:pPr>
      <w:r>
        <w:rPr>
          <w:b/>
        </w:rPr>
        <w:t xml:space="preserve">Notebook integration.</w:t>
      </w:r>
      <w:r>
        <w:t xml:space="preserve"> Each member owns one implementation notebook with a consistent section structure, so the notebooks can be integrated for the final submission.</w:t>
      </w:r>
    </w:p>
    <w:p>
      <w:pPr>
        <w:pStyle w:val="ListBullet"/>
        <w:spacing w:before="0" w:after="60" w:line="360" w:lineRule="auto"/>
      </w:pPr>
      <w:r>
        <w:rPr>
          <w:b/>
        </w:rPr>
        <w:t xml:space="preserve">Escalation.</w:t>
      </w:r>
      <w:r>
        <w:t xml:space="preserve"> Blockers are raised in the weekly meeting; anything that threatens a milestone is escalated to the supervisor by the team leader within the same week.</w:t>
      </w:r>
    </w:p>
    <w:sectPr>
      <w:headerReference w:type="default" r:id="rId8"/>
      <w:footerReference w:type="default" r:id="rId9"/>
      <w:pgSz w:w="12240" w:h="15840"/>
      <w:pgMar w:top="1080" w:right="1123" w:bottom="1080" w:left="1123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8898" w14:textId="77777777" w:rsidR="00777325" w:rsidRDefault="00777325">
      <w:pPr>
        <w:spacing w:after="0" w:line="240" w:lineRule="auto"/>
      </w:pPr>
      <w:r>
        <w:separator/>
      </w:r>
    </w:p>
  </w:endnote>
  <w:endnote w:type="continuationSeparator" w:id="0">
    <w:p w14:paraId="09D8E732" w14:textId="77777777" w:rsidR="00777325" w:rsidRDefault="00777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p>
    <w:pPr>
      <w:pStyle w:val="Footer"/>
      <w:tabs>
        <w:tab w:val="right" w:pos="9639"/>
      </w:tabs>
      <w:spacing w:after="0"/>
    </w:pPr>
    <w:r>
      <w:rPr>
        <w:sz w:val="16"/>
        <w:szCs w:val="16"/>
        <w:color w:val="44546A"/>
      </w:rPr>
      <w:t xml:space="preserve">IT3388 Group 2 — FinSight Colombia</w:t>
    </w:r>
    <w:r>
      <w:rPr>
        <w:sz w:val="16"/>
        <w:szCs w:val="16"/>
        <w:color w:val="44546A"/>
      </w:rPr>
      <w:tab/>
      <w:t xml:space="preserve">Page </w:t>
    </w:r>
    <w:r>
      <w:rPr>
        <w:sz w:val="16"/>
        <w:szCs w:val="16"/>
        <w:color w:val="44546A"/>
      </w:rPr>
      <w:fldChar w:fldCharType="begin"/>
    </w:r>
    <w:r>
      <w:rPr>
        <w:sz w:val="16"/>
        <w:szCs w:val="16"/>
        <w:color w:val="44546A"/>
      </w:rPr>
      <w:instrText xml:space="preserve"> PAGE </w:instrText>
    </w:r>
    <w:r>
      <w:rPr>
        <w:sz w:val="16"/>
        <w:szCs w:val="16"/>
        <w:color w:val="44546A"/>
      </w:rPr>
      <w:fldChar w:fldCharType="separate"/>
    </w:r>
    <w:r>
      <w:rPr>
        <w:sz w:val="16"/>
        <w:szCs w:val="16"/>
        <w:color w:val="44546A"/>
      </w:rPr>
      <w:t>1</w:t>
    </w:r>
    <w:r>
      <w:rPr>
        <w:sz w:val="16"/>
        <w:szCs w:val="16"/>
        <w:color w:val="44546A"/>
      </w:rPr>
      <w:fldChar w:fldCharType="end"/>
    </w:r>
    <w:r>
      <w:rPr>
        <w:sz w:val="16"/>
        <w:szCs w:val="16"/>
        <w:color w:val="44546A"/>
      </w:rPr>
      <w:t xml:space="preserve"> of </w:t>
    </w:r>
    <w:r>
      <w:rPr>
        <w:sz w:val="16"/>
        <w:szCs w:val="16"/>
        <w:color w:val="44546A"/>
      </w:rPr>
      <w:fldChar w:fldCharType="begin"/>
    </w:r>
    <w:r>
      <w:rPr>
        <w:sz w:val="16"/>
        <w:szCs w:val="16"/>
        <w:color w:val="44546A"/>
      </w:rPr>
      <w:instrText xml:space="preserve"> NUMPAGES </w:instrText>
    </w:r>
    <w:r>
      <w:rPr>
        <w:sz w:val="16"/>
        <w:szCs w:val="16"/>
        <w:color w:val="44546A"/>
      </w:rPr>
      <w:fldChar w:fldCharType="separate"/>
    </w:r>
    <w:r>
      <w:rPr>
        <w:sz w:val="16"/>
        <w:szCs w:val="16"/>
        <w:color w:val="44546A"/>
      </w:rPr>
      <w:t>1</w:t>
    </w:r>
    <w:r>
      <w:rPr>
        <w:sz w:val="16"/>
        <w:szCs w:val="16"/>
        <w:color w:val="44546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61BD" w14:textId="77777777" w:rsidR="00777325" w:rsidRDefault="00777325">
      <w:pPr>
        <w:spacing w:after="0" w:line="240" w:lineRule="auto"/>
      </w:pPr>
      <w:r>
        <w:separator/>
      </w:r>
    </w:p>
  </w:footnote>
  <w:footnote w:type="continuationSeparator" w:id="0">
    <w:p w14:paraId="4A244F97" w14:textId="77777777" w:rsidR="00777325" w:rsidRDefault="00777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p>
    <w:pPr>
      <w:pStyle w:val="Header"/>
      <w:pBdr/>
      <w:spacing w:after="0"/>
    </w:pPr>
    <w:r>
      <w:rPr>
        <w:sz w:val="16"/>
        <w:szCs w:val="16"/>
        <w:color w:val="44546A"/>
      </w:rPr>
      <w:t xml:space="preserve">Customer Intelligence Platform for Fintech — Appendix A: Project Team Organisation</w:t>
    </w:r>
  </w:p>
  <w:p>
    <w:pPr>
      <w:pStyle w:val="Header"/>
      <w:pBdr>
        <w:bottom w:val="single" w:sz="4" w:space="1" w:color="14375A"/>
      </w:pBdr>
      <w:spacing w:after="0"/>
    </w:pPr>
    <w:r>
      <w:rPr>
        <w:sz w:val="16"/>
        <w:szCs w:val="16"/>
        <w:color w:val="44546A"/>
      </w:rPr>
      <w:t xml:space="preserve">APPENDIX A – PROJECT TEAM ORGANISATION.docx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100289">
    <w:abstractNumId w:val="8"/>
  </w:num>
  <w:num w:numId="2" w16cid:durableId="40983220">
    <w:abstractNumId w:val="6"/>
  </w:num>
  <w:num w:numId="3" w16cid:durableId="480001318">
    <w:abstractNumId w:val="5"/>
  </w:num>
  <w:num w:numId="4" w16cid:durableId="1359888052">
    <w:abstractNumId w:val="4"/>
  </w:num>
  <w:num w:numId="5" w16cid:durableId="1016421511">
    <w:abstractNumId w:val="7"/>
  </w:num>
  <w:num w:numId="6" w16cid:durableId="483007644">
    <w:abstractNumId w:val="3"/>
  </w:num>
  <w:num w:numId="7" w16cid:durableId="1260214822">
    <w:abstractNumId w:val="2"/>
  </w:num>
  <w:num w:numId="8" w16cid:durableId="1609510351">
    <w:abstractNumId w:val="1"/>
  </w:num>
  <w:num w:numId="9" w16cid:durableId="81522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778"/>
    <w:rsid w:val="0015074B"/>
    <w:rsid w:val="00155CE2"/>
    <w:rsid w:val="0029639D"/>
    <w:rsid w:val="00326F90"/>
    <w:rsid w:val="004E196B"/>
    <w:rsid w:val="00777325"/>
    <w:rsid w:val="009D586D"/>
    <w:rsid w:val="00A31ABD"/>
    <w:rsid w:val="00AA1D8D"/>
    <w:rsid w:val="00B47730"/>
    <w:rsid w:val="00B91BC0"/>
    <w:rsid w:val="00BA59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F1986"/>
  <w14:defaultImageDpi w14:val="300"/>
  <w15:docId w15:val="{E786CEDD-9A39-479F-90ED-72F903A8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1437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95F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3508</Words>
  <Characters>20000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 – PROJECT TEAM ORGANISATION</dc:title>
  <dc:subject/>
  <dc:creator>Arturo Luna</dc:creator>
  <cp:keywords/>
  <dc:description>generated by python-docx</dc:description>
  <cp:lastModifiedBy>Clifton Chen</cp:lastModifiedBy>
  <cp:revision>6</cp:revision>
  <cp:lastPrinted>2026-07-19T14:11:00Z</cp:lastPrinted>
  <dcterms:created xsi:type="dcterms:W3CDTF">2026-07-19T14:07:00Z</dcterms:created>
  <dcterms:modified xsi:type="dcterms:W3CDTF">2026-07-19T14:14:00Z</dcterms:modified>
  <cp:category/>
</cp:coreProperties>
</file>