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w:body>
    <w:p>
      <w:pPr>
        <w:pStyle w:val="Heading1"/>
        <w:spacing w:before="200" w:after="120" w:line="360" w:lineRule="auto"/>
        <w:keepNext/>
      </w:pPr>
      <w:r>
        <w:t xml:space="preserve">Appendix B – Weekly Progress Updates</w:t>
      </w:r>
    </w:p>
    <w:p>
      <w:pPr>
        <w:spacing w:before="0" w:after="120" w:line="360" w:lineRule="auto"/>
      </w:pPr>
      <w:r>
        <w:rPr>
          <w:sz w:val="20"/>
          <w:szCs w:val="20"/>
        </w:rPr>
        <w:t xml:space="preserve">(To be completed as a team in the Blackboard Group Blog)</w:t>
      </w:r>
    </w:p>
    <w:p>
      <w:pPr>
        <w:spacing w:before="0" w:after="120" w:line="360" w:lineRule="auto"/>
      </w:pPr>
      <w:r>
        <w:t xml:space="preserve">This document is the consolidated record of the weekly team and progress update meetings. Each entry below is posted to the Blackboard Group Blog in the format prescribed by the project guide; this file keeps them together so the supervisor and the team can see the whole trajectory in one place. Weeks marked </w:t>
      </w:r>
      <w:r>
        <w:rPr>
          <w:b/>
        </w:rPr>
        <w:t xml:space="preserve">Planned</w:t>
      </w:r>
      <w:r>
        <w:t xml:space="preserve"> are the agreed forward plan, not work already done.</w:t>
      </w:r>
    </w:p>
    <w:tbl>
      <w:tblPr>
        <w:tblStyle w:val="TableGrid"/>
        <w:tblW w:w="0" w:type="auto"/>
        <w:jc w:val="center"/>
        <w:tblLook w:val="04A0" w:firstRow="1" w:lastRow="0" w:firstColumn="1" w:lastColumn="0" w:noHBand="0" w:noVBand="1"/>
      </w:tblPr>
      <w:tblGrid>
        <w:gridCol w:w="3000"/>
        <w:gridCol w:w="6984"/>
      </w:tblGrid>
      <w:tr>
        <w:trPr>
          <w:jc w:val="center"/>
        </w:trPr>
        <w:tc>
          <w:tcPr>
            <w:tcW w:w="3000" w:type="dxa"/>
            <w:vAlign w:val="center"/>
          </w:tcPr>
          <w:p>
            <w:pPr>
              <w:spacing w:before="40" w:after="40" w:line="240" w:lineRule="auto"/>
            </w:pPr>
            <w:r>
              <w:rPr>
                <w:sz w:val="18"/>
                <w:szCs w:val="18"/>
              </w:rPr>
              <w:t xml:space="preserve">Module Group</w:t>
            </w:r>
          </w:p>
        </w:tc>
        <w:tc>
          <w:tcPr>
            <w:tcW w:w="6984" w:type="dxa"/>
            <w:vAlign w:val="center"/>
          </w:tcPr>
          <w:p>
            <w:pPr>
              <w:spacing w:before="40" w:after="40" w:line="240" w:lineRule="auto"/>
            </w:pPr>
            <w:r>
              <w:rPr>
                <w:sz w:val="18"/>
                <w:szCs w:val="18"/>
              </w:rPr>
              <w:t xml:space="preserve">IT3388</w:t>
            </w:r>
          </w:p>
        </w:tc>
      </w:tr>
      <w:tr>
        <w:trPr>
          <w:jc w:val="center"/>
        </w:trPr>
        <w:tc>
          <w:tcPr>
            <w:tcW w:w="3000" w:type="dxa"/>
            <w:vAlign w:val="center"/>
          </w:tcPr>
          <w:p>
            <w:pPr>
              <w:spacing w:before="40" w:after="40" w:line="240" w:lineRule="auto"/>
            </w:pPr>
            <w:r>
              <w:rPr>
                <w:sz w:val="18"/>
                <w:szCs w:val="18"/>
              </w:rPr>
              <w:t xml:space="preserve">Project Group Number</w:t>
            </w:r>
          </w:p>
        </w:tc>
        <w:tc>
          <w:tcPr>
            <w:tcW w:w="6984" w:type="dxa"/>
            <w:vAlign w:val="center"/>
          </w:tcPr>
          <w:p>
            <w:pPr>
              <w:spacing w:before="40" w:after="40" w:line="240" w:lineRule="auto"/>
            </w:pPr>
            <w:r>
              <w:rPr>
                <w:sz w:val="18"/>
                <w:szCs w:val="18"/>
              </w:rPr>
              <w:t xml:space="preserve">2</w:t>
            </w:r>
          </w:p>
        </w:tc>
      </w:tr>
      <w:tr>
        <w:trPr>
          <w:jc w:val="center"/>
        </w:trPr>
        <w:tc>
          <w:tcPr>
            <w:tcW w:w="3000" w:type="dxa"/>
            <w:vAlign w:val="center"/>
          </w:tcPr>
          <w:p>
            <w:pPr>
              <w:spacing w:before="40" w:after="40" w:line="240" w:lineRule="auto"/>
            </w:pPr>
            <w:r>
              <w:rPr>
                <w:sz w:val="18"/>
                <w:szCs w:val="18"/>
              </w:rPr>
              <w:t xml:space="preserve">Team Name</w:t>
            </w:r>
          </w:p>
        </w:tc>
        <w:tc>
          <w:tcPr>
            <w:tcW w:w="6984" w:type="dxa"/>
            <w:vAlign w:val="center"/>
          </w:tcPr>
          <w:p>
            <w:pPr>
              <w:spacing w:before="40" w:after="40" w:line="240" w:lineRule="auto"/>
            </w:pPr>
            <w:r>
              <w:rPr>
                <w:sz w:val="18"/>
                <w:szCs w:val="18"/>
              </w:rPr>
              <w:t xml:space="preserve">FinSight Colombia</w:t>
            </w:r>
          </w:p>
        </w:tc>
      </w:tr>
      <w:tr>
        <w:trPr>
          <w:jc w:val="center"/>
        </w:trPr>
        <w:tc>
          <w:tcPr>
            <w:tcW w:w="3000" w:type="dxa"/>
            <w:vAlign w:val="center"/>
          </w:tcPr>
          <w:p>
            <w:pPr>
              <w:spacing w:before="40" w:after="40" w:line="240" w:lineRule="auto"/>
            </w:pPr>
            <w:r>
              <w:rPr>
                <w:sz w:val="18"/>
                <w:szCs w:val="18"/>
              </w:rPr>
              <w:t xml:space="preserve">Team Leader</w:t>
            </w:r>
          </w:p>
        </w:tc>
        <w:tc>
          <w:tcPr>
            <w:tcW w:w="6984" w:type="dxa"/>
            <w:vAlign w:val="center"/>
          </w:tcPr>
          <w:p>
            <w:pPr>
              <w:spacing w:before="40" w:after="40" w:line="240" w:lineRule="auto"/>
            </w:pPr>
            <w:r>
              <w:rPr>
                <w:sz w:val="18"/>
                <w:szCs w:val="18"/>
              </w:rPr>
              <w:t xml:space="preserve">Clifton Chen Yi</w:t>
            </w:r>
          </w:p>
        </w:tc>
      </w:tr>
    </w:tbl>
    <w:p>
      <w:pPr>
        <w:spacing w:before="0" w:after="60" w:line="360" w:lineRule="auto"/>
      </w:pPr>
      <w:r>
        <w:t xml:space="preserve"/>
      </w:r>
    </w:p>
    <w:p>
      <w:pPr>
        <w:pStyle w:val="Heading2"/>
        <w:spacing w:before="200" w:after="120" w:line="360" w:lineRule="auto"/>
        <w:keepNext/>
      </w:pPr>
      <w:r>
        <w:t xml:space="preserve">Gantt chart</w:t>
      </w:r>
    </w:p>
    <w:p>
      <w:pPr>
        <w:spacing w:before="0" w:after="120" w:line="360" w:lineRule="auto"/>
      </w:pPr>
      <w:r>
        <w:t xml:space="preserve">Weeks 11–18. ■ = scheduled work. The chart is revised at each weekly meeting; the version below is current as at week 15.</w:t>
      </w:r>
    </w:p>
    <w:tbl>
      <w:tblPr>
        <w:tblStyle w:val="TableGrid"/>
        <w:tblW w:w="0" w:type="auto"/>
        <w:jc w:val="center"/>
        <w:tblLook w:val="04A0" w:firstRow="1" w:lastRow="0" w:firstColumn="1" w:lastColumn="0" w:noHBand="0" w:noVBand="1"/>
      </w:tblPr>
      <w:tblGrid>
        <w:gridCol w:w="3584"/>
        <w:gridCol w:w="800"/>
        <w:gridCol w:w="800"/>
        <w:gridCol w:w="800"/>
        <w:gridCol w:w="800"/>
        <w:gridCol w:w="800"/>
        <w:gridCol w:w="800"/>
        <w:gridCol w:w="800"/>
        <w:gridCol w:w="800"/>
      </w:tblGrid>
      <w:tr>
        <w:trPr>
          <w:jc w:val="center"/>
          <w:tblHeader/>
        </w:trPr>
        <w:tc>
          <w:tcPr>
            <w:tcW w:w="3584" w:type="dxa"/>
            <w:shd w:val="clear" w:color="auto" w:fill="14375A"/>
            <w:vAlign w:val="center"/>
          </w:tcPr>
          <w:p>
            <w:pPr>
              <w:spacing w:before="40" w:after="40" w:line="240" w:lineRule="auto"/>
            </w:pPr>
            <w:r>
              <w:rPr>
                <w:sz w:val="16"/>
                <w:szCs w:val="16"/>
                <w:b/>
                <w:color w:val="FFFFFF"/>
              </w:rPr>
              <w:t xml:space="preserve">Task</w:t>
            </w:r>
          </w:p>
        </w:tc>
        <w:tc>
          <w:tcPr>
            <w:tcW w:w="800" w:type="dxa"/>
            <w:shd w:val="clear" w:color="auto" w:fill="14375A"/>
            <w:vAlign w:val="center"/>
          </w:tcPr>
          <w:p>
            <w:pPr>
              <w:spacing w:before="40" w:after="40" w:line="240" w:lineRule="auto"/>
            </w:pPr>
            <w:r>
              <w:rPr>
                <w:sz w:val="16"/>
                <w:szCs w:val="16"/>
                <w:b/>
                <w:color w:val="FFFFFF"/>
              </w:rPr>
              <w:t xml:space="preserve">W11</w:t>
            </w:r>
          </w:p>
        </w:tc>
        <w:tc>
          <w:tcPr>
            <w:tcW w:w="800" w:type="dxa"/>
            <w:shd w:val="clear" w:color="auto" w:fill="14375A"/>
            <w:vAlign w:val="center"/>
          </w:tcPr>
          <w:p>
            <w:pPr>
              <w:spacing w:before="40" w:after="40" w:line="240" w:lineRule="auto"/>
            </w:pPr>
            <w:r>
              <w:rPr>
                <w:sz w:val="16"/>
                <w:szCs w:val="16"/>
                <w:b/>
                <w:color w:val="FFFFFF"/>
              </w:rPr>
              <w:t xml:space="preserve">W12</w:t>
            </w:r>
          </w:p>
        </w:tc>
        <w:tc>
          <w:tcPr>
            <w:tcW w:w="800" w:type="dxa"/>
            <w:shd w:val="clear" w:color="auto" w:fill="14375A"/>
            <w:vAlign w:val="center"/>
          </w:tcPr>
          <w:p>
            <w:pPr>
              <w:spacing w:before="40" w:after="40" w:line="240" w:lineRule="auto"/>
            </w:pPr>
            <w:r>
              <w:rPr>
                <w:sz w:val="16"/>
                <w:szCs w:val="16"/>
                <w:b/>
                <w:color w:val="FFFFFF"/>
              </w:rPr>
              <w:t xml:space="preserve">W13</w:t>
            </w:r>
          </w:p>
        </w:tc>
        <w:tc>
          <w:tcPr>
            <w:tcW w:w="800" w:type="dxa"/>
            <w:shd w:val="clear" w:color="auto" w:fill="14375A"/>
            <w:vAlign w:val="center"/>
          </w:tcPr>
          <w:p>
            <w:pPr>
              <w:spacing w:before="40" w:after="40" w:line="240" w:lineRule="auto"/>
            </w:pPr>
            <w:r>
              <w:rPr>
                <w:sz w:val="16"/>
                <w:szCs w:val="16"/>
                <w:b/>
                <w:color w:val="FFFFFF"/>
              </w:rPr>
              <w:t xml:space="preserve">W14</w:t>
            </w:r>
          </w:p>
        </w:tc>
        <w:tc>
          <w:tcPr>
            <w:tcW w:w="800" w:type="dxa"/>
            <w:shd w:val="clear" w:color="auto" w:fill="14375A"/>
            <w:vAlign w:val="center"/>
          </w:tcPr>
          <w:p>
            <w:pPr>
              <w:spacing w:before="40" w:after="40" w:line="240" w:lineRule="auto"/>
            </w:pPr>
            <w:r>
              <w:rPr>
                <w:sz w:val="16"/>
                <w:szCs w:val="16"/>
                <w:b/>
                <w:color w:val="FFFFFF"/>
              </w:rPr>
              <w:t xml:space="preserve">W15</w:t>
            </w:r>
          </w:p>
        </w:tc>
        <w:tc>
          <w:tcPr>
            <w:tcW w:w="800" w:type="dxa"/>
            <w:shd w:val="clear" w:color="auto" w:fill="14375A"/>
            <w:vAlign w:val="center"/>
          </w:tcPr>
          <w:p>
            <w:pPr>
              <w:spacing w:before="40" w:after="40" w:line="240" w:lineRule="auto"/>
            </w:pPr>
            <w:r>
              <w:rPr>
                <w:sz w:val="16"/>
                <w:szCs w:val="16"/>
                <w:b/>
                <w:color w:val="FFFFFF"/>
              </w:rPr>
              <w:t xml:space="preserve">W16</w:t>
            </w:r>
          </w:p>
        </w:tc>
        <w:tc>
          <w:tcPr>
            <w:tcW w:w="800" w:type="dxa"/>
            <w:shd w:val="clear" w:color="auto" w:fill="14375A"/>
            <w:vAlign w:val="center"/>
          </w:tcPr>
          <w:p>
            <w:pPr>
              <w:spacing w:before="40" w:after="40" w:line="240" w:lineRule="auto"/>
            </w:pPr>
            <w:r>
              <w:rPr>
                <w:sz w:val="16"/>
                <w:szCs w:val="16"/>
                <w:b/>
                <w:color w:val="FFFFFF"/>
              </w:rPr>
              <w:t xml:space="preserve">W17</w:t>
            </w:r>
          </w:p>
        </w:tc>
        <w:tc>
          <w:tcPr>
            <w:tcW w:w="800" w:type="dxa"/>
            <w:shd w:val="clear" w:color="auto" w:fill="14375A"/>
            <w:vAlign w:val="center"/>
          </w:tcPr>
          <w:p>
            <w:pPr>
              <w:spacing w:before="40" w:after="40" w:line="240" w:lineRule="auto"/>
            </w:pPr>
            <w:r>
              <w:rPr>
                <w:sz w:val="16"/>
                <w:szCs w:val="16"/>
                <w:b/>
                <w:color w:val="FFFFFF"/>
              </w:rPr>
              <w:t xml:space="preserve">W18</w:t>
            </w:r>
          </w:p>
        </w:tc>
      </w:tr>
      <w:tr>
        <w:trPr>
          <w:jc w:val="center"/>
        </w:trPr>
        <w:tc>
          <w:tcPr>
            <w:tcW w:w="3584" w:type="dxa"/>
            <w:vAlign w:val="center"/>
          </w:tcPr>
          <w:p>
            <w:pPr>
              <w:spacing w:before="40" w:after="40" w:line="240" w:lineRule="auto"/>
            </w:pPr>
            <w:r>
              <w:rPr>
                <w:sz w:val="16"/>
                <w:szCs w:val="16"/>
              </w:rPr>
              <w:t xml:space="preserve">Team formation &amp; scoping</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Dataset selection &amp; licence check</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Exploratory data analysis (shared)</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Stakeholder interview &amp; empathy map</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Proposal + individual EDA writeup</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Shared preprocessing contract</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Feature engineering &amp; target design</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Model training &amp; evaluation</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Cloud deployment</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Dashboard build</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Interim progress review</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Notebook integration</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Scalability benchmarking</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t xml:space="preserve"/>
            </w:r>
          </w:p>
        </w:tc>
      </w:tr>
      <w:tr>
        <w:trPr>
          <w:jc w:val="center"/>
        </w:trPr>
        <w:tc>
          <w:tcPr>
            <w:tcW w:w="3584" w:type="dxa"/>
            <w:vAlign w:val="center"/>
          </w:tcPr>
          <w:p>
            <w:pPr>
              <w:spacing w:before="40" w:after="40" w:line="240" w:lineRule="auto"/>
            </w:pPr>
            <w:r>
              <w:rPr>
                <w:sz w:val="16"/>
                <w:szCs w:val="16"/>
              </w:rPr>
              <w:t xml:space="preserve">Final report</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r>
      <w:tr>
        <w:trPr>
          <w:jc w:val="center"/>
        </w:trPr>
        <w:tc>
          <w:tcPr>
            <w:tcW w:w="3584" w:type="dxa"/>
            <w:vAlign w:val="center"/>
          </w:tcPr>
          <w:p>
            <w:pPr>
              <w:spacing w:before="40" w:after="40" w:line="240" w:lineRule="auto"/>
            </w:pPr>
            <w:r>
              <w:rPr>
                <w:sz w:val="16"/>
                <w:szCs w:val="16"/>
              </w:rPr>
              <w:t xml:space="preserve">Presentation rehearsal &amp; delivery</w:t>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t xml:space="preserve"/>
            </w:r>
          </w:p>
        </w:tc>
        <w:tc>
          <w:tcPr>
            <w:tcW w:w="800" w:type="dxa"/>
            <w:vAlign w:val="center"/>
          </w:tcPr>
          <w:p>
            <w:pPr>
              <w:spacing w:before="40" w:after="40" w:line="240" w:lineRule="auto"/>
            </w:pPr>
            <w:r>
              <w:rPr>
                <w:sz w:val="16"/>
                <w:szCs w:val="16"/>
              </w:rPr>
              <w:t xml:space="preserve">■</w:t>
            </w:r>
          </w:p>
        </w:tc>
        <w:tc>
          <w:tcPr>
            <w:tcW w:w="800" w:type="dxa"/>
            <w:vAlign w:val="center"/>
          </w:tcPr>
          <w:p>
            <w:pPr>
              <w:spacing w:before="40" w:after="40" w:line="240" w:lineRule="auto"/>
            </w:pPr>
            <w:r>
              <w:rPr>
                <w:sz w:val="16"/>
                <w:szCs w:val="16"/>
              </w:rPr>
              <w:t xml:space="preserve">■</w:t>
            </w:r>
          </w:p>
        </w:tc>
      </w:tr>
    </w:tbl>
    <w:p>
      <w:pPr>
        <w:spacing w:before="0" w:after="60" w:line="360" w:lineRule="auto"/>
      </w:pPr>
      <w:r>
        <w:t xml:space="preserve"/>
      </w:r>
    </w:p>
    <w:p>
      <w:pPr>
        <w:spacing w:before="0" w:after="120" w:line="360" w:lineRule="auto"/>
      </w:pPr>
      <w:r>
        <w:rPr>
          <w:b/>
        </w:rPr>
        <w:t xml:space="preserve">Milestones:</w:t>
      </w:r>
      <w:r>
        <w:t xml:space="preserve"> W13 — proposal and EDA submitted (19 Jul 2026). W16 — interim progress review. W18 — final presentation and report (23 Aug 2026).</w:t>
      </w:r>
    </w:p>
    <w:p>
      <w:pPr>
        <w:spacing w:after="0"/>
      </w:pPr>
      <w:r>
        <w:br w:type="page"/>
      </w:r>
    </w:p>
    <w:p>
      <w:pPr>
        <w:pStyle w:val="Heading2"/>
        <w:spacing w:before="200" w:after="120" w:line="360" w:lineRule="auto"/>
        <w:keepNext/>
      </w:pPr>
      <w:r>
        <w:t xml:space="preserve">Progress Updates for Week 11</w:t>
      </w:r>
    </w:p>
    <w:tbl>
      <w:tblPr>
        <w:tblStyle w:val="TableGrid"/>
        <w:tblW w:w="0" w:type="auto"/>
        <w:jc w:val="center"/>
        <w:tblLook w:val="04A0" w:firstRow="1" w:lastRow="0" w:firstColumn="1" w:lastColumn="0" w:noHBand="0" w:noVBand="1"/>
      </w:tblPr>
      <w:tblGrid>
        <w:gridCol w:w="1800"/>
        <w:gridCol w:w="8184"/>
      </w:tblGrid>
      <w:tr>
        <w:trPr>
          <w:jc w:val="center"/>
        </w:trPr>
        <w:tc>
          <w:tcPr>
            <w:tcW w:w="1800" w:type="dxa"/>
            <w:vAlign w:val="center"/>
          </w:tcPr>
          <w:p>
            <w:pPr>
              <w:spacing w:before="40" w:after="40" w:line="240" w:lineRule="auto"/>
            </w:pPr>
            <w:r>
              <w:rPr>
                <w:sz w:val="18"/>
                <w:szCs w:val="18"/>
              </w:rPr>
              <w:t xml:space="preserve">Week</w:t>
            </w:r>
          </w:p>
        </w:tc>
        <w:tc>
          <w:tcPr>
            <w:tcW w:w="8184" w:type="dxa"/>
            <w:vAlign w:val="center"/>
          </w:tcPr>
          <w:p>
            <w:pPr>
              <w:spacing w:before="40" w:after="40" w:line="240" w:lineRule="auto"/>
            </w:pPr>
            <w:r>
              <w:rPr>
                <w:sz w:val="18"/>
                <w:szCs w:val="18"/>
              </w:rPr>
              <w:t xml:space="preserve">Week 11 (29 Jun – 5 Jul 2026)</w:t>
            </w:r>
          </w:p>
        </w:tc>
      </w:tr>
      <w:tr>
        <w:trPr>
          <w:jc w:val="center"/>
        </w:trPr>
        <w:tc>
          <w:tcPr>
            <w:tcW w:w="1800" w:type="dxa"/>
            <w:vAlign w:val="center"/>
          </w:tcPr>
          <w:p>
            <w:pPr>
              <w:spacing w:before="40" w:after="40" w:line="240" w:lineRule="auto"/>
            </w:pPr>
            <w:r>
              <w:rPr>
                <w:sz w:val="18"/>
                <w:szCs w:val="18"/>
              </w:rPr>
              <w:t xml:space="preserve">Focus</w:t>
            </w:r>
          </w:p>
        </w:tc>
        <w:tc>
          <w:tcPr>
            <w:tcW w:w="8184" w:type="dxa"/>
            <w:vAlign w:val="center"/>
          </w:tcPr>
          <w:p>
            <w:pPr>
              <w:spacing w:before="40" w:after="40" w:line="240" w:lineRule="auto"/>
            </w:pPr>
            <w:r>
              <w:rPr>
                <w:sz w:val="18"/>
                <w:szCs w:val="18"/>
              </w:rPr>
              <w:t xml:space="preserve">Big Data Analytics Project Overview — briefing &amp; team formation</w:t>
            </w:r>
          </w:p>
        </w:tc>
      </w:tr>
      <w:tr>
        <w:trPr>
          <w:jc w:val="center"/>
        </w:trPr>
        <w:tc>
          <w:tcPr>
            <w:tcW w:w="1800" w:type="dxa"/>
            <w:vAlign w:val="center"/>
          </w:tcPr>
          <w:p>
            <w:pPr>
              <w:spacing w:before="40" w:after="40" w:line="240" w:lineRule="auto"/>
            </w:pPr>
            <w:r>
              <w:rPr>
                <w:sz w:val="18"/>
                <w:szCs w:val="18"/>
              </w:rPr>
              <w:t xml:space="preserve">Status</w:t>
            </w:r>
          </w:p>
        </w:tc>
        <w:tc>
          <w:tcPr>
            <w:tcW w:w="8184" w:type="dxa"/>
            <w:vAlign w:val="center"/>
          </w:tcPr>
          <w:p>
            <w:pPr>
              <w:spacing w:before="40" w:after="40" w:line="240" w:lineRule="auto"/>
            </w:pPr>
            <w:r>
              <w:rPr>
                <w:sz w:val="18"/>
                <w:szCs w:val="18"/>
              </w:rPr>
              <w:t xml:space="preserve">Completed</w:t>
            </w:r>
          </w:p>
        </w:tc>
      </w:tr>
    </w:tbl>
    <w:p>
      <w:pPr>
        <w:spacing w:before="0" w:after="60" w:line="360" w:lineRule="auto"/>
      </w:pPr>
      <w:r>
        <w:t xml:space="preserve"/>
      </w:r>
    </w:p>
    <w:p>
      <w:pPr>
        <w:spacing w:before="0" w:after="120" w:line="360" w:lineRule="auto"/>
      </w:pPr>
      <w:r>
        <w:rPr>
          <w:b/>
        </w:rPr>
        <w:t xml:space="preserve">Team Member's Progress</w:t>
      </w:r>
    </w:p>
    <w:p>
      <w:pPr>
        <w:spacing w:before="0" w:after="80" w:line="360" w:lineRule="auto"/>
      </w:pPr>
      <w:r>
        <w:t xml:space="preserve">1. </w:t>
      </w:r>
      <w:r>
        <w:rPr>
          <w:b/>
        </w:rPr>
        <w:t xml:space="preserve">Clifton Chen Yi</w:t>
      </w:r>
      <w:r>
        <w:t xml:space="preserve"> — Elected team leader. Set up the shared repository and the Blackboard blog. Read the project guide and drafted the assessment/milestone map (Appendix A ways-of-working).</w:t>
      </w:r>
    </w:p>
    <w:p>
      <w:pPr>
        <w:spacing w:before="0" w:after="80" w:line="360" w:lineRule="auto"/>
      </w:pPr>
      <w:r>
        <w:t xml:space="preserve">2. </w:t>
      </w:r>
      <w:r>
        <w:rPr>
          <w:b/>
        </w:rPr>
        <w:t xml:space="preserve">Tan Zheng Yu Evan</w:t>
      </w:r>
      <w:r>
        <w:t xml:space="preserve"> — Surveyed candidate datasets for a fintech scenario; shortlisted COFINFAD on Mendeley Data and verified its licence and documentation article.</w:t>
      </w:r>
    </w:p>
    <w:p>
      <w:pPr>
        <w:spacing w:before="0" w:after="80" w:line="360" w:lineRule="auto"/>
      </w:pPr>
      <w:r>
        <w:t xml:space="preserve">3. </w:t>
      </w:r>
      <w:r>
        <w:rPr>
          <w:b/>
        </w:rPr>
        <w:t xml:space="preserve">Lee Yi Ting</w:t>
      </w:r>
      <w:r>
        <w:t xml:space="preserve"> — Reviewed the four rubrics and extracted the concrete evidence each one asks for, so the team knows what has to exist by week 16 and week 18.</w:t>
      </w:r>
    </w:p>
    <w:p>
      <w:pPr>
        <w:spacing w:before="0" w:after="80" w:line="360" w:lineRule="auto"/>
      </w:pPr>
      <w:r>
        <w:t xml:space="preserve">4. </w:t>
      </w:r>
      <w:r>
        <w:rPr>
          <w:b/>
        </w:rPr>
        <w:t xml:space="preserve">Wong Kang Bin</w:t>
      </w:r>
      <w:r>
        <w:t xml:space="preserve"> — Downloaded COFINFAD and confirmed both files load and join on customer_id; reported row counts (48,723 customers / 3,159,157 transactions).</w:t>
      </w:r>
    </w:p>
    <w:p>
      <w:pPr>
        <w:spacing w:before="0" w:after="120" w:line="360" w:lineRule="auto"/>
      </w:pPr>
      <w:r>
        <w:rPr>
          <w:b/>
        </w:rPr>
        <w:t xml:space="preserve">Gantt Chart</w:t>
      </w:r>
    </w:p>
    <w:p>
      <w:pPr>
        <w:spacing w:before="0" w:after="80" w:line="360" w:lineRule="auto"/>
      </w:pPr>
      <w:r>
        <w:t xml:space="preserve">Revised chart as shown on page 1; no change to milestone dates this week.</w:t>
      </w:r>
    </w:p>
    <w:p>
      <w:pPr>
        <w:spacing w:before="0" w:after="120" w:line="360" w:lineRule="auto"/>
      </w:pPr>
      <w:r>
        <w:rPr>
          <w:b/>
        </w:rPr>
        <w:t xml:space="preserve">Miscellaneous</w:t>
      </w:r>
    </w:p>
    <w:p>
      <w:pPr>
        <w:spacing w:before="0" w:after="80" w:line="360" w:lineRule="auto"/>
      </w:pPr>
      <w:r>
        <w:t xml:space="preserve">Agreed the scenario: an anonymised Colombian fintech. Confirmed that four genuinely distinct ML problems can be carved out of one dataset, which the rubric requires (four owners, four targets).</w:t>
      </w:r>
    </w:p>
    <w:p>
      <w:pPr>
        <w:spacing w:after="0"/>
      </w:pPr>
      <w:r>
        <w:br w:type="page"/>
      </w:r>
    </w:p>
    <w:p>
      <w:pPr>
        <w:pStyle w:val="Heading2"/>
        <w:spacing w:before="200" w:after="120" w:line="360" w:lineRule="auto"/>
        <w:keepNext/>
      </w:pPr>
      <w:r>
        <w:t xml:space="preserve">Progress Updates for Week 12</w:t>
      </w:r>
    </w:p>
    <w:tbl>
      <w:tblPr>
        <w:tblStyle w:val="TableGrid"/>
        <w:tblW w:w="0" w:type="auto"/>
        <w:jc w:val="center"/>
        <w:tblLook w:val="04A0" w:firstRow="1" w:lastRow="0" w:firstColumn="1" w:lastColumn="0" w:noHBand="0" w:noVBand="1"/>
      </w:tblPr>
      <w:tblGrid>
        <w:gridCol w:w="1800"/>
        <w:gridCol w:w="8184"/>
      </w:tblGrid>
      <w:tr>
        <w:trPr>
          <w:jc w:val="center"/>
        </w:trPr>
        <w:tc>
          <w:tcPr>
            <w:tcW w:w="1800" w:type="dxa"/>
            <w:vAlign w:val="center"/>
          </w:tcPr>
          <w:p>
            <w:pPr>
              <w:spacing w:before="40" w:after="40" w:line="240" w:lineRule="auto"/>
            </w:pPr>
            <w:r>
              <w:rPr>
                <w:sz w:val="18"/>
                <w:szCs w:val="18"/>
              </w:rPr>
              <w:t xml:space="preserve">Week</w:t>
            </w:r>
          </w:p>
        </w:tc>
        <w:tc>
          <w:tcPr>
            <w:tcW w:w="8184" w:type="dxa"/>
            <w:vAlign w:val="center"/>
          </w:tcPr>
          <w:p>
            <w:pPr>
              <w:spacing w:before="40" w:after="40" w:line="240" w:lineRule="auto"/>
            </w:pPr>
            <w:r>
              <w:rPr>
                <w:sz w:val="18"/>
                <w:szCs w:val="18"/>
              </w:rPr>
              <w:t xml:space="preserve">Week 12 (6 – 12 Jul 2026)</w:t>
            </w:r>
          </w:p>
        </w:tc>
      </w:tr>
      <w:tr>
        <w:trPr>
          <w:jc w:val="center"/>
        </w:trPr>
        <w:tc>
          <w:tcPr>
            <w:tcW w:w="1800" w:type="dxa"/>
            <w:vAlign w:val="center"/>
          </w:tcPr>
          <w:p>
            <w:pPr>
              <w:spacing w:before="40" w:after="40" w:line="240" w:lineRule="auto"/>
            </w:pPr>
            <w:r>
              <w:rPr>
                <w:sz w:val="18"/>
                <w:szCs w:val="18"/>
              </w:rPr>
              <w:t xml:space="preserve">Focus</w:t>
            </w:r>
          </w:p>
        </w:tc>
        <w:tc>
          <w:tcPr>
            <w:tcW w:w="8184" w:type="dxa"/>
            <w:vAlign w:val="center"/>
          </w:tcPr>
          <w:p>
            <w:pPr>
              <w:spacing w:before="40" w:after="40" w:line="240" w:lineRule="auto"/>
            </w:pPr>
            <w:r>
              <w:rPr>
                <w:sz w:val="18"/>
                <w:szCs w:val="18"/>
              </w:rPr>
              <w:t xml:space="preserve">Exploratory Data Analysis</w:t>
            </w:r>
          </w:p>
        </w:tc>
      </w:tr>
      <w:tr>
        <w:trPr>
          <w:jc w:val="center"/>
        </w:trPr>
        <w:tc>
          <w:tcPr>
            <w:tcW w:w="1800" w:type="dxa"/>
            <w:vAlign w:val="center"/>
          </w:tcPr>
          <w:p>
            <w:pPr>
              <w:spacing w:before="40" w:after="40" w:line="240" w:lineRule="auto"/>
            </w:pPr>
            <w:r>
              <w:rPr>
                <w:sz w:val="18"/>
                <w:szCs w:val="18"/>
              </w:rPr>
              <w:t xml:space="preserve">Status</w:t>
            </w:r>
          </w:p>
        </w:tc>
        <w:tc>
          <w:tcPr>
            <w:tcW w:w="8184" w:type="dxa"/>
            <w:vAlign w:val="center"/>
          </w:tcPr>
          <w:p>
            <w:pPr>
              <w:spacing w:before="40" w:after="40" w:line="240" w:lineRule="auto"/>
            </w:pPr>
            <w:r>
              <w:rPr>
                <w:sz w:val="18"/>
                <w:szCs w:val="18"/>
              </w:rPr>
              <w:t xml:space="preserve">Completed</w:t>
            </w:r>
          </w:p>
        </w:tc>
      </w:tr>
    </w:tbl>
    <w:p>
      <w:pPr>
        <w:spacing w:before="0" w:after="60" w:line="360" w:lineRule="auto"/>
      </w:pPr>
      <w:r>
        <w:t xml:space="preserve"/>
      </w:r>
    </w:p>
    <w:p>
      <w:pPr>
        <w:spacing w:before="0" w:after="120" w:line="360" w:lineRule="auto"/>
      </w:pPr>
      <w:r>
        <w:rPr>
          <w:b/>
        </w:rPr>
        <w:t xml:space="preserve">Team Member's Progress</w:t>
      </w:r>
    </w:p>
    <w:p>
      <w:pPr>
        <w:spacing w:before="0" w:after="80" w:line="360" w:lineRule="auto"/>
      </w:pPr>
      <w:r>
        <w:t xml:space="preserve">1. </w:t>
      </w:r>
      <w:r>
        <w:rPr>
          <w:b/>
        </w:rPr>
        <w:t xml:space="preserve">Clifton Chen Yi</w:t>
      </w:r>
      <w:r>
        <w:t xml:space="preserve"> — Built the shared EDA notebook: data-quality audit, missingness profiling, date-coverage check and the customer/transaction join validation. Found that the 'Set B' transaction-summary columns do not reconcile with the raw ledger (correlation ≈ 0.00) and raised it with the whole team.</w:t>
      </w:r>
    </w:p>
    <w:p>
      <w:pPr>
        <w:spacing w:before="0" w:after="80" w:line="360" w:lineRule="auto"/>
      </w:pPr>
      <w:r>
        <w:t xml:space="preserve">2. </w:t>
      </w:r>
      <w:r>
        <w:rPr>
          <w:b/>
        </w:rPr>
        <w:t xml:space="preserve">Tan Zheng Yu Evan</w:t>
      </w:r>
      <w:r>
        <w:t xml:space="preserve"> — Explored customer value and CLV segments; showed that activity level and lifetime value are related but not interchangeable.</w:t>
      </w:r>
    </w:p>
    <w:p>
      <w:pPr>
        <w:spacing w:before="0" w:after="80" w:line="360" w:lineRule="auto"/>
      </w:pPr>
      <w:r>
        <w:t xml:space="preserve">3. </w:t>
      </w:r>
      <w:r>
        <w:rPr>
          <w:b/>
        </w:rPr>
        <w:t xml:space="preserve">Lee Yi Ting</w:t>
      </w:r>
      <w:r>
        <w:t xml:space="preserve"> — Explored satisfaction, support tickets and complaint topics; quantified survey coverage (≈14% of customers) and its effect on claims.</w:t>
      </w:r>
    </w:p>
    <w:p>
      <w:pPr>
        <w:spacing w:before="0" w:after="80" w:line="360" w:lineRule="auto"/>
      </w:pPr>
      <w:r>
        <w:t xml:space="preserve">4. </w:t>
      </w:r>
      <w:r>
        <w:rPr>
          <w:b/>
        </w:rPr>
        <w:t xml:space="preserve">Wong Kang Bin</w:t>
      </w:r>
      <w:r>
        <w:t xml:space="preserve"> — Aggregated the ledger to daily volume/value; confirmed all 360 covered days have activity and identified the weekday/weekend split.</w:t>
      </w:r>
    </w:p>
    <w:p>
      <w:pPr>
        <w:spacing w:before="0" w:after="120" w:line="360" w:lineRule="auto"/>
      </w:pPr>
      <w:r>
        <w:rPr>
          <w:b/>
        </w:rPr>
        <w:t xml:space="preserve">Gantt Chart</w:t>
      </w:r>
    </w:p>
    <w:p>
      <w:pPr>
        <w:spacing w:before="0" w:after="80" w:line="360" w:lineRule="auto"/>
      </w:pPr>
      <w:r>
        <w:t xml:space="preserve">Revised chart as shown on page 1; no change to milestone dates this week.</w:t>
      </w:r>
    </w:p>
    <w:p>
      <w:pPr>
        <w:spacing w:before="0" w:after="120" w:line="360" w:lineRule="auto"/>
      </w:pPr>
      <w:r>
        <w:rPr>
          <w:b/>
        </w:rPr>
        <w:t xml:space="preserve">Miscellaneous</w:t>
      </w:r>
    </w:p>
    <w:p>
      <w:pPr>
        <w:spacing w:before="0" w:after="80" w:line="360" w:lineRule="auto"/>
      </w:pPr>
      <w:r>
        <w:t xml:space="preserve">Key shared decision recorded: build features from the verified 'Set A' columns and the raw ledger, and exclude the unreliable 'Set B' columns. This single finding changed the feature plan for all four workstreams.</w:t>
      </w:r>
    </w:p>
    <w:p>
      <w:pPr>
        <w:spacing w:after="0"/>
      </w:pPr>
      <w:r>
        <w:br w:type="page"/>
      </w:r>
    </w:p>
    <w:p>
      <w:pPr>
        <w:pStyle w:val="Heading2"/>
        <w:spacing w:before="200" w:after="120" w:line="360" w:lineRule="auto"/>
        <w:keepNext/>
      </w:pPr>
      <w:r>
        <w:t xml:space="preserve">Progress Updates for Week 13</w:t>
      </w:r>
    </w:p>
    <w:tbl>
      <w:tblPr>
        <w:tblStyle w:val="TableGrid"/>
        <w:tblW w:w="0" w:type="auto"/>
        <w:jc w:val="center"/>
        <w:tblLook w:val="04A0" w:firstRow="1" w:lastRow="0" w:firstColumn="1" w:lastColumn="0" w:noHBand="0" w:noVBand="1"/>
      </w:tblPr>
      <w:tblGrid>
        <w:gridCol w:w="1800"/>
        <w:gridCol w:w="8184"/>
      </w:tblGrid>
      <w:tr>
        <w:trPr>
          <w:jc w:val="center"/>
        </w:trPr>
        <w:tc>
          <w:tcPr>
            <w:tcW w:w="1800" w:type="dxa"/>
            <w:vAlign w:val="center"/>
          </w:tcPr>
          <w:p>
            <w:pPr>
              <w:spacing w:before="40" w:after="40" w:line="240" w:lineRule="auto"/>
            </w:pPr>
            <w:r>
              <w:rPr>
                <w:sz w:val="18"/>
                <w:szCs w:val="18"/>
              </w:rPr>
              <w:t xml:space="preserve">Week</w:t>
            </w:r>
          </w:p>
        </w:tc>
        <w:tc>
          <w:tcPr>
            <w:tcW w:w="8184" w:type="dxa"/>
            <w:vAlign w:val="center"/>
          </w:tcPr>
          <w:p>
            <w:pPr>
              <w:spacing w:before="40" w:after="40" w:line="240" w:lineRule="auto"/>
            </w:pPr>
            <w:r>
              <w:rPr>
                <w:sz w:val="18"/>
                <w:szCs w:val="18"/>
              </w:rPr>
              <w:t xml:space="preserve">Week 13 (13 – 19 Jul 2026)</w:t>
            </w:r>
          </w:p>
        </w:tc>
      </w:tr>
      <w:tr>
        <w:trPr>
          <w:jc w:val="center"/>
        </w:trPr>
        <w:tc>
          <w:tcPr>
            <w:tcW w:w="1800" w:type="dxa"/>
            <w:vAlign w:val="center"/>
          </w:tcPr>
          <w:p>
            <w:pPr>
              <w:spacing w:before="40" w:after="40" w:line="240" w:lineRule="auto"/>
            </w:pPr>
            <w:r>
              <w:rPr>
                <w:sz w:val="18"/>
                <w:szCs w:val="18"/>
              </w:rPr>
              <w:t xml:space="preserve">Focus</w:t>
            </w:r>
          </w:p>
        </w:tc>
        <w:tc>
          <w:tcPr>
            <w:tcW w:w="8184" w:type="dxa"/>
            <w:vAlign w:val="center"/>
          </w:tcPr>
          <w:p>
            <w:pPr>
              <w:spacing w:before="40" w:after="40" w:line="240" w:lineRule="auto"/>
            </w:pPr>
            <w:r>
              <w:rPr>
                <w:sz w:val="18"/>
                <w:szCs w:val="18"/>
              </w:rPr>
              <w:t xml:space="preserve">Project Proposal + Exploratory Data Analysis (deliverable week)</w:t>
            </w:r>
          </w:p>
        </w:tc>
      </w:tr>
      <w:tr>
        <w:trPr>
          <w:jc w:val="center"/>
        </w:trPr>
        <w:tc>
          <w:tcPr>
            <w:tcW w:w="1800" w:type="dxa"/>
            <w:vAlign w:val="center"/>
          </w:tcPr>
          <w:p>
            <w:pPr>
              <w:spacing w:before="40" w:after="40" w:line="240" w:lineRule="auto"/>
            </w:pPr>
            <w:r>
              <w:rPr>
                <w:sz w:val="18"/>
                <w:szCs w:val="18"/>
              </w:rPr>
              <w:t xml:space="preserve">Status</w:t>
            </w:r>
          </w:p>
        </w:tc>
        <w:tc>
          <w:tcPr>
            <w:tcW w:w="8184" w:type="dxa"/>
            <w:vAlign w:val="center"/>
          </w:tcPr>
          <w:p>
            <w:pPr>
              <w:spacing w:before="40" w:after="40" w:line="240" w:lineRule="auto"/>
            </w:pPr>
            <w:r>
              <w:rPr>
                <w:sz w:val="18"/>
                <w:szCs w:val="18"/>
              </w:rPr>
              <w:t xml:space="preserve">Completed — submitted</w:t>
            </w:r>
          </w:p>
        </w:tc>
      </w:tr>
    </w:tbl>
    <w:p>
      <w:pPr>
        <w:spacing w:before="0" w:after="60" w:line="360" w:lineRule="auto"/>
      </w:pPr>
      <w:r>
        <w:t xml:space="preserve"/>
      </w:r>
    </w:p>
    <w:p>
      <w:pPr>
        <w:spacing w:before="0" w:after="120" w:line="360" w:lineRule="auto"/>
      </w:pPr>
      <w:r>
        <w:rPr>
          <w:b/>
        </w:rPr>
        <w:t xml:space="preserve">Team Member's Progress</w:t>
      </w:r>
    </w:p>
    <w:p>
      <w:pPr>
        <w:spacing w:before="0" w:after="80" w:line="360" w:lineRule="auto"/>
      </w:pPr>
      <w:r>
        <w:t xml:space="preserve">1. </w:t>
      </w:r>
      <w:r>
        <w:rPr>
          <w:b/>
        </w:rPr>
        <w:t xml:space="preserve">Clifton Chen Yi</w:t>
      </w:r>
      <w:r>
        <w:t xml:space="preserve"> — Wrote the retention workstream sections of the proposal and the individual EDA report (Appendix D). Co-ran the stakeholder interview and rewrote the retention design around her feedback.</w:t>
      </w:r>
    </w:p>
    <w:p>
      <w:pPr>
        <w:spacing w:before="0" w:after="80" w:line="360" w:lineRule="auto"/>
      </w:pPr>
      <w:r>
        <w:t xml:space="preserve">2. </w:t>
      </w:r>
      <w:r>
        <w:rPr>
          <w:b/>
        </w:rPr>
        <w:t xml:space="preserve">Tan Zheng Yu Evan</w:t>
      </w:r>
      <w:r>
        <w:t xml:space="preserve"> — Wrote the future-value hypothesis, feature plan and evaluation metrics; confirmed the 90-day outcome window fits inside the ledger.</w:t>
      </w:r>
    </w:p>
    <w:p>
      <w:pPr>
        <w:spacing w:before="0" w:after="80" w:line="360" w:lineRule="auto"/>
      </w:pPr>
      <w:r>
        <w:t xml:space="preserve">3. </w:t>
      </w:r>
      <w:r>
        <w:rPr>
          <w:b/>
        </w:rPr>
        <w:t xml:space="preserve">Lee Yi Ting</w:t>
      </w:r>
      <w:r>
        <w:t xml:space="preserve"> — Wrote the satisfaction hypothesis and the ordinal-evaluation plan; specified the complaint-NLP approach and the respondent-only caveat.</w:t>
      </w:r>
    </w:p>
    <w:p>
      <w:pPr>
        <w:spacing w:before="0" w:after="80" w:line="360" w:lineRule="auto"/>
      </w:pPr>
      <w:r>
        <w:t xml:space="preserve">4. </w:t>
      </w:r>
      <w:r>
        <w:rPr>
          <w:b/>
        </w:rPr>
        <w:t xml:space="preserve">Wong Kang Bin</w:t>
      </w:r>
      <w:r>
        <w:t xml:space="preserve"> — Wrote the demand-classification hypothesis, defined next_day_demand_class and the walk-forward validation plan.</w:t>
      </w:r>
    </w:p>
    <w:p>
      <w:pPr>
        <w:spacing w:before="0" w:after="120" w:line="360" w:lineRule="auto"/>
      </w:pPr>
      <w:r>
        <w:rPr>
          <w:b/>
        </w:rPr>
        <w:t xml:space="preserve">Gantt Chart</w:t>
      </w:r>
    </w:p>
    <w:p>
      <w:pPr>
        <w:spacing w:before="0" w:after="80" w:line="360" w:lineRule="auto"/>
      </w:pPr>
      <w:r>
        <w:t xml:space="preserve">Revised chart as shown on page 1; no change to milestone dates this week.</w:t>
      </w:r>
    </w:p>
    <w:p>
      <w:pPr>
        <w:spacing w:before="0" w:after="120" w:line="360" w:lineRule="auto"/>
      </w:pPr>
      <w:r>
        <w:rPr>
          <w:b/>
        </w:rPr>
        <w:t xml:space="preserve">Miscellaneous</w:t>
      </w:r>
    </w:p>
    <w:p>
      <w:pPr>
        <w:spacing w:before="0" w:after="80" w:line="360" w:lineRule="auto"/>
      </w:pPr>
      <w:r>
        <w:t xml:space="preserve">Stakeholder interview: María Rodríguez, Customer Operations Manager, Nu Colombia — 20-minute Microsoft Teams call on 16 July 2026. Her constraint ("prioritise customers who are both high-risk and valuable") produced three concrete proposal changes: a retention-priority view, high-demand recall as Member D's primary metric, and adjustable capacity thresholds. Submitted Appendix C and Appendix D by 19 July 2026, 2359 hrs.</w:t>
      </w:r>
    </w:p>
    <w:p>
      <w:pPr>
        <w:spacing w:after="0"/>
      </w:pPr>
      <w:r>
        <w:br w:type="page"/>
      </w:r>
    </w:p>
    <w:p>
      <w:pPr>
        <w:pStyle w:val="Heading2"/>
        <w:spacing w:before="200" w:after="120" w:line="360" w:lineRule="auto"/>
        <w:keepNext/>
      </w:pPr>
      <w:r>
        <w:t xml:space="preserve">Progress Updates for Week 14</w:t>
      </w:r>
    </w:p>
    <w:tbl>
      <w:tblPr>
        <w:tblStyle w:val="TableGrid"/>
        <w:tblW w:w="0" w:type="auto"/>
        <w:jc w:val="center"/>
        <w:tblLook w:val="04A0" w:firstRow="1" w:lastRow="0" w:firstColumn="1" w:lastColumn="0" w:noHBand="0" w:noVBand="1"/>
      </w:tblPr>
      <w:tblGrid>
        <w:gridCol w:w="1800"/>
        <w:gridCol w:w="8184"/>
      </w:tblGrid>
      <w:tr>
        <w:trPr>
          <w:jc w:val="center"/>
        </w:trPr>
        <w:tc>
          <w:tcPr>
            <w:tcW w:w="1800" w:type="dxa"/>
            <w:vAlign w:val="center"/>
          </w:tcPr>
          <w:p>
            <w:pPr>
              <w:spacing w:before="40" w:after="40" w:line="240" w:lineRule="auto"/>
            </w:pPr>
            <w:r>
              <w:rPr>
                <w:sz w:val="18"/>
                <w:szCs w:val="18"/>
              </w:rPr>
              <w:t xml:space="preserve">Week</w:t>
            </w:r>
          </w:p>
        </w:tc>
        <w:tc>
          <w:tcPr>
            <w:tcW w:w="8184" w:type="dxa"/>
            <w:vAlign w:val="center"/>
          </w:tcPr>
          <w:p>
            <w:pPr>
              <w:spacing w:before="40" w:after="40" w:line="240" w:lineRule="auto"/>
            </w:pPr>
            <w:r>
              <w:rPr>
                <w:sz w:val="18"/>
                <w:szCs w:val="18"/>
              </w:rPr>
              <w:t xml:space="preserve">Week 14 (20 – 26 Jul 2026)</w:t>
            </w:r>
          </w:p>
        </w:tc>
      </w:tr>
      <w:tr>
        <w:trPr>
          <w:jc w:val="center"/>
        </w:trPr>
        <w:tc>
          <w:tcPr>
            <w:tcW w:w="1800" w:type="dxa"/>
            <w:vAlign w:val="center"/>
          </w:tcPr>
          <w:p>
            <w:pPr>
              <w:spacing w:before="40" w:after="40" w:line="240" w:lineRule="auto"/>
            </w:pPr>
            <w:r>
              <w:rPr>
                <w:sz w:val="18"/>
                <w:szCs w:val="18"/>
              </w:rPr>
              <w:t xml:space="preserve">Focus</w:t>
            </w:r>
          </w:p>
        </w:tc>
        <w:tc>
          <w:tcPr>
            <w:tcW w:w="8184" w:type="dxa"/>
            <w:vAlign w:val="center"/>
          </w:tcPr>
          <w:p>
            <w:pPr>
              <w:spacing w:before="40" w:after="40" w:line="240" w:lineRule="auto"/>
            </w:pPr>
            <w:r>
              <w:rPr>
                <w:sz w:val="18"/>
                <w:szCs w:val="18"/>
              </w:rPr>
              <w:t xml:space="preserve">Project Implementation — shared preprocessing &amp; feature layer</w:t>
            </w:r>
          </w:p>
        </w:tc>
      </w:tr>
      <w:tr>
        <w:trPr>
          <w:jc w:val="center"/>
        </w:trPr>
        <w:tc>
          <w:tcPr>
            <w:tcW w:w="1800" w:type="dxa"/>
            <w:vAlign w:val="center"/>
          </w:tcPr>
          <w:p>
            <w:pPr>
              <w:spacing w:before="40" w:after="40" w:line="240" w:lineRule="auto"/>
            </w:pPr>
            <w:r>
              <w:rPr>
                <w:sz w:val="18"/>
                <w:szCs w:val="18"/>
              </w:rPr>
              <w:t xml:space="preserve">Status</w:t>
            </w:r>
          </w:p>
        </w:tc>
        <w:tc>
          <w:tcPr>
            <w:tcW w:w="8184" w:type="dxa"/>
            <w:vAlign w:val="center"/>
          </w:tcPr>
          <w:p>
            <w:pPr>
              <w:spacing w:before="40" w:after="40" w:line="240" w:lineRule="auto"/>
            </w:pPr>
            <w:r>
              <w:rPr>
                <w:sz w:val="18"/>
                <w:szCs w:val="18"/>
              </w:rPr>
              <w:t xml:space="preserve">Completed</w:t>
            </w:r>
          </w:p>
        </w:tc>
      </w:tr>
    </w:tbl>
    <w:p>
      <w:pPr>
        <w:spacing w:before="0" w:after="60" w:line="360" w:lineRule="auto"/>
      </w:pPr>
      <w:r>
        <w:t xml:space="preserve"/>
      </w:r>
    </w:p>
    <w:p>
      <w:pPr>
        <w:spacing w:before="0" w:after="120" w:line="360" w:lineRule="auto"/>
      </w:pPr>
      <w:r>
        <w:rPr>
          <w:b/>
        </w:rPr>
        <w:t xml:space="preserve">Team Member's Progress</w:t>
      </w:r>
    </w:p>
    <w:p>
      <w:pPr>
        <w:spacing w:before="0" w:after="80" w:line="360" w:lineRule="auto"/>
      </w:pPr>
      <w:r>
        <w:t xml:space="preserve">1. </w:t>
      </w:r>
      <w:r>
        <w:rPr>
          <w:b/>
        </w:rPr>
        <w:t xml:space="preserve">Clifton Chen Yi</w:t>
      </w:r>
      <w:r>
        <w:t xml:space="preserve"> — Agreed and implemented the shared preprocessing contract: drop exact duplicate transactions (102 rows, 0.003%), exclude the Set B columns and the full-period Set A aggregates, and use a common (customer, cutoff) panel key. Built the retention feature engineering and the inactive_next_60d target with a four-cutoff chronological design.</w:t>
      </w:r>
    </w:p>
    <w:p>
      <w:pPr>
        <w:spacing w:before="0" w:after="80" w:line="360" w:lineRule="auto"/>
      </w:pPr>
      <w:r>
        <w:t xml:space="preserve">2. </w:t>
      </w:r>
      <w:r>
        <w:rPr>
          <w:b/>
        </w:rPr>
        <w:t xml:space="preserve">Tan Zheng Yu Evan</w:t>
      </w:r>
      <w:r>
        <w:t xml:space="preserve"> — Built the 90-day value target on the same cutoff convention; began comparing regularised linear models against tree-based regressors.</w:t>
      </w:r>
    </w:p>
    <w:p>
      <w:pPr>
        <w:spacing w:before="0" w:after="80" w:line="360" w:lineRule="auto"/>
      </w:pPr>
      <w:r>
        <w:t xml:space="preserve">3. </w:t>
      </w:r>
      <w:r>
        <w:rPr>
          <w:b/>
        </w:rPr>
        <w:t xml:space="preserve">Lee Yi Ting</w:t>
      </w:r>
      <w:r>
        <w:t xml:space="preserve"> — Standardised complaint topics and began the ordinal satisfaction baseline; excluded the satisfaction components and NPS to avoid circularity.</w:t>
      </w:r>
    </w:p>
    <w:p>
      <w:pPr>
        <w:spacing w:before="0" w:after="80" w:line="360" w:lineRule="auto"/>
      </w:pPr>
      <w:r>
        <w:t xml:space="preserve">4. </w:t>
      </w:r>
      <w:r>
        <w:rPr>
          <w:b/>
        </w:rPr>
        <w:t xml:space="preserve">Wong Kang Bin</w:t>
      </w:r>
      <w:r>
        <w:t xml:space="preserve"> — Built the daily aggregation, calendar features and shifted lags; fitted the demand-class thresholds on training-period quantiles only.</w:t>
      </w:r>
    </w:p>
    <w:p>
      <w:pPr>
        <w:spacing w:before="0" w:after="120" w:line="360" w:lineRule="auto"/>
      </w:pPr>
      <w:r>
        <w:rPr>
          <w:b/>
        </w:rPr>
        <w:t xml:space="preserve">Gantt Chart</w:t>
      </w:r>
    </w:p>
    <w:p>
      <w:pPr>
        <w:spacing w:before="0" w:after="80" w:line="360" w:lineRule="auto"/>
      </w:pPr>
      <w:r>
        <w:t xml:space="preserve">Revised chart as shown on page 1; no change to milestone dates this week.</w:t>
      </w:r>
    </w:p>
    <w:p>
      <w:pPr>
        <w:spacing w:before="0" w:after="120" w:line="360" w:lineRule="auto"/>
      </w:pPr>
      <w:r>
        <w:rPr>
          <w:b/>
        </w:rPr>
        <w:t xml:space="preserve">Miscellaneous</w:t>
      </w:r>
    </w:p>
    <w:p>
      <w:pPr>
        <w:spacing w:before="0" w:after="80" w:line="360" w:lineRule="auto"/>
      </w:pPr>
      <w:r>
        <w:t xml:space="preserve">Leakage review held as a team. Agreed that churn_probability and customer_lifetime_value are excluded everywhere, and that the untimestamped customer-level counters (failed_transactions, support_tickets_count, satisfaction_score) must be reported as a known look-ahead risk and tested by ablation rather than quietly used.</w:t>
      </w:r>
    </w:p>
    <w:p>
      <w:pPr>
        <w:spacing w:after="0"/>
      </w:pPr>
      <w:r>
        <w:br w:type="page"/>
      </w:r>
    </w:p>
    <w:p>
      <w:pPr>
        <w:pStyle w:val="Heading2"/>
        <w:spacing w:before="200" w:after="120" w:line="360" w:lineRule="auto"/>
        <w:keepNext/>
      </w:pPr>
      <w:r>
        <w:t xml:space="preserve">Progress Updates for Week 15</w:t>
      </w:r>
    </w:p>
    <w:tbl>
      <w:tblPr>
        <w:tblStyle w:val="TableGrid"/>
        <w:tblW w:w="0" w:type="auto"/>
        <w:jc w:val="center"/>
        <w:tblLook w:val="04A0" w:firstRow="1" w:lastRow="0" w:firstColumn="1" w:lastColumn="0" w:noHBand="0" w:noVBand="1"/>
      </w:tblPr>
      <w:tblGrid>
        <w:gridCol w:w="1800"/>
        <w:gridCol w:w="8184"/>
      </w:tblGrid>
      <w:tr>
        <w:trPr>
          <w:jc w:val="center"/>
        </w:trPr>
        <w:tc>
          <w:tcPr>
            <w:tcW w:w="1800" w:type="dxa"/>
            <w:vAlign w:val="center"/>
          </w:tcPr>
          <w:p>
            <w:pPr>
              <w:spacing w:before="40" w:after="40" w:line="240" w:lineRule="auto"/>
            </w:pPr>
            <w:r>
              <w:rPr>
                <w:sz w:val="18"/>
                <w:szCs w:val="18"/>
              </w:rPr>
              <w:t xml:space="preserve">Week</w:t>
            </w:r>
          </w:p>
        </w:tc>
        <w:tc>
          <w:tcPr>
            <w:tcW w:w="8184" w:type="dxa"/>
            <w:vAlign w:val="center"/>
          </w:tcPr>
          <w:p>
            <w:pPr>
              <w:spacing w:before="40" w:after="40" w:line="240" w:lineRule="auto"/>
            </w:pPr>
            <w:r>
              <w:rPr>
                <w:sz w:val="18"/>
                <w:szCs w:val="18"/>
              </w:rPr>
              <w:t xml:space="preserve">Week 15 (27 Jul – 2 Aug 2026)</w:t>
            </w:r>
          </w:p>
        </w:tc>
      </w:tr>
      <w:tr>
        <w:trPr>
          <w:jc w:val="center"/>
        </w:trPr>
        <w:tc>
          <w:tcPr>
            <w:tcW w:w="1800" w:type="dxa"/>
            <w:vAlign w:val="center"/>
          </w:tcPr>
          <w:p>
            <w:pPr>
              <w:spacing w:before="40" w:after="40" w:line="240" w:lineRule="auto"/>
            </w:pPr>
            <w:r>
              <w:rPr>
                <w:sz w:val="18"/>
                <w:szCs w:val="18"/>
              </w:rPr>
              <w:t xml:space="preserve">Focus</w:t>
            </w:r>
          </w:p>
        </w:tc>
        <w:tc>
          <w:tcPr>
            <w:tcW w:w="8184" w:type="dxa"/>
            <w:vAlign w:val="center"/>
          </w:tcPr>
          <w:p>
            <w:pPr>
              <w:spacing w:before="40" w:after="40" w:line="240" w:lineRule="auto"/>
            </w:pPr>
            <w:r>
              <w:rPr>
                <w:sz w:val="18"/>
                <w:szCs w:val="18"/>
              </w:rPr>
              <w:t xml:space="preserve">Project Implementation — modelling &amp; evaluation</w:t>
            </w:r>
          </w:p>
        </w:tc>
      </w:tr>
      <w:tr>
        <w:trPr>
          <w:jc w:val="center"/>
        </w:trPr>
        <w:tc>
          <w:tcPr>
            <w:tcW w:w="1800" w:type="dxa"/>
            <w:vAlign w:val="center"/>
          </w:tcPr>
          <w:p>
            <w:pPr>
              <w:spacing w:before="40" w:after="40" w:line="240" w:lineRule="auto"/>
            </w:pPr>
            <w:r>
              <w:rPr>
                <w:sz w:val="18"/>
                <w:szCs w:val="18"/>
              </w:rPr>
              <w:t xml:space="preserve">Status</w:t>
            </w:r>
          </w:p>
        </w:tc>
        <w:tc>
          <w:tcPr>
            <w:tcW w:w="8184" w:type="dxa"/>
            <w:vAlign w:val="center"/>
          </w:tcPr>
          <w:p>
            <w:pPr>
              <w:spacing w:before="40" w:after="40" w:line="240" w:lineRule="auto"/>
            </w:pPr>
            <w:r>
              <w:rPr>
                <w:sz w:val="18"/>
                <w:szCs w:val="18"/>
              </w:rPr>
              <w:t xml:space="preserve">In progress</w:t>
            </w:r>
          </w:p>
        </w:tc>
      </w:tr>
    </w:tbl>
    <w:p>
      <w:pPr>
        <w:spacing w:before="0" w:after="60" w:line="360" w:lineRule="auto"/>
      </w:pPr>
      <w:r>
        <w:t xml:space="preserve"/>
      </w:r>
    </w:p>
    <w:p>
      <w:pPr>
        <w:spacing w:before="0" w:after="120" w:line="360" w:lineRule="auto"/>
      </w:pPr>
      <w:r>
        <w:rPr>
          <w:b/>
        </w:rPr>
        <w:t xml:space="preserve">Team Member's Progress</w:t>
      </w:r>
    </w:p>
    <w:p>
      <w:pPr>
        <w:spacing w:before="0" w:after="80" w:line="360" w:lineRule="auto"/>
      </w:pPr>
      <w:r>
        <w:t xml:space="preserve">1. </w:t>
      </w:r>
      <w:r>
        <w:rPr>
          <w:b/>
        </w:rPr>
        <w:t xml:space="preserve">Clifton Chen Yi</w:t>
      </w:r>
      <w:r>
        <w:t xml:space="preserve"> — Model comparison for the retention workstream: majority-class and tuned recency-rule baselines against Logistic Regression, Random Forest, HistGradientBoosting and XGBoost, with thresholds tuned on validation only. Running the feature-family ablation that tests the core hypothesis (trend vs. static).</w:t>
      </w:r>
    </w:p>
    <w:p>
      <w:pPr>
        <w:spacing w:before="0" w:after="80" w:line="360" w:lineRule="auto"/>
      </w:pPr>
      <w:r>
        <w:t xml:space="preserve">2. </w:t>
      </w:r>
      <w:r>
        <w:rPr>
          <w:b/>
        </w:rPr>
        <w:t xml:space="preserve">Tan Zheng Yu Evan</w:t>
      </w:r>
      <w:r>
        <w:t xml:space="preserve"> — Evaluating MAE / RMSE / R² and top-value-quantile identification; testing the effect of log transformation on the skewed target.</w:t>
      </w:r>
    </w:p>
    <w:p>
      <w:pPr>
        <w:spacing w:before="0" w:after="80" w:line="360" w:lineRule="auto"/>
      </w:pPr>
      <w:r>
        <w:t xml:space="preserve">3. </w:t>
      </w:r>
      <w:r>
        <w:rPr>
          <w:b/>
        </w:rPr>
        <w:t xml:space="preserve">Lee Yi Ting</w:t>
      </w:r>
      <w:r>
        <w:t xml:space="preserve"> — Comparing ordinal classification approaches on Macro F1, weighted kappa and within-one-level accuracy; building the complaint-topic comparison.</w:t>
      </w:r>
    </w:p>
    <w:p>
      <w:pPr>
        <w:spacing w:before="0" w:after="80" w:line="360" w:lineRule="auto"/>
      </w:pPr>
      <w:r>
        <w:t xml:space="preserve">4. </w:t>
      </w:r>
      <w:r>
        <w:rPr>
          <w:b/>
        </w:rPr>
        <w:t xml:space="preserve">Wong Kang Bin</w:t>
      </w:r>
      <w:r>
        <w:t xml:space="preserve"> — Walk-forward validation across the demand models; tracking high-demand recall as the primary operational metric.</w:t>
      </w:r>
    </w:p>
    <w:p>
      <w:pPr>
        <w:spacing w:before="0" w:after="120" w:line="360" w:lineRule="auto"/>
      </w:pPr>
      <w:r>
        <w:rPr>
          <w:b/>
        </w:rPr>
        <w:t xml:space="preserve">Gantt Chart</w:t>
      </w:r>
    </w:p>
    <w:p>
      <w:pPr>
        <w:spacing w:before="0" w:after="80" w:line="360" w:lineRule="auto"/>
      </w:pPr>
      <w:r>
        <w:t xml:space="preserve">Revised chart as shown on page 1; no change to milestone dates this week.</w:t>
      </w:r>
    </w:p>
    <w:p>
      <w:pPr>
        <w:spacing w:before="0" w:after="120" w:line="360" w:lineRule="auto"/>
      </w:pPr>
      <w:r>
        <w:rPr>
          <w:b/>
        </w:rPr>
        <w:t xml:space="preserve">Miscellaneous</w:t>
      </w:r>
    </w:p>
    <w:p>
      <w:pPr>
        <w:spacing w:before="0" w:after="80" w:line="360" w:lineRule="auto"/>
      </w:pPr>
      <w:r>
        <w:t xml:space="preserve">Next: cloud deployment of the pipeline and the first end-to-end dashboard refresh, so the interim review can show a working path from raw upload to a scored table.</w:t>
      </w:r>
    </w:p>
    <w:p>
      <w:pPr>
        <w:spacing w:after="0"/>
      </w:pPr>
      <w:r>
        <w:br w:type="page"/>
      </w:r>
    </w:p>
    <w:p>
      <w:pPr>
        <w:pStyle w:val="Heading2"/>
        <w:spacing w:before="200" w:after="120" w:line="360" w:lineRule="auto"/>
        <w:keepNext/>
      </w:pPr>
      <w:r>
        <w:t xml:space="preserve">Progress Updates for Week 16</w:t>
      </w:r>
    </w:p>
    <w:tbl>
      <w:tblPr>
        <w:tblStyle w:val="TableGrid"/>
        <w:tblW w:w="0" w:type="auto"/>
        <w:jc w:val="center"/>
        <w:tblLook w:val="04A0" w:firstRow="1" w:lastRow="0" w:firstColumn="1" w:lastColumn="0" w:noHBand="0" w:noVBand="1"/>
      </w:tblPr>
      <w:tblGrid>
        <w:gridCol w:w="1800"/>
        <w:gridCol w:w="8184"/>
      </w:tblGrid>
      <w:tr>
        <w:trPr>
          <w:jc w:val="center"/>
        </w:trPr>
        <w:tc>
          <w:tcPr>
            <w:tcW w:w="1800" w:type="dxa"/>
            <w:vAlign w:val="center"/>
          </w:tcPr>
          <w:p>
            <w:pPr>
              <w:spacing w:before="40" w:after="40" w:line="240" w:lineRule="auto"/>
            </w:pPr>
            <w:r>
              <w:rPr>
                <w:sz w:val="18"/>
                <w:szCs w:val="18"/>
              </w:rPr>
              <w:t xml:space="preserve">Week</w:t>
            </w:r>
          </w:p>
        </w:tc>
        <w:tc>
          <w:tcPr>
            <w:tcW w:w="8184" w:type="dxa"/>
            <w:vAlign w:val="center"/>
          </w:tcPr>
          <w:p>
            <w:pPr>
              <w:spacing w:before="40" w:after="40" w:line="240" w:lineRule="auto"/>
            </w:pPr>
            <w:r>
              <w:rPr>
                <w:sz w:val="18"/>
                <w:szCs w:val="18"/>
              </w:rPr>
              <w:t xml:space="preserve">Week 16 (3 – 9 Aug 2026)</w:t>
            </w:r>
          </w:p>
        </w:tc>
      </w:tr>
      <w:tr>
        <w:trPr>
          <w:jc w:val="center"/>
        </w:trPr>
        <w:tc>
          <w:tcPr>
            <w:tcW w:w="1800" w:type="dxa"/>
            <w:vAlign w:val="center"/>
          </w:tcPr>
          <w:p>
            <w:pPr>
              <w:spacing w:before="40" w:after="40" w:line="240" w:lineRule="auto"/>
            </w:pPr>
            <w:r>
              <w:rPr>
                <w:sz w:val="18"/>
                <w:szCs w:val="18"/>
              </w:rPr>
              <w:t xml:space="preserve">Focus</w:t>
            </w:r>
          </w:p>
        </w:tc>
        <w:tc>
          <w:tcPr>
            <w:tcW w:w="8184" w:type="dxa"/>
            <w:vAlign w:val="center"/>
          </w:tcPr>
          <w:p>
            <w:pPr>
              <w:spacing w:before="40" w:after="40" w:line="240" w:lineRule="auto"/>
            </w:pPr>
            <w:r>
              <w:rPr>
                <w:sz w:val="18"/>
                <w:szCs w:val="18"/>
              </w:rPr>
              <w:t xml:space="preserve">Project Implementation — Interim Progress Review (30%)</w:t>
            </w:r>
          </w:p>
        </w:tc>
      </w:tr>
      <w:tr>
        <w:trPr>
          <w:jc w:val="center"/>
        </w:trPr>
        <w:tc>
          <w:tcPr>
            <w:tcW w:w="1800" w:type="dxa"/>
            <w:vAlign w:val="center"/>
          </w:tcPr>
          <w:p>
            <w:pPr>
              <w:spacing w:before="40" w:after="40" w:line="240" w:lineRule="auto"/>
            </w:pPr>
            <w:r>
              <w:rPr>
                <w:sz w:val="18"/>
                <w:szCs w:val="18"/>
              </w:rPr>
              <w:t xml:space="preserve">Status</w:t>
            </w:r>
          </w:p>
        </w:tc>
        <w:tc>
          <w:tcPr>
            <w:tcW w:w="8184" w:type="dxa"/>
            <w:vAlign w:val="center"/>
          </w:tcPr>
          <w:p>
            <w:pPr>
              <w:spacing w:before="40" w:after="40" w:line="240" w:lineRule="auto"/>
            </w:pPr>
            <w:r>
              <w:rPr>
                <w:sz w:val="18"/>
                <w:szCs w:val="18"/>
              </w:rPr>
              <w:t xml:space="preserve">Planned</w:t>
            </w:r>
          </w:p>
        </w:tc>
      </w:tr>
    </w:tbl>
    <w:p>
      <w:pPr>
        <w:spacing w:before="0" w:after="60" w:line="360" w:lineRule="auto"/>
      </w:pPr>
      <w:r>
        <w:t xml:space="preserve"/>
      </w:r>
    </w:p>
    <w:p>
      <w:pPr>
        <w:spacing w:before="0" w:after="120" w:line="360" w:lineRule="auto"/>
      </w:pPr>
      <w:r>
        <w:rPr>
          <w:b/>
        </w:rPr>
        <w:t xml:space="preserve">Team Member's Progress</w:t>
      </w:r>
    </w:p>
    <w:p>
      <w:pPr>
        <w:spacing w:before="0" w:after="80" w:line="360" w:lineRule="auto"/>
      </w:pPr>
      <w:r>
        <w:t xml:space="preserve">1. </w:t>
      </w:r>
      <w:r>
        <w:rPr>
          <w:b/>
        </w:rPr>
        <w:t xml:space="preserve">Clifton Chen Yi</w:t>
      </w:r>
      <w:r>
        <w:t xml:space="preserve"> — Present the retention pipeline end-to-end: collection, management, preparation, visualisation. Show the scored risk table and the retention-priority view in the dashboard.</w:t>
      </w:r>
    </w:p>
    <w:p>
      <w:pPr>
        <w:spacing w:before="0" w:after="80" w:line="360" w:lineRule="auto"/>
      </w:pPr>
      <w:r>
        <w:t xml:space="preserve">2. </w:t>
      </w:r>
      <w:r>
        <w:rPr>
          <w:b/>
        </w:rPr>
        <w:t xml:space="preserve">Tan Zheng Yu Evan</w:t>
      </w:r>
      <w:r>
        <w:t xml:space="preserve"> — Present value predictions, error analysis in COP and the value-segment definitions.</w:t>
      </w:r>
    </w:p>
    <w:p>
      <w:pPr>
        <w:spacing w:before="0" w:after="80" w:line="360" w:lineRule="auto"/>
      </w:pPr>
      <w:r>
        <w:t xml:space="preserve">3. </w:t>
      </w:r>
      <w:r>
        <w:rPr>
          <w:b/>
        </w:rPr>
        <w:t xml:space="preserve">Lee Yi Ting</w:t>
      </w:r>
      <w:r>
        <w:t xml:space="preserve"> — Present satisfaction results, confusion patterns and complaint themes with respondent-coverage caveats.</w:t>
      </w:r>
    </w:p>
    <w:p>
      <w:pPr>
        <w:spacing w:before="0" w:after="80" w:line="360" w:lineRule="auto"/>
      </w:pPr>
      <w:r>
        <w:t xml:space="preserve">4. </w:t>
      </w:r>
      <w:r>
        <w:rPr>
          <w:b/>
        </w:rPr>
        <w:t xml:space="preserve">Wong Kang Bin</w:t>
      </w:r>
      <w:r>
        <w:t xml:space="preserve"> — Present demand classification with the peak-day alert view and false-negative review.</w:t>
      </w:r>
    </w:p>
    <w:p>
      <w:pPr>
        <w:spacing w:before="0" w:after="120" w:line="360" w:lineRule="auto"/>
      </w:pPr>
      <w:r>
        <w:rPr>
          <w:b/>
        </w:rPr>
        <w:t xml:space="preserve">Gantt Chart</w:t>
      </w:r>
    </w:p>
    <w:p>
      <w:pPr>
        <w:spacing w:before="0" w:after="80" w:line="360" w:lineRule="auto"/>
      </w:pPr>
      <w:r>
        <w:t xml:space="preserve">Forward plan as shown on page 1.</w:t>
      </w:r>
    </w:p>
    <w:p>
      <w:pPr>
        <w:spacing w:before="0" w:after="120" w:line="360" w:lineRule="auto"/>
      </w:pPr>
      <w:r>
        <w:rPr>
          <w:b/>
        </w:rPr>
        <w:t xml:space="preserve">Miscellaneous</w:t>
      </w:r>
    </w:p>
    <w:p>
      <w:pPr>
        <w:spacing w:before="0" w:after="80" w:line="360" w:lineRule="auto"/>
      </w:pPr>
      <w:r>
        <w:t xml:space="preserve">Deliverable: interim progress review, assessed individually (30%). Evidence needed per rubric: multiple data sources, systematic data management, complete cleaning with rationale, multiple effective visualisations, and evidence of co-creation.</w:t>
      </w:r>
    </w:p>
    <w:p>
      <w:pPr>
        <w:spacing w:after="0"/>
      </w:pPr>
      <w:r>
        <w:br w:type="page"/>
      </w:r>
    </w:p>
    <w:p>
      <w:pPr>
        <w:pStyle w:val="Heading2"/>
        <w:spacing w:before="200" w:after="120" w:line="360" w:lineRule="auto"/>
        <w:keepNext/>
      </w:pPr>
      <w:r>
        <w:t xml:space="preserve">Progress Updates for Week 17</w:t>
      </w:r>
    </w:p>
    <w:tbl>
      <w:tblPr>
        <w:tblStyle w:val="TableGrid"/>
        <w:tblW w:w="0" w:type="auto"/>
        <w:jc w:val="center"/>
        <w:tblLook w:val="04A0" w:firstRow="1" w:lastRow="0" w:firstColumn="1" w:lastColumn="0" w:noHBand="0" w:noVBand="1"/>
      </w:tblPr>
      <w:tblGrid>
        <w:gridCol w:w="1800"/>
        <w:gridCol w:w="8184"/>
      </w:tblGrid>
      <w:tr>
        <w:trPr>
          <w:jc w:val="center"/>
        </w:trPr>
        <w:tc>
          <w:tcPr>
            <w:tcW w:w="1800" w:type="dxa"/>
            <w:vAlign w:val="center"/>
          </w:tcPr>
          <w:p>
            <w:pPr>
              <w:spacing w:before="40" w:after="40" w:line="240" w:lineRule="auto"/>
            </w:pPr>
            <w:r>
              <w:rPr>
                <w:sz w:val="18"/>
                <w:szCs w:val="18"/>
              </w:rPr>
              <w:t xml:space="preserve">Week</w:t>
            </w:r>
          </w:p>
        </w:tc>
        <w:tc>
          <w:tcPr>
            <w:tcW w:w="8184" w:type="dxa"/>
            <w:vAlign w:val="center"/>
          </w:tcPr>
          <w:p>
            <w:pPr>
              <w:spacing w:before="40" w:after="40" w:line="240" w:lineRule="auto"/>
            </w:pPr>
            <w:r>
              <w:rPr>
                <w:sz w:val="18"/>
                <w:szCs w:val="18"/>
              </w:rPr>
              <w:t xml:space="preserve">Week 17 (10 – 16 Aug 2026)</w:t>
            </w:r>
          </w:p>
        </w:tc>
      </w:tr>
      <w:tr>
        <w:trPr>
          <w:jc w:val="center"/>
        </w:trPr>
        <w:tc>
          <w:tcPr>
            <w:tcW w:w="1800" w:type="dxa"/>
            <w:vAlign w:val="center"/>
          </w:tcPr>
          <w:p>
            <w:pPr>
              <w:spacing w:before="40" w:after="40" w:line="240" w:lineRule="auto"/>
            </w:pPr>
            <w:r>
              <w:rPr>
                <w:sz w:val="18"/>
                <w:szCs w:val="18"/>
              </w:rPr>
              <w:t xml:space="preserve">Focus</w:t>
            </w:r>
          </w:p>
        </w:tc>
        <w:tc>
          <w:tcPr>
            <w:tcW w:w="8184" w:type="dxa"/>
            <w:vAlign w:val="center"/>
          </w:tcPr>
          <w:p>
            <w:pPr>
              <w:spacing w:before="40" w:after="40" w:line="240" w:lineRule="auto"/>
            </w:pPr>
            <w:r>
              <w:rPr>
                <w:sz w:val="18"/>
                <w:szCs w:val="18"/>
              </w:rPr>
              <w:t xml:space="preserve">Project Implementation — integration, scalability &amp; rehearsal</w:t>
            </w:r>
          </w:p>
        </w:tc>
      </w:tr>
      <w:tr>
        <w:trPr>
          <w:jc w:val="center"/>
        </w:trPr>
        <w:tc>
          <w:tcPr>
            <w:tcW w:w="1800" w:type="dxa"/>
            <w:vAlign w:val="center"/>
          </w:tcPr>
          <w:p>
            <w:pPr>
              <w:spacing w:before="40" w:after="40" w:line="240" w:lineRule="auto"/>
            </w:pPr>
            <w:r>
              <w:rPr>
                <w:sz w:val="18"/>
                <w:szCs w:val="18"/>
              </w:rPr>
              <w:t xml:space="preserve">Status</w:t>
            </w:r>
          </w:p>
        </w:tc>
        <w:tc>
          <w:tcPr>
            <w:tcW w:w="8184" w:type="dxa"/>
            <w:vAlign w:val="center"/>
          </w:tcPr>
          <w:p>
            <w:pPr>
              <w:spacing w:before="40" w:after="40" w:line="240" w:lineRule="auto"/>
            </w:pPr>
            <w:r>
              <w:rPr>
                <w:sz w:val="18"/>
                <w:szCs w:val="18"/>
              </w:rPr>
              <w:t xml:space="preserve">Planned</w:t>
            </w:r>
          </w:p>
        </w:tc>
      </w:tr>
    </w:tbl>
    <w:p>
      <w:pPr>
        <w:spacing w:before="0" w:after="60" w:line="360" w:lineRule="auto"/>
      </w:pPr>
      <w:r>
        <w:t xml:space="preserve"/>
      </w:r>
    </w:p>
    <w:p>
      <w:pPr>
        <w:spacing w:before="0" w:after="120" w:line="360" w:lineRule="auto"/>
      </w:pPr>
      <w:r>
        <w:rPr>
          <w:b/>
        </w:rPr>
        <w:t xml:space="preserve">Team Member's Progress</w:t>
      </w:r>
    </w:p>
    <w:p>
      <w:pPr>
        <w:spacing w:before="0" w:after="80" w:line="360" w:lineRule="auto"/>
      </w:pPr>
      <w:r>
        <w:t xml:space="preserve">1. </w:t>
      </w:r>
      <w:r>
        <w:rPr>
          <w:b/>
        </w:rPr>
        <w:t xml:space="preserve">Clifton Chen Yi</w:t>
      </w:r>
      <w:r>
        <w:t xml:space="preserve"> — Integrate the four notebooks into one runnable sequence; run the 25/50/75/100% scalability benchmark and the Spark comparison; freeze the retention results for the report.</w:t>
      </w:r>
    </w:p>
    <w:p>
      <w:pPr>
        <w:spacing w:before="0" w:after="80" w:line="360" w:lineRule="auto"/>
      </w:pPr>
      <w:r>
        <w:t xml:space="preserve">2. </w:t>
      </w:r>
      <w:r>
        <w:rPr>
          <w:b/>
        </w:rPr>
        <w:t xml:space="preserve">Tan Zheng Yu Evan</w:t>
      </w:r>
      <w:r>
        <w:t xml:space="preserve"> — Finalise value model, export the targeting list and join predicted value into the retention-priority view.</w:t>
      </w:r>
    </w:p>
    <w:p>
      <w:pPr>
        <w:spacing w:before="0" w:after="80" w:line="360" w:lineRule="auto"/>
      </w:pPr>
      <w:r>
        <w:t xml:space="preserve">3. </w:t>
      </w:r>
      <w:r>
        <w:rPr>
          <w:b/>
        </w:rPr>
        <w:t xml:space="preserve">Lee Yi Ting</w:t>
      </w:r>
      <w:r>
        <w:t xml:space="preserve"> — Finalise the experience page and the improvement-priority ranking.</w:t>
      </w:r>
    </w:p>
    <w:p>
      <w:pPr>
        <w:spacing w:before="0" w:after="80" w:line="360" w:lineRule="auto"/>
      </w:pPr>
      <w:r>
        <w:t xml:space="preserve">4. </w:t>
      </w:r>
      <w:r>
        <w:rPr>
          <w:b/>
        </w:rPr>
        <w:t xml:space="preserve">Wong Kang Bin</w:t>
      </w:r>
      <w:r>
        <w:t xml:space="preserve"> — Finalise the operations page, capacity thresholds and next-day alerting.</w:t>
      </w:r>
    </w:p>
    <w:p>
      <w:pPr>
        <w:spacing w:before="0" w:after="120" w:line="360" w:lineRule="auto"/>
      </w:pPr>
      <w:r>
        <w:rPr>
          <w:b/>
        </w:rPr>
        <w:t xml:space="preserve">Gantt Chart</w:t>
      </w:r>
    </w:p>
    <w:p>
      <w:pPr>
        <w:spacing w:before="0" w:after="80" w:line="360" w:lineRule="auto"/>
      </w:pPr>
      <w:r>
        <w:t xml:space="preserve">Forward plan as shown on page 1.</w:t>
      </w:r>
    </w:p>
    <w:p>
      <w:pPr>
        <w:spacing w:before="0" w:after="120" w:line="360" w:lineRule="auto"/>
      </w:pPr>
      <w:r>
        <w:rPr>
          <w:b/>
        </w:rPr>
        <w:t xml:space="preserve">Miscellaneous</w:t>
      </w:r>
    </w:p>
    <w:p>
      <w:pPr>
        <w:spacing w:before="0" w:after="80" w:line="360" w:lineRule="auto"/>
      </w:pPr>
      <w:r>
        <w:t xml:space="preserve">Planned: replace the observed-value placeholder in Clifton's priority view with Member B's predicted 90-day value, which is the last cross-workstream dependency. Full presentation rehearsal against the Appendix G checklist.</w:t>
      </w:r>
    </w:p>
    <w:p>
      <w:pPr>
        <w:spacing w:after="0"/>
      </w:pPr>
      <w:r>
        <w:br w:type="page"/>
      </w:r>
    </w:p>
    <w:p>
      <w:pPr>
        <w:pStyle w:val="Heading2"/>
        <w:spacing w:before="200" w:after="120" w:line="360" w:lineRule="auto"/>
        <w:keepNext/>
      </w:pPr>
      <w:r>
        <w:t xml:space="preserve">Progress Updates for Week 18</w:t>
      </w:r>
    </w:p>
    <w:tbl>
      <w:tblPr>
        <w:tblStyle w:val="TableGrid"/>
        <w:tblW w:w="0" w:type="auto"/>
        <w:jc w:val="center"/>
        <w:tblLook w:val="04A0" w:firstRow="1" w:lastRow="0" w:firstColumn="1" w:lastColumn="0" w:noHBand="0" w:noVBand="1"/>
      </w:tblPr>
      <w:tblGrid>
        <w:gridCol w:w="1800"/>
        <w:gridCol w:w="8184"/>
      </w:tblGrid>
      <w:tr>
        <w:trPr>
          <w:jc w:val="center"/>
        </w:trPr>
        <w:tc>
          <w:tcPr>
            <w:tcW w:w="1800" w:type="dxa"/>
            <w:vAlign w:val="center"/>
          </w:tcPr>
          <w:p>
            <w:pPr>
              <w:spacing w:before="40" w:after="40" w:line="240" w:lineRule="auto"/>
            </w:pPr>
            <w:r>
              <w:rPr>
                <w:sz w:val="18"/>
                <w:szCs w:val="18"/>
              </w:rPr>
              <w:t xml:space="preserve">Week</w:t>
            </w:r>
          </w:p>
        </w:tc>
        <w:tc>
          <w:tcPr>
            <w:tcW w:w="8184" w:type="dxa"/>
            <w:vAlign w:val="center"/>
          </w:tcPr>
          <w:p>
            <w:pPr>
              <w:spacing w:before="40" w:after="40" w:line="240" w:lineRule="auto"/>
            </w:pPr>
            <w:r>
              <w:rPr>
                <w:sz w:val="18"/>
                <w:szCs w:val="18"/>
              </w:rPr>
              <w:t xml:space="preserve">Week 18 (17 – 23 Aug 2026)</w:t>
            </w:r>
          </w:p>
        </w:tc>
      </w:tr>
      <w:tr>
        <w:trPr>
          <w:jc w:val="center"/>
        </w:trPr>
        <w:tc>
          <w:tcPr>
            <w:tcW w:w="1800" w:type="dxa"/>
            <w:vAlign w:val="center"/>
          </w:tcPr>
          <w:p>
            <w:pPr>
              <w:spacing w:before="40" w:after="40" w:line="240" w:lineRule="auto"/>
            </w:pPr>
            <w:r>
              <w:rPr>
                <w:sz w:val="18"/>
                <w:szCs w:val="18"/>
              </w:rPr>
              <w:t xml:space="preserve">Focus</w:t>
            </w:r>
          </w:p>
        </w:tc>
        <w:tc>
          <w:tcPr>
            <w:tcW w:w="8184" w:type="dxa"/>
            <w:vAlign w:val="center"/>
          </w:tcPr>
          <w:p>
            <w:pPr>
              <w:spacing w:before="40" w:after="40" w:line="240" w:lineRule="auto"/>
            </w:pPr>
            <w:r>
              <w:rPr>
                <w:sz w:val="18"/>
                <w:szCs w:val="18"/>
              </w:rPr>
              <w:t xml:space="preserve">Final Project Presentation &amp; Report Submission</w:t>
            </w:r>
          </w:p>
        </w:tc>
      </w:tr>
      <w:tr>
        <w:trPr>
          <w:jc w:val="center"/>
        </w:trPr>
        <w:tc>
          <w:tcPr>
            <w:tcW w:w="1800" w:type="dxa"/>
            <w:vAlign w:val="center"/>
          </w:tcPr>
          <w:p>
            <w:pPr>
              <w:spacing w:before="40" w:after="40" w:line="240" w:lineRule="auto"/>
            </w:pPr>
            <w:r>
              <w:rPr>
                <w:sz w:val="18"/>
                <w:szCs w:val="18"/>
              </w:rPr>
              <w:t xml:space="preserve">Status</w:t>
            </w:r>
          </w:p>
        </w:tc>
        <w:tc>
          <w:tcPr>
            <w:tcW w:w="8184" w:type="dxa"/>
            <w:vAlign w:val="center"/>
          </w:tcPr>
          <w:p>
            <w:pPr>
              <w:spacing w:before="40" w:after="40" w:line="240" w:lineRule="auto"/>
            </w:pPr>
            <w:r>
              <w:rPr>
                <w:sz w:val="18"/>
                <w:szCs w:val="18"/>
              </w:rPr>
              <w:t xml:space="preserve">Planned</w:t>
            </w:r>
          </w:p>
        </w:tc>
      </w:tr>
    </w:tbl>
    <w:p>
      <w:pPr>
        <w:spacing w:before="0" w:after="60" w:line="360" w:lineRule="auto"/>
      </w:pPr>
      <w:r>
        <w:t xml:space="preserve"/>
      </w:r>
    </w:p>
    <w:p>
      <w:pPr>
        <w:spacing w:before="0" w:after="120" w:line="360" w:lineRule="auto"/>
      </w:pPr>
      <w:r>
        <w:rPr>
          <w:b/>
        </w:rPr>
        <w:t xml:space="preserve">Team Member's Progress</w:t>
      </w:r>
    </w:p>
    <w:p>
      <w:pPr>
        <w:spacing w:before="0" w:after="80" w:line="360" w:lineRule="auto"/>
      </w:pPr>
      <w:r>
        <w:t xml:space="preserve">1. </w:t>
      </w:r>
      <w:r>
        <w:rPr>
          <w:b/>
        </w:rPr>
        <w:t xml:space="preserve">Clifton Chen Yi</w:t>
      </w:r>
      <w:r>
        <w:t xml:space="preserve"> — Deliver the retention segment of the presentation; submit the individual final report (Appendix E) and the peer review (Appendix F).</w:t>
      </w:r>
    </w:p>
    <w:p>
      <w:pPr>
        <w:spacing w:before="0" w:after="80" w:line="360" w:lineRule="auto"/>
      </w:pPr>
      <w:r>
        <w:t xml:space="preserve">2. </w:t>
      </w:r>
      <w:r>
        <w:rPr>
          <w:b/>
        </w:rPr>
        <w:t xml:space="preserve">Tan Zheng Yu Evan</w:t>
      </w:r>
      <w:r>
        <w:t xml:space="preserve"> — Deliver the value segment; submit report and peer review.</w:t>
      </w:r>
    </w:p>
    <w:p>
      <w:pPr>
        <w:spacing w:before="0" w:after="80" w:line="360" w:lineRule="auto"/>
      </w:pPr>
      <w:r>
        <w:t xml:space="preserve">3. </w:t>
      </w:r>
      <w:r>
        <w:rPr>
          <w:b/>
        </w:rPr>
        <w:t xml:space="preserve">Lee Yi Ting</w:t>
      </w:r>
      <w:r>
        <w:t xml:space="preserve"> — Deliver the experience segment; submit report and peer review.</w:t>
      </w:r>
    </w:p>
    <w:p>
      <w:pPr>
        <w:spacing w:before="0" w:after="80" w:line="360" w:lineRule="auto"/>
      </w:pPr>
      <w:r>
        <w:t xml:space="preserve">4. </w:t>
      </w:r>
      <w:r>
        <w:rPr>
          <w:b/>
        </w:rPr>
        <w:t xml:space="preserve">Wong Kang Bin</w:t>
      </w:r>
      <w:r>
        <w:t xml:space="preserve"> — Deliver the operations segment; submit report and peer review.</w:t>
      </w:r>
    </w:p>
    <w:p>
      <w:pPr>
        <w:spacing w:before="0" w:after="120" w:line="360" w:lineRule="auto"/>
      </w:pPr>
      <w:r>
        <w:rPr>
          <w:b/>
        </w:rPr>
        <w:t xml:space="preserve">Gantt Chart</w:t>
      </w:r>
    </w:p>
    <w:p>
      <w:pPr>
        <w:spacing w:before="0" w:after="80" w:line="360" w:lineRule="auto"/>
      </w:pPr>
      <w:r>
        <w:t xml:space="preserve">Forward plan as shown on page 1.</w:t>
      </w:r>
    </w:p>
    <w:p>
      <w:pPr>
        <w:spacing w:before="0" w:after="120" w:line="360" w:lineRule="auto"/>
      </w:pPr>
      <w:r>
        <w:rPr>
          <w:b/>
        </w:rPr>
        <w:t xml:space="preserve">Miscellaneous</w:t>
      </w:r>
    </w:p>
    <w:p>
      <w:pPr>
        <w:spacing w:before="0" w:after="80" w:line="360" w:lineRule="auto"/>
      </w:pPr>
      <w:r>
        <w:t xml:space="preserve">All submissions via Brightspace by 23 August 2026, 2359 hrs. Late submissions are penalised.</w:t>
      </w:r>
    </w:p>
    <w:sectPr>
      <w:headerReference w:type="default" r:id="rId8"/>
      <w:footerReference w:type="default" r:id="rId9"/>
      <w:pgSz w:w="12240" w:h="15840"/>
      <w:pgMar w:top="1080" w:right="1123" w:bottom="1080" w:left="1123"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8898" w14:textId="77777777" w:rsidR="00777325" w:rsidRDefault="00777325">
      <w:pPr>
        <w:spacing w:after="0" w:line="240" w:lineRule="auto"/>
      </w:pPr>
      <w:r>
        <w:separator/>
      </w:r>
    </w:p>
  </w:endnote>
  <w:endnote w:type="continuationSeparator" w:id="0">
    <w:p w14:paraId="09D8E732" w14:textId="77777777" w:rsidR="00777325" w:rsidRDefault="00777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w:p>
    <w:pPr>
      <w:pStyle w:val="Footer"/>
      <w:tabs>
        <w:tab w:val="right" w:pos="9639"/>
      </w:tabs>
      <w:spacing w:after="0"/>
    </w:pPr>
    <w:r>
      <w:rPr>
        <w:sz w:val="16"/>
        <w:szCs w:val="16"/>
        <w:color w:val="44546A"/>
      </w:rPr>
      <w:t xml:space="preserve">IT3388 Group 2 — FinSight Colombia</w:t>
    </w:r>
    <w:r>
      <w:rPr>
        <w:sz w:val="16"/>
        <w:szCs w:val="16"/>
        <w:color w:val="44546A"/>
      </w:rPr>
      <w:tab/>
      <w:t xml:space="preserve">Page </w:t>
    </w:r>
    <w:r>
      <w:rPr>
        <w:sz w:val="16"/>
        <w:szCs w:val="16"/>
        <w:color w:val="44546A"/>
      </w:rPr>
      <w:fldChar w:fldCharType="begin"/>
    </w:r>
    <w:r>
      <w:rPr>
        <w:sz w:val="16"/>
        <w:szCs w:val="16"/>
        <w:color w:val="44546A"/>
      </w:rPr>
      <w:instrText xml:space="preserve"> PAGE </w:instrText>
    </w:r>
    <w:r>
      <w:rPr>
        <w:sz w:val="16"/>
        <w:szCs w:val="16"/>
        <w:color w:val="44546A"/>
      </w:rPr>
      <w:fldChar w:fldCharType="separate"/>
    </w:r>
    <w:r>
      <w:rPr>
        <w:sz w:val="16"/>
        <w:szCs w:val="16"/>
        <w:color w:val="44546A"/>
      </w:rPr>
      <w:t>1</w:t>
    </w:r>
    <w:r>
      <w:rPr>
        <w:sz w:val="16"/>
        <w:szCs w:val="16"/>
        <w:color w:val="44546A"/>
      </w:rPr>
      <w:fldChar w:fldCharType="end"/>
    </w:r>
    <w:r>
      <w:rPr>
        <w:sz w:val="16"/>
        <w:szCs w:val="16"/>
        <w:color w:val="44546A"/>
      </w:rPr>
      <w:t xml:space="preserve"> of </w:t>
    </w:r>
    <w:r>
      <w:rPr>
        <w:sz w:val="16"/>
        <w:szCs w:val="16"/>
        <w:color w:val="44546A"/>
      </w:rPr>
      <w:fldChar w:fldCharType="begin"/>
    </w:r>
    <w:r>
      <w:rPr>
        <w:sz w:val="16"/>
        <w:szCs w:val="16"/>
        <w:color w:val="44546A"/>
      </w:rPr>
      <w:instrText xml:space="preserve"> NUMPAGES </w:instrText>
    </w:r>
    <w:r>
      <w:rPr>
        <w:sz w:val="16"/>
        <w:szCs w:val="16"/>
        <w:color w:val="44546A"/>
      </w:rPr>
      <w:fldChar w:fldCharType="separate"/>
    </w:r>
    <w:r>
      <w:rPr>
        <w:sz w:val="16"/>
        <w:szCs w:val="16"/>
        <w:color w:val="44546A"/>
      </w:rPr>
      <w:t>1</w:t>
    </w:r>
    <w:r>
      <w:rPr>
        <w:sz w:val="16"/>
        <w:szCs w:val="16"/>
        <w:color w:val="44546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561BD" w14:textId="77777777" w:rsidR="00777325" w:rsidRDefault="00777325">
      <w:pPr>
        <w:spacing w:after="0" w:line="240" w:lineRule="auto"/>
      </w:pPr>
      <w:r>
        <w:separator/>
      </w:r>
    </w:p>
  </w:footnote>
  <w:footnote w:type="continuationSeparator" w:id="0">
    <w:p w14:paraId="4A244F97" w14:textId="77777777" w:rsidR="00777325" w:rsidRDefault="00777325">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Header"/>
      <w:pBdr/>
      <w:spacing w:after="0"/>
    </w:pPr>
    <w:r>
      <w:rPr>
        <w:sz w:val="16"/>
        <w:szCs w:val="16"/>
        <w:color w:val="44546A"/>
      </w:rPr>
      <w:t xml:space="preserve">Customer Intelligence Platform for Fintech — Appendix B: Weekly Progress Updates</w:t>
    </w:r>
  </w:p>
  <w:p>
    <w:pPr>
      <w:pStyle w:val="Header"/>
      <w:pBdr>
        <w:bottom w:val="single" w:sz="4" w:space="1" w:color="14375A"/>
      </w:pBdr>
      <w:spacing w:after="0"/>
    </w:pPr>
    <w:r>
      <w:rPr>
        <w:sz w:val="16"/>
        <w:szCs w:val="16"/>
        <w:color w:val="44546A"/>
      </w:rPr>
      <w:t xml:space="preserve">APPENDIX B – WEEKLY PROGRESS UPDATES.docx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100289">
    <w:abstractNumId w:val="8"/>
  </w:num>
  <w:num w:numId="2" w16cid:durableId="40983220">
    <w:abstractNumId w:val="6"/>
  </w:num>
  <w:num w:numId="3" w16cid:durableId="480001318">
    <w:abstractNumId w:val="5"/>
  </w:num>
  <w:num w:numId="4" w16cid:durableId="1359888052">
    <w:abstractNumId w:val="4"/>
  </w:num>
  <w:num w:numId="5" w16cid:durableId="1016421511">
    <w:abstractNumId w:val="7"/>
  </w:num>
  <w:num w:numId="6" w16cid:durableId="483007644">
    <w:abstractNumId w:val="3"/>
  </w:num>
  <w:num w:numId="7" w16cid:durableId="1260214822">
    <w:abstractNumId w:val="2"/>
  </w:num>
  <w:num w:numId="8" w16cid:durableId="1609510351">
    <w:abstractNumId w:val="1"/>
  </w:num>
  <w:num w:numId="9" w16cid:durableId="81522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778"/>
    <w:rsid w:val="0015074B"/>
    <w:rsid w:val="00155CE2"/>
    <w:rsid w:val="0029639D"/>
    <w:rsid w:val="00326F90"/>
    <w:rsid w:val="004E196B"/>
    <w:rsid w:val="00777325"/>
    <w:rsid w:val="009D586D"/>
    <w:rsid w:val="00A31ABD"/>
    <w:rsid w:val="00AA1D8D"/>
    <w:rsid w:val="00B47730"/>
    <w:rsid w:val="00B91BC0"/>
    <w:rsid w:val="00BA59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F1986"/>
  <w14:defaultImageDpi w14:val="300"/>
  <w15:docId w15:val="{E786CEDD-9A39-479F-90ED-72F903A8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b/>
      <w:bCs/>
      <w:color w:val="14375A"/>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95F8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7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3508</Words>
  <Characters>20000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 – WEEKLY PROGRESS UPDATES</dc:title>
  <dc:subject/>
  <dc:creator>Arturo Luna</dc:creator>
  <cp:keywords/>
  <dc:description>generated by python-docx</dc:description>
  <cp:lastModifiedBy>Clifton Chen</cp:lastModifiedBy>
  <cp:revision>6</cp:revision>
  <cp:lastPrinted>2026-07-19T14:11:00Z</cp:lastPrinted>
  <dcterms:created xsi:type="dcterms:W3CDTF">2026-07-19T14:07:00Z</dcterms:created>
  <dcterms:modified xsi:type="dcterms:W3CDTF">2026-07-19T14:14:00Z</dcterms:modified>
  <cp:category/>
</cp:coreProperties>
</file>